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16, 2023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Vail Resorts, Inc.</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0"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3040" w:type="dxa"/>
            <w:vAlign w:val="bottom"/>
            <w:gridSpan w:val="2"/>
          </w:tcPr>
          <w:p>
            <w:pPr>
              <w:jc w:val="center"/>
              <w:ind w:left="419"/>
              <w:spacing w:after="0"/>
              <w:rPr>
                <w:sz w:val="20"/>
                <w:szCs w:val="20"/>
                <w:color w:val="auto"/>
              </w:rPr>
            </w:pPr>
            <w:r>
              <w:rPr>
                <w:rFonts w:ascii="Arial" w:cs="Arial" w:eastAsia="Arial" w:hAnsi="Arial"/>
                <w:sz w:val="18"/>
                <w:szCs w:val="18"/>
                <w:b w:val="1"/>
                <w:bCs w:val="1"/>
                <w:color w:val="auto"/>
                <w:w w:val="93"/>
              </w:rPr>
              <w:t>Delaware</w:t>
            </w:r>
          </w:p>
        </w:tc>
        <w:tc>
          <w:tcPr>
            <w:tcW w:w="2960" w:type="dxa"/>
            <w:vAlign w:val="bottom"/>
            <w:gridSpan w:val="3"/>
          </w:tcPr>
          <w:p>
            <w:pPr>
              <w:ind w:left="1600"/>
              <w:spacing w:after="0"/>
              <w:rPr>
                <w:sz w:val="20"/>
                <w:szCs w:val="20"/>
                <w:color w:val="auto"/>
              </w:rPr>
            </w:pPr>
            <w:r>
              <w:rPr>
                <w:rFonts w:ascii="Arial" w:cs="Arial" w:eastAsia="Arial" w:hAnsi="Arial"/>
                <w:sz w:val="18"/>
                <w:szCs w:val="18"/>
                <w:b w:val="1"/>
                <w:bCs w:val="1"/>
                <w:color w:val="auto"/>
              </w:rPr>
              <w:t>001-09614</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0" w:type="dxa"/>
            <w:vAlign w:val="bottom"/>
          </w:tcPr>
          <w:p>
            <w:pPr>
              <w:jc w:val="right"/>
              <w:ind w:right="1241"/>
              <w:spacing w:after="0"/>
              <w:rPr>
                <w:sz w:val="20"/>
                <w:szCs w:val="20"/>
                <w:color w:val="auto"/>
              </w:rPr>
            </w:pPr>
            <w:r>
              <w:rPr>
                <w:rFonts w:ascii="Arial" w:cs="Arial" w:eastAsia="Arial" w:hAnsi="Arial"/>
                <w:sz w:val="18"/>
                <w:szCs w:val="18"/>
                <w:b w:val="1"/>
                <w:bCs w:val="1"/>
                <w:color w:val="auto"/>
              </w:rPr>
              <w:t>51-0291762</w:t>
            </w:r>
          </w:p>
        </w:tc>
      </w:tr>
      <w:tr>
        <w:trPr>
          <w:trHeight w:val="137"/>
        </w:trPr>
        <w:tc>
          <w:tcPr>
            <w:tcW w:w="3040" w:type="dxa"/>
            <w:vAlign w:val="bottom"/>
            <w:tcBorders>
              <w:top w:val="single" w:sz="8" w:color="auto"/>
            </w:tcBorders>
            <w:gridSpan w:val="2"/>
          </w:tcPr>
          <w:p>
            <w:pPr>
              <w:jc w:val="center"/>
              <w:ind w:left="419"/>
              <w:spacing w:after="0" w:line="137" w:lineRule="exact"/>
              <w:rPr>
                <w:sz w:val="20"/>
                <w:szCs w:val="20"/>
                <w:color w:val="auto"/>
              </w:rPr>
            </w:pPr>
            <w:r>
              <w:rPr>
                <w:rFonts w:ascii="Arial" w:cs="Arial" w:eastAsia="Arial" w:hAnsi="Arial"/>
                <w:sz w:val="14"/>
                <w:szCs w:val="14"/>
                <w:color w:val="auto"/>
                <w:w w:val="93"/>
              </w:rPr>
              <w:t>(State or Other Jurisdiction of</w:t>
            </w:r>
          </w:p>
        </w:tc>
        <w:tc>
          <w:tcPr>
            <w:tcW w:w="50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940" w:type="dxa"/>
            <w:vAlign w:val="bottom"/>
            <w:tcBorders>
              <w:top w:val="single" w:sz="8" w:color="auto"/>
            </w:tcBorders>
          </w:tcPr>
          <w:p>
            <w:pPr>
              <w:ind w:left="560"/>
              <w:spacing w:after="0" w:line="137" w:lineRule="exact"/>
              <w:rPr>
                <w:sz w:val="20"/>
                <w:szCs w:val="20"/>
                <w:color w:val="auto"/>
              </w:rPr>
            </w:pPr>
            <w:r>
              <w:rPr>
                <w:rFonts w:ascii="Arial" w:cs="Arial" w:eastAsia="Arial" w:hAnsi="Arial"/>
                <w:sz w:val="14"/>
                <w:szCs w:val="14"/>
                <w:color w:val="auto"/>
              </w:rPr>
              <w:t>(Commission</w:t>
            </w: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jc w:val="center"/>
              <w:ind w:right="621"/>
              <w:spacing w:after="0" w:line="137" w:lineRule="exact"/>
              <w:rPr>
                <w:sz w:val="20"/>
                <w:szCs w:val="20"/>
                <w:color w:val="auto"/>
              </w:rPr>
            </w:pPr>
            <w:r>
              <w:rPr>
                <w:rFonts w:ascii="Arial" w:cs="Arial" w:eastAsia="Arial" w:hAnsi="Arial"/>
                <w:sz w:val="14"/>
                <w:szCs w:val="14"/>
                <w:color w:val="auto"/>
                <w:w w:val="95"/>
              </w:rPr>
              <w:t>(I.R.S. Employer</w:t>
            </w:r>
          </w:p>
        </w:tc>
      </w:tr>
      <w:tr>
        <w:trPr>
          <w:trHeight w:val="182"/>
        </w:trPr>
        <w:tc>
          <w:tcPr>
            <w:tcW w:w="3040" w:type="dxa"/>
            <w:vAlign w:val="bottom"/>
            <w:gridSpan w:val="2"/>
          </w:tcPr>
          <w:p>
            <w:pPr>
              <w:jc w:val="center"/>
              <w:ind w:left="419"/>
              <w:spacing w:after="0"/>
              <w:rPr>
                <w:sz w:val="20"/>
                <w:szCs w:val="20"/>
                <w:color w:val="auto"/>
              </w:rPr>
            </w:pPr>
            <w:r>
              <w:rPr>
                <w:rFonts w:ascii="Arial" w:cs="Arial" w:eastAsia="Arial" w:hAnsi="Arial"/>
                <w:sz w:val="14"/>
                <w:szCs w:val="14"/>
                <w:color w:val="auto"/>
                <w:w w:val="95"/>
              </w:rPr>
              <w:t>Incorporation or Organization)</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80" w:type="dxa"/>
            <w:vAlign w:val="bottom"/>
            <w:gridSpan w:val="3"/>
          </w:tcPr>
          <w:p>
            <w:pPr>
              <w:ind w:left="580"/>
              <w:spacing w:after="0"/>
              <w:rPr>
                <w:sz w:val="20"/>
                <w:szCs w:val="20"/>
                <w:color w:val="auto"/>
              </w:rPr>
            </w:pPr>
            <w:r>
              <w:rPr>
                <w:rFonts w:ascii="Arial" w:cs="Arial" w:eastAsia="Arial" w:hAnsi="Arial"/>
                <w:sz w:val="14"/>
                <w:szCs w:val="14"/>
                <w:color w:val="auto"/>
              </w:rPr>
              <w:t>File Number)</w:t>
            </w:r>
          </w:p>
        </w:tc>
        <w:tc>
          <w:tcPr>
            <w:tcW w:w="2800" w:type="dxa"/>
            <w:vAlign w:val="bottom"/>
          </w:tcPr>
          <w:p>
            <w:pPr>
              <w:jc w:val="center"/>
              <w:ind w:right="641"/>
              <w:spacing w:after="0"/>
              <w:rPr>
                <w:sz w:val="20"/>
                <w:szCs w:val="20"/>
                <w:color w:val="auto"/>
              </w:rPr>
            </w:pPr>
            <w:r>
              <w:rPr>
                <w:rFonts w:ascii="Arial" w:cs="Arial" w:eastAsia="Arial" w:hAnsi="Arial"/>
                <w:sz w:val="14"/>
                <w:szCs w:val="14"/>
                <w:color w:val="auto"/>
                <w:w w:val="99"/>
              </w:rPr>
              <w:t>Identification No.)</w:t>
            </w:r>
          </w:p>
        </w:tc>
      </w:tr>
      <w:tr>
        <w:trPr>
          <w:trHeight w:val="453"/>
        </w:trPr>
        <w:tc>
          <w:tcPr>
            <w:tcW w:w="3040" w:type="dxa"/>
            <w:vAlign w:val="bottom"/>
            <w:gridSpan w:val="2"/>
          </w:tcPr>
          <w:p>
            <w:pPr>
              <w:jc w:val="center"/>
              <w:ind w:left="419"/>
              <w:spacing w:after="0"/>
              <w:rPr>
                <w:sz w:val="20"/>
                <w:szCs w:val="20"/>
                <w:color w:val="auto"/>
              </w:rPr>
            </w:pPr>
            <w:r>
              <w:rPr>
                <w:rFonts w:ascii="Arial" w:cs="Arial" w:eastAsia="Arial" w:hAnsi="Arial"/>
                <w:sz w:val="18"/>
                <w:szCs w:val="18"/>
                <w:b w:val="1"/>
                <w:bCs w:val="1"/>
                <w:color w:val="auto"/>
                <w:w w:val="91"/>
              </w:rPr>
              <w:t>390 Interlocken Crescent</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304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Broomfield, Colorado</w:t>
            </w:r>
          </w:p>
        </w:tc>
        <w:tc>
          <w:tcPr>
            <w:tcW w:w="5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1461"/>
              <w:spacing w:after="0"/>
              <w:rPr>
                <w:sz w:val="20"/>
                <w:szCs w:val="20"/>
                <w:color w:val="auto"/>
              </w:rPr>
            </w:pPr>
            <w:r>
              <w:rPr>
                <w:rFonts w:ascii="Arial" w:cs="Arial" w:eastAsia="Arial" w:hAnsi="Arial"/>
                <w:sz w:val="18"/>
                <w:szCs w:val="18"/>
                <w:b w:val="1"/>
                <w:bCs w:val="1"/>
                <w:color w:val="auto"/>
              </w:rPr>
              <w:t>80021</w:t>
            </w:r>
          </w:p>
        </w:tc>
      </w:tr>
      <w:tr>
        <w:trPr>
          <w:trHeight w:val="176"/>
        </w:trPr>
        <w:tc>
          <w:tcPr>
            <w:tcW w:w="3040" w:type="dxa"/>
            <w:vAlign w:val="bottom"/>
            <w:gridSpan w:val="2"/>
          </w:tcPr>
          <w:p>
            <w:pPr>
              <w:jc w:val="center"/>
              <w:ind w:left="419"/>
              <w:spacing w:after="0"/>
              <w:rPr>
                <w:sz w:val="20"/>
                <w:szCs w:val="20"/>
                <w:color w:val="auto"/>
              </w:rPr>
            </w:pPr>
            <w:r>
              <w:rPr>
                <w:rFonts w:ascii="Arial" w:cs="Arial" w:eastAsia="Arial" w:hAnsi="Arial"/>
                <w:sz w:val="14"/>
                <w:szCs w:val="14"/>
                <w:color w:val="auto"/>
                <w:w w:val="95"/>
              </w:rPr>
              <w:t>(Address of Principal Executive Offices)</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right="641"/>
              <w:spacing w:after="0"/>
              <w:rPr>
                <w:sz w:val="20"/>
                <w:szCs w:val="20"/>
                <w:color w:val="auto"/>
              </w:rPr>
            </w:pPr>
            <w:r>
              <w:rPr>
                <w:rFonts w:ascii="Arial" w:cs="Arial" w:eastAsia="Arial" w:hAnsi="Arial"/>
                <w:sz w:val="14"/>
                <w:szCs w:val="14"/>
                <w:color w:val="auto"/>
                <w:w w:val="96"/>
              </w:rPr>
              <w:t>(Zip Code)</w:t>
            </w:r>
          </w:p>
        </w:tc>
      </w:tr>
      <w:tr>
        <w:trPr>
          <w:trHeight w:val="574"/>
        </w:trPr>
        <w:tc>
          <w:tcPr>
            <w:tcW w:w="2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1560"/>
              <w:spacing w:after="0"/>
              <w:rPr>
                <w:sz w:val="20"/>
                <w:szCs w:val="20"/>
                <w:color w:val="auto"/>
              </w:rPr>
            </w:pPr>
            <w:r>
              <w:rPr>
                <w:rFonts w:ascii="Arial" w:cs="Arial" w:eastAsia="Arial" w:hAnsi="Arial"/>
                <w:sz w:val="18"/>
                <w:szCs w:val="18"/>
                <w:b w:val="1"/>
                <w:bCs w:val="1"/>
                <w:color w:val="auto"/>
              </w:rPr>
              <w:t>(303) 404-1800</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color w:val="auto"/>
                <w:w w:val="96"/>
              </w:rPr>
              <w:t>(Registrant’s telephone number, including area code)</w:t>
            </w:r>
          </w:p>
        </w:tc>
        <w:tc>
          <w:tcPr>
            <w:tcW w:w="2800" w:type="dxa"/>
            <w:vAlign w:val="bottom"/>
          </w:tcPr>
          <w:p>
            <w:pPr>
              <w:spacing w:after="0"/>
              <w:rPr>
                <w:sz w:val="21"/>
                <w:szCs w:val="21"/>
                <w:color w:val="auto"/>
              </w:rPr>
            </w:pPr>
          </w:p>
        </w:tc>
      </w:tr>
    </w:tbl>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32385</wp:posOffset>
            </wp:positionV>
            <wp:extent cx="6591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u w:val="single" w:color="auto"/>
          <w:color w:val="auto"/>
        </w:rPr>
        <w:t>(Former Name or Former Address, if Changed Since Last Report)</w:t>
      </w:r>
    </w:p>
    <w:p>
      <w:pPr>
        <w:spacing w:after="0" w:line="35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391"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24"/>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On October 16, 2023, Vail Resorts, Inc. (the “Company”) announced </w:t>
      </w:r>
      <w:r>
        <w:rPr>
          <w:rFonts w:ascii="Arial" w:cs="Arial" w:eastAsia="Arial" w:hAnsi="Arial"/>
          <w:sz w:val="18"/>
          <w:szCs w:val="18"/>
          <w:color w:val="090808"/>
        </w:rPr>
        <w:t>that its current Chief Marketing Officer, Ryan Bennett, will no longer be</w:t>
      </w:r>
      <w:r>
        <w:rPr>
          <w:rFonts w:ascii="Arial" w:cs="Arial" w:eastAsia="Arial" w:hAnsi="Arial"/>
          <w:sz w:val="18"/>
          <w:szCs w:val="18"/>
          <w:color w:val="auto"/>
        </w:rPr>
        <w:t xml:space="preserve"> </w:t>
      </w:r>
      <w:r>
        <w:rPr>
          <w:rFonts w:ascii="Arial" w:cs="Arial" w:eastAsia="Arial" w:hAnsi="Arial"/>
          <w:sz w:val="18"/>
          <w:szCs w:val="18"/>
          <w:color w:val="090808"/>
        </w:rPr>
        <w:t>with the Company, effective as of October 20, 2023 (the “Effective Date”).</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In connection with Mr. Bennett’s departure, which will be treated as an involuntary separation under the Company’s executive severance policy (the “Executive Severance Policy”), the Company expects to enter into a Severance Agreement and General Release (the “Severance Agreement”) with Mr. Bennett. Pursuant to the Severance Agreement, which includes a general release of claims by Mr. Bennett against the Company, Mr. Bennett will be entitled to receive standard severance benefits under the Company’s Executive Severance Policy, which are described in the Company’s Proxy Statement for its Annual Meeting of Stockholders held on December 7, 2022 (filed with the Securities and Exchange Commission on October 24, 2022). Mr. Bennett will receive his annual cash incentive award under the Company’s Management Incentive Plan earned for the fiscal year ended July 31,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Exhibits.</w:t>
      </w:r>
    </w:p>
    <w:p>
      <w:pPr>
        <w:spacing w:after="0" w:line="383"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0"/>
              </w:rPr>
              <w:t>Vail Resorts, Inc.</w:t>
            </w:r>
          </w:p>
        </w:tc>
      </w:tr>
      <w:tr>
        <w:trPr>
          <w:trHeight w:val="405"/>
        </w:trPr>
        <w:tc>
          <w:tcPr>
            <w:tcW w:w="3640" w:type="dxa"/>
            <w:vAlign w:val="bottom"/>
          </w:tcPr>
          <w:p>
            <w:pPr>
              <w:spacing w:after="0"/>
              <w:rPr>
                <w:sz w:val="20"/>
                <w:szCs w:val="20"/>
                <w:color w:val="auto"/>
              </w:rPr>
            </w:pPr>
            <w:r>
              <w:rPr>
                <w:rFonts w:ascii="Arial" w:cs="Arial" w:eastAsia="Arial" w:hAnsi="Arial"/>
                <w:sz w:val="18"/>
                <w:szCs w:val="18"/>
                <w:color w:val="auto"/>
              </w:rPr>
              <w:t>Date: October 16, 2023</w:t>
            </w:r>
          </w:p>
        </w:tc>
        <w:tc>
          <w:tcPr>
            <w:tcW w:w="244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T. Shapiro</w:t>
            </w:r>
          </w:p>
        </w:tc>
      </w:tr>
      <w:tr>
        <w:trPr>
          <w:trHeight w:val="222"/>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David T. Shapiro</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Executive Vice President, General Counsel &amp; Secretary</w:t>
            </w:r>
          </w:p>
        </w:tc>
      </w:tr>
    </w:tbl>
    <w:p>
      <w:pPr>
        <w:spacing w:after="0" w:line="1" w:lineRule="exact"/>
        <w:rPr>
          <w:sz w:val="20"/>
          <w:szCs w:val="20"/>
          <w:color w:val="auto"/>
        </w:rPr>
      </w:pP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2023-10-16T07:33:27Z</dcterms:created>
  <dcterms:modified xsi:type="dcterms:W3CDTF">2023-10-16T07:33:27Z</dcterms:modified>
</cp:coreProperties>
</file>