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9142.xml.htm"/>
      <w:bookmarkStart w:id="1" w:name="kswkform4_17779291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DeCecco Julie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VAIL RESORTS,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 INTERLOCKEN CRESCENT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VAIL RESORTS INC</w:t>
              </w:r>
            </w:hyperlink>
            <w:r>
              <w:rPr/>
              <w:t xml:space="preserve"> [ </w:t>
            </w:r>
            <w:r>
              <w:rPr>
                <w:rFonts w:ascii="Times;serif" w:hAnsi="Times;serif"/>
                <w:color w:val="0000FF"/>
                <w:sz w:val="24"/>
                <w:shd w:fill="FFFFFF" w:val="clear"/>
              </w:rPr>
              <w:t>MTN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GC &amp; Chief Public Affairs Ofc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125.86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withheld from the issuance of common stock to Reporting Person upon vesting of RSUs in order to satisfy the Reporting Person's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May 1, 2024, the Reporting Person was granted 219 Restricted Share Units, which vest in three equal annual installments commencing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Lucy Jensen, Attorney-in-Fact for Julie A. DeCecco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993" TargetMode="External"/><Relationship Id="rId5" Type="http://schemas.openxmlformats.org/officeDocument/2006/relationships/hyperlink" Target="http://www.sec.gov/cgi-bin/browse-edgar?action=getcompany&amp;CIK=0000812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3546</Characters>
  <CharactersWithSpaces>4134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