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VAIL RESORTS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Oasis Management Company Ltd.</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Oasis Management (Hong Kong), 31 Queen's Road Central, 25/F, LHT Tower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Central, K3, 00000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(852) 2847-7708</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Ele Klein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McDermott Will &amp; Schulte LLP, 919 Third Avenue</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212-756-2000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10/30/2026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223"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866" w:right="339" w:bottom="223" w:gutter="0" w:footer="0" w:header="0"/>
          <w:type w:val="continuous"/>
        </w:sectPr>
      </w:pPr>
    </w:p>
    <w:bookmarkStart w:id="1" w:name="page2"/>
    <w:bookmarkEnd w:id="1"/>
    <w:p>
      <w:pPr>
        <w:ind w:left="1120" w:hanging="1112"/>
        <w:spacing w:after="0"/>
        <w:tabs>
          <w:tab w:leader="none" w:pos="11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Oasis Management Co Ltd.</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3,429,033.00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3,429,033.00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3,429,033.00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Seth Fischer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2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disclosure of legal proceedings is required pursuant to Items 2(d) or 2(e)</w:t>
      </w:r>
    </w:p>
    <w:p>
      <w:pPr>
        <w:sectPr>
          <w:pgSz w:w="11900" w:h="16838" w:orient="portrait"/>
          <w:cols w:equalWidth="0" w:num="1">
            <w:col w:w="10099"/>
          </w:cols>
          <w:pgMar w:left="360" w:top="111" w:right="1440" w:bottom="0" w:gutter="0" w:footer="0" w:header="0"/>
          <w:type w:val="continuous"/>
        </w:sectPr>
      </w:pPr>
    </w:p>
    <w:bookmarkStart w:id="2" w:name="page3"/>
    <w:bookmarkEnd w:id="2"/>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-305435</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GERMANY</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3,429,033.00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3,429,033.00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3,429,033.00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38" w:orient="portrait"/>
          <w:cols w:equalWidth="0" w:num="2">
            <w:col w:w="1060" w:space="60"/>
            <w:col w:w="8979"/>
          </w:cols>
          <w:pgMar w:left="360" w:top="36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Robert Chapek</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jc w:val="right"/>
              <w:ind w:right="2072"/>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42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420" w:type="dxa"/>
            <w:vAlign w:val="bottom"/>
            <w:vMerge w:val="restart"/>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099"/>
          </w:cols>
          <w:pgMar w:left="360" w:top="369" w:right="1440" w:bottom="0" w:gutter="0" w:footer="0" w:header="0"/>
          <w:type w:val="continuous"/>
        </w:sectPr>
      </w:pPr>
    </w:p>
    <w:p>
      <w:pPr>
        <w:ind w:left="144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0099"/>
          </w:cols>
          <w:pgMar w:left="360" w:top="369" w:right="1440"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10 Shared Dispositive Power</w:t>
      </w:r>
    </w:p>
    <w:p>
      <w:pPr>
        <w:spacing w:after="0" w:line="2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 Ashton Hudson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2,260.00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2,260.00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38" w:orient="portrait"/>
          <w:cols w:equalWidth="0" w:num="2">
            <w:col w:w="1060" w:space="60"/>
            <w:col w:w="897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VAIL RESORTS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390 Interlocken Crescent, Suite 1000, Broomfield, COLORADO , 80021.</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3 ("Amendment No. 3") amends and supplements the statement on Schedule 13D filed with the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Securities and Exchange Commission (the "SEC") on September 16, 2026 (the "Original Schedule 13D," and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Original Schedule 13D as amended, the "Schedule 13D"), with respect to the Common Stock of the Issuer, as set forth below. Capitalized terms used herein and not otherwise defined in this Amendment No. 3 have the meanings set</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forth in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80"/>
        <w:spacing w:after="0" w:line="245" w:lineRule="auto"/>
        <w:rPr>
          <w:sz w:val="20"/>
          <w:szCs w:val="20"/>
          <w:color w:val="auto"/>
        </w:rPr>
      </w:pPr>
      <w:r>
        <w:rPr>
          <w:rFonts w:ascii="Times New Roman" w:cs="Times New Roman" w:eastAsia="Times New Roman" w:hAnsi="Times New Roman"/>
          <w:sz w:val="21"/>
          <w:szCs w:val="21"/>
          <w:color w:val="auto"/>
        </w:rPr>
        <w:t>Item 2(a) is hereby amended and restated in its entirety as follows: This Amendment No. 3 is filed by: (i) Oasis Management Company Ltd., a Cayman Islands exempted company ("Oasis Management" or the "Investment Manager"), the investment manager of Oasis Investments II Master Fund Ltd., a Cayman Islands exempted company (the "Oasis Fund"), with respect to the shares of Common Stock, par value $0.01 per share (the "Common Stock"), of Vail Resorts, Inc. (the "Issuer") held by the Oasis Fund; (ii) Seth Fischer ("Mr. Fischer"), who is responsible for the supervision and conduct of all investment activities of the Investment Manager, including all investment decisions</w:t>
      </w:r>
    </w:p>
    <w:p>
      <w:pPr>
        <w:spacing w:after="0" w:line="3" w:lineRule="exact"/>
        <w:rPr>
          <w:sz w:val="20"/>
          <w:szCs w:val="20"/>
          <w:color w:val="auto"/>
        </w:rPr>
      </w:pPr>
    </w:p>
    <w:p>
      <w:pPr>
        <w:ind w:left="920" w:right="40" w:hanging="912"/>
        <w:spacing w:after="0" w:line="232"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assets of the Oasis Fund, with respect to the shares of Common Stock held by the Oasis Fund; (iii) Robert Chapek ("Mr. Chapek"), with respect to the shares of Common Stock held directly by him; and (iv) M. Ashton Hudson ("Mr. Hudson"), with respect to the shares of Common Stock held directly by him. The foregoing persons are hereinafter sometimes collectively referred to as the "Reporting Persons." Oasis Management and Mr. Fischer are hereinafter sometimes collectively referred to as the "Oasis Reporting Persons." The filing of this statement should not be construed as an admission that any of the Reporting Persons is, for the purposes of Section 13 of the Act, the beneficial owner of the securities reported herein.</w:t>
      </w:r>
    </w:p>
    <w:p>
      <w:pPr>
        <w:spacing w:after="0" w:line="19" w:lineRule="exact"/>
        <w:rPr>
          <w:rFonts w:ascii="Times New Roman" w:cs="Times New Roman" w:eastAsia="Times New Roman" w:hAnsi="Times New Roman"/>
          <w:sz w:val="22"/>
          <w:szCs w:val="22"/>
          <w:color w:val="auto"/>
        </w:rPr>
      </w:pPr>
    </w:p>
    <w:p>
      <w:pPr>
        <w:ind w:left="920" w:right="120"/>
        <w:spacing w:after="0" w:line="25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Item 2(b) is hereby amended and restated in its entirety as follows: The address of the business office of (i) Oasis Management is 4th Floor Anderson Square, 64 Shedden Road, P.O. Box 10324 Grand Cayman, Cayman Islands KY-</w:t>
      </w:r>
    </w:p>
    <w:p>
      <w:pPr>
        <w:ind w:left="920" w:right="100" w:hanging="912"/>
        <w:spacing w:after="0" w:line="235"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1103; (ii) Mr. Fischer is c/o Oasis Management (Hong Kong), 25/F, LHT Tower, 31 Queen's Road Central, Central, Hong Kong; (iii) Mr. Chapek is 1243 Ocean Drive, Summerland Key, FL 33042; and (iv) Mr. Hudson is 241 Atlantic Blvd., Suite 201, Neptune Beach, FL 32266.</w:t>
      </w:r>
    </w:p>
    <w:p>
      <w:pPr>
        <w:spacing w:after="0" w:line="15" w:lineRule="exact"/>
        <w:rPr>
          <w:rFonts w:ascii="Times New Roman" w:cs="Times New Roman" w:eastAsia="Times New Roman" w:hAnsi="Times New Roman"/>
          <w:sz w:val="22"/>
          <w:szCs w:val="22"/>
          <w:color w:val="auto"/>
        </w:rPr>
      </w:pPr>
    </w:p>
    <w:p>
      <w:pPr>
        <w:jc w:val="both"/>
        <w:ind w:left="920" w:right="18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Item 2(c) is hereby amended and restated in its entirety as follows: The principal business of: (i) Oasis Management is to serve as investment manager to a variety of private investment funds, including the Oasis Fund; (ii) Mr. Fischer is to supervise and conduct all investment activities of the Investment Manager, including all investment decisions</w:t>
      </w:r>
    </w:p>
    <w:p>
      <w:pPr>
        <w:spacing w:after="0" w:line="1" w:lineRule="exact"/>
        <w:rPr>
          <w:rFonts w:ascii="Times New Roman" w:cs="Times New Roman" w:eastAsia="Times New Roman" w:hAnsi="Times New Roman"/>
          <w:sz w:val="22"/>
          <w:szCs w:val="22"/>
          <w:color w:val="auto"/>
        </w:rPr>
      </w:pPr>
    </w:p>
    <w:p>
      <w:pPr>
        <w:ind w:left="920" w:right="380" w:hanging="912"/>
        <w:spacing w:after="0" w:line="23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assets of the Oasis Fund; (iii) Mr. Chapek is to consult and advise companies in industries including location-based entertainment (both domestically and internationally), media technology, artificial intelligence, private equity real estate, medical technology and health insurance; and (iv) Mr. Hudson is Partner of Value Acquisition Fund and Founder and Chairman of Riverwood Asset Management.</w:t>
      </w:r>
    </w:p>
    <w:p>
      <w:pPr>
        <w:spacing w:after="0" w:line="15" w:lineRule="exact"/>
        <w:rPr>
          <w:rFonts w:ascii="Times New Roman" w:cs="Times New Roman" w:eastAsia="Times New Roman" w:hAnsi="Times New Roman"/>
          <w:sz w:val="22"/>
          <w:szCs w:val="22"/>
          <w:color w:val="auto"/>
        </w:rPr>
      </w:pPr>
    </w:p>
    <w:p>
      <w:pPr>
        <w:ind w:left="920" w:right="6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2(d) is hereby amended and restated in its entirety as follows: None of the Reporting Persons has, during the last five years,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right="80"/>
        <w:spacing w:after="0" w:line="253" w:lineRule="auto"/>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Item 2(e) is hereby amended and restated in its entirety as follows: None of the Reporting Persons has, during the last five years, been a party to a civil proceeding of a judicial or administrative body of competent jurisdiction and, as a</w:t>
      </w:r>
    </w:p>
    <w:p>
      <w:pPr>
        <w:ind w:left="920" w:right="140" w:hanging="912"/>
        <w:spacing w:after="0" w:line="235"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5"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Item 2(f) is hereby amended and restated in its entirety as follows: Oasis Management is a company organized under</w:t>
      </w:r>
    </w:p>
    <w:p>
      <w:pPr>
        <w:spacing w:after="0" w:line="25" w:lineRule="exact"/>
        <w:rPr>
          <w:rFonts w:ascii="Times New Roman" w:cs="Times New Roman" w:eastAsia="Times New Roman" w:hAnsi="Times New Roman"/>
          <w:sz w:val="22"/>
          <w:szCs w:val="22"/>
          <w:color w:val="auto"/>
        </w:rPr>
      </w:pPr>
    </w:p>
    <w:p>
      <w:pPr>
        <w:ind w:left="920" w:right="100" w:hanging="912"/>
        <w:spacing w:after="0" w:line="184" w:lineRule="auto"/>
        <w:tabs>
          <w:tab w:leader="none" w:pos="920" w:val="left"/>
        </w:tabs>
        <w:numPr>
          <w:ilvl w:val="0"/>
          <w:numId w:val="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laws of the Cayman Islands. Mr. Fischer is a citizen of Germany. Each of Messrs. Chapek and Hudson is a citizen of the United States. Schedule A attached to the Original Schedule 13D sets forth the information required by Instruction C of the instructions to Schedule 13D and is incorporated herein by reference.</w:t>
      </w:r>
    </w:p>
    <w:p>
      <w:pPr>
        <w:spacing w:after="0" w:line="1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60"/>
        <w:spacing w:after="0" w:line="261" w:lineRule="auto"/>
        <w:rPr>
          <w:sz w:val="20"/>
          <w:szCs w:val="20"/>
          <w:color w:val="auto"/>
        </w:rPr>
      </w:pPr>
      <w:r>
        <w:rPr>
          <w:rFonts w:ascii="Times New Roman" w:cs="Times New Roman" w:eastAsia="Times New Roman" w:hAnsi="Times New Roman"/>
          <w:sz w:val="21"/>
          <w:szCs w:val="21"/>
          <w:color w:val="auto"/>
        </w:rPr>
        <w:t>Item 3 is hereby amended and restated in its entirety as follows: The shares of Common Stock held by the Oasis Fund reported herein were purchased with the working capital of the Oasis Fund in open market transactions. A total of approximately $485 million (excluding commissions) was paid to acquire the shares of Common Stock held by the</w:t>
      </w:r>
    </w:p>
    <w:p>
      <w:pPr>
        <w:sectPr>
          <w:pgSz w:w="11900" w:h="16838" w:orient="portrait"/>
          <w:cols w:equalWidth="0" w:num="1">
            <w:col w:w="11160"/>
          </w:cols>
          <w:pgMar w:left="360" w:top="355" w:right="379" w:bottom="0" w:gutter="0" w:footer="0" w:header="0"/>
        </w:sectPr>
      </w:pPr>
    </w:p>
    <w:bookmarkStart w:id="5" w:name="page6"/>
    <w:bookmarkEnd w:id="5"/>
    <w:p>
      <w:pPr>
        <w:ind w:left="920" w:right="180"/>
        <w:spacing w:after="0" w:line="247" w:lineRule="auto"/>
        <w:rPr>
          <w:sz w:val="20"/>
          <w:szCs w:val="20"/>
          <w:color w:val="auto"/>
        </w:rPr>
      </w:pPr>
      <w:r>
        <w:rPr>
          <w:rFonts w:ascii="Times New Roman" w:cs="Times New Roman" w:eastAsia="Times New Roman" w:hAnsi="Times New Roman"/>
          <w:sz w:val="21"/>
          <w:szCs w:val="21"/>
          <w:color w:val="auto"/>
        </w:rPr>
        <w:t>Oasis Fund. The shares of Common Stock held by the Oasis Fund are held in commingled margin accounts, which may extend margin credit from time to time, subject to applicable federal margin regulations, stock exchange rules and credit policies. In such instances, the positions held in the margin accounts are pledged as collateral security for the repayment of debit balances in the account. The margin accounts bear interest at a rate based upon the broker's call rate from time to time in effect. Because other securities are held in the margin accounts, it is not possible to determine the amounts, if any, of margin used to purchase the shares of Common Stock held by the Oasis Fund. The 2,260 shares of Common Stock held by Mr. Hudson were purchased with his personal funds in open market transactions for an aggregate purchase price of approximately $0.3 million (excluding commissions).</w:t>
      </w:r>
    </w:p>
    <w:p>
      <w:pPr>
        <w:spacing w:after="0" w:line="1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60"/>
        <w:spacing w:after="0" w:line="234" w:lineRule="auto"/>
        <w:rPr>
          <w:sz w:val="20"/>
          <w:szCs w:val="20"/>
          <w:color w:val="auto"/>
        </w:rPr>
      </w:pPr>
      <w:r>
        <w:rPr>
          <w:rFonts w:ascii="Times New Roman" w:cs="Times New Roman" w:eastAsia="Times New Roman" w:hAnsi="Times New Roman"/>
          <w:sz w:val="22"/>
          <w:szCs w:val="22"/>
          <w:color w:val="auto"/>
        </w:rPr>
        <w:t>Item 4 is hereby amended and supplemented by the addition of the following: On October 30, 2026, Oasis Management delivered a letter to the Issuer withdrawing its nominations of Bryce Roberts and Picabo Street for election to the Board at the Annual Meeting. On November 2, 2026, Oasis Management filed a definitive proxy statement with the SEC in connection with the solicitation of proxies for the election of Mr. Chapek and Mr. Hudson to the Board at the Annual Meeting. Also on November 2, 2026, Oasis Management issued a press release containing a letter to shareholders of the Issuer in connection with the solicitation of proxies for the election of Mr. Chapek and Mr. Hudson to the Board at the Annual Meeting. A copy of the press release is attached as Exhibit 1 to the Definitive Additional Materials on Schedule 14A filed by Oasis Management with the SEC on November 2, 2026. Oasis Management also launched a website, liftingthevail.oasiscm.com, to communicate with the shareholders of the Issuer regarding the Annual Meeting.</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0"/>
        <w:spacing w:after="0" w:line="246" w:lineRule="auto"/>
        <w:rPr>
          <w:sz w:val="20"/>
          <w:szCs w:val="20"/>
          <w:color w:val="auto"/>
        </w:rPr>
      </w:pPr>
      <w:r>
        <w:rPr>
          <w:rFonts w:ascii="Times New Roman" w:cs="Times New Roman" w:eastAsia="Times New Roman" w:hAnsi="Times New Roman"/>
          <w:sz w:val="21"/>
          <w:szCs w:val="21"/>
          <w:color w:val="auto"/>
        </w:rPr>
        <w:t>Item 5(a) is hereby amended and restated in its entirety as follows: See rows (11) and (13) of the cover pages to this Schedule 13D for the aggregate number of shares of Common Stock and percentages of the Common Stock beneficially owned by each of the Reporting Persons. The percentages used in this Schedule 13D are calculated based upon 35,717,551 shares of Common Stock outstanding as of October 19, 2026, as reported in the Issuer's proxy statement on Schedule 14A filed with the SEC on October 30, 2026. The Reporting Persons may be deemed to have</w:t>
      </w:r>
    </w:p>
    <w:p>
      <w:pPr>
        <w:spacing w:after="0" w:line="1" w:lineRule="exact"/>
        <w:rPr>
          <w:sz w:val="20"/>
          <w:szCs w:val="20"/>
          <w:color w:val="auto"/>
        </w:rPr>
      </w:pPr>
    </w:p>
    <w:p>
      <w:pPr>
        <w:ind w:left="920" w:right="60" w:hanging="912"/>
        <w:spacing w:after="0" w:line="232"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formed a "group" within the meaning of Section 13(d)(3) of the Act, and the "group" may be deemed to beneficially own an aggregate of 3,431,293 shares of Common Stock, representing approximately 9.6% of the outstanding shares of Common Stock. Each of the Reporting Persons expressly disclaims beneficial ownership of the shares of Common Stock beneficially owned by the other Reporting Persons. By virtue of the termination of their respective Nomination Agreements with Oasis Management, Picabo Street and Bryce Roberts are no longer deemed to be a group with the Reporting Persons.</w:t>
      </w:r>
    </w:p>
    <w:p>
      <w:pPr>
        <w:spacing w:after="0" w:line="20"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5(b) is hereby amended and restated in its entirety as follows: See rows (7) through (10) of the cover pages to</w:t>
      </w:r>
    </w:p>
    <w:p>
      <w:pPr>
        <w:spacing w:after="0" w:line="14" w:lineRule="exact"/>
        <w:rPr>
          <w:rFonts w:ascii="Times New Roman" w:cs="Times New Roman" w:eastAsia="Times New Roman" w:hAnsi="Times New Roman"/>
          <w:sz w:val="22"/>
          <w:szCs w:val="22"/>
          <w:color w:val="auto"/>
        </w:rPr>
      </w:pPr>
    </w:p>
    <w:p>
      <w:pPr>
        <w:ind w:left="920" w:right="480" w:hanging="912"/>
        <w:spacing w:after="0" w:line="237"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Schedule 13D for the number of shares of Common Stock as to which each Reporting Person has the sole or shared power to vote or direct the vote and sole or shared power to dispose or to direct the disposition.</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5(c) is hereby amended and restated in its entirety as follows: All information concerning transactions in the</w:t>
      </w:r>
    </w:p>
    <w:p>
      <w:pPr>
        <w:spacing w:after="0" w:line="14" w:lineRule="exact"/>
        <w:rPr>
          <w:rFonts w:ascii="Times New Roman" w:cs="Times New Roman" w:eastAsia="Times New Roman" w:hAnsi="Times New Roman"/>
          <w:sz w:val="22"/>
          <w:szCs w:val="22"/>
          <w:color w:val="auto"/>
        </w:rPr>
      </w:pPr>
    </w:p>
    <w:p>
      <w:pPr>
        <w:ind w:left="920" w:right="840" w:hanging="912"/>
        <w:spacing w:after="0" w:line="237"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since the filing of Amendment No. 2 is set forth in Schedule B hereto and is incorporated by reference herein.</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Item 5(d) is hereby amended and restated in its entirety as follows: No person (other than the Reporting Persons and</w:t>
      </w:r>
    </w:p>
    <w:p>
      <w:pPr>
        <w:spacing w:after="0" w:line="25" w:lineRule="exact"/>
        <w:rPr>
          <w:rFonts w:ascii="Times New Roman" w:cs="Times New Roman" w:eastAsia="Times New Roman" w:hAnsi="Times New Roman"/>
          <w:sz w:val="22"/>
          <w:szCs w:val="22"/>
          <w:color w:val="auto"/>
        </w:rPr>
      </w:pPr>
    </w:p>
    <w:p>
      <w:pPr>
        <w:ind w:left="920" w:right="560" w:hanging="912"/>
        <w:spacing w:after="0" w:line="237"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Oasis Fund) is known to have the right to receive or the power to direct the receipt of dividends from, or the proceeds from the sale of, the shares of Common Stock reported herein.</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5(e) is hereby amended and restated in its entirety as follows: 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60"/>
        <w:spacing w:after="0" w:line="238" w:lineRule="auto"/>
        <w:rPr>
          <w:sz w:val="20"/>
          <w:szCs w:val="20"/>
          <w:color w:val="auto"/>
        </w:rPr>
      </w:pPr>
      <w:r>
        <w:rPr>
          <w:rFonts w:ascii="Times New Roman" w:cs="Times New Roman" w:eastAsia="Times New Roman" w:hAnsi="Times New Roman"/>
          <w:sz w:val="22"/>
          <w:szCs w:val="22"/>
          <w:color w:val="auto"/>
        </w:rPr>
        <w:t>Item 6 is hereby amended and supplemented by the addition of the following: As of the date hereof, the Oasis Fund has entered into Derivative Agreements in the form of cash-settled swaps with respect to an aggregate of 377,714 shares of Common Stock (collectively representing economic exposure comparable to approximately 1.1% of the outstanding shares of Common Stock). On October 30, 2026, the respective Nomination Agreements of Picabo Street and Bryce Roberts terminated in accordance with their respective terms.</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Schedule B - TRANSACTIONS IN COMMON STOCK BY THE REPORTING PERSONS</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Oasis Management Co Ltd.</w:t>
      </w:r>
    </w:p>
    <w:p>
      <w:pPr>
        <w:spacing w:after="0" w:line="152" w:lineRule="exact"/>
        <w:rPr>
          <w:sz w:val="20"/>
          <w:szCs w:val="20"/>
          <w:color w:val="auto"/>
        </w:rPr>
      </w:pPr>
    </w:p>
    <w:p>
      <w:pPr>
        <w:ind w:left="330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By: /s/ Phillip Meyer</w:t>
      </w:r>
    </w:p>
    <w:p>
      <w:pPr>
        <w:spacing w:after="0" w:line="4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Name/Title: Phillip Meyer, Director</w:t>
      </w:r>
    </w:p>
    <w:p>
      <w:pPr>
        <w:spacing w:after="0" w:line="44" w:lineRule="exact"/>
        <w:rPr>
          <w:sz w:val="20"/>
          <w:szCs w:val="20"/>
          <w:color w:val="auto"/>
        </w:rPr>
      </w:pPr>
    </w:p>
    <w:p>
      <w:pPr>
        <w:ind w:left="330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11/03/2026</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Seth Fischer</w:t>
      </w:r>
    </w:p>
    <w:p>
      <w:pPr>
        <w:spacing w:after="0" w:line="152" w:lineRule="exact"/>
        <w:rPr>
          <w:sz w:val="20"/>
          <w:szCs w:val="20"/>
          <w:color w:val="auto"/>
        </w:rPr>
      </w:pPr>
    </w:p>
    <w:p>
      <w:pPr>
        <w:ind w:left="3500"/>
        <w:spacing w:after="0"/>
        <w:tabs>
          <w:tab w:leader="none" w:pos="4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Seth Fischer</w:t>
      </w:r>
    </w:p>
    <w:p>
      <w:pPr>
        <w:spacing w:after="0" w:line="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Name/Title: Seth Fischer, individually</w:t>
      </w:r>
    </w:p>
    <w:p>
      <w:pPr>
        <w:sectPr>
          <w:pgSz w:w="11900" w:h="16838" w:orient="portrait"/>
          <w:cols w:equalWidth="0" w:num="1">
            <w:col w:w="11140"/>
          </w:cols>
          <w:pgMar w:left="360" w:top="111" w:right="399" w:bottom="0" w:gutter="0" w:footer="0" w:header="0"/>
        </w:sectPr>
      </w:pPr>
    </w:p>
    <w:bookmarkStart w:id="6" w:name="page7"/>
    <w:bookmarkEnd w:id="6"/>
    <w:p>
      <w:pPr>
        <w:ind w:left="2420"/>
        <w:spacing w:after="0"/>
        <w:tabs>
          <w:tab w:leader="none" w:pos="3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11/03/2026</w:t>
      </w:r>
    </w:p>
    <w:p>
      <w:pPr>
        <w:spacing w:after="0" w:line="1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Robert Chapek</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Chapek</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Robert Chapek, individually</w:t>
      </w:r>
    </w:p>
    <w:p>
      <w:pPr>
        <w:spacing w:after="0" w:line="44"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11/03/2026</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M. Ashton Hudson</w:t>
      </w:r>
    </w:p>
    <w:p>
      <w:pPr>
        <w:spacing w:after="0" w:line="152"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 Ashton Hudson</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1"/>
          <w:szCs w:val="21"/>
          <w:color w:val="auto"/>
        </w:rPr>
        <w:t>Name/Title: M. Ashton Hudson, individually</w:t>
      </w:r>
    </w:p>
    <w:p>
      <w:pPr>
        <w:spacing w:after="0" w:line="56" w:lineRule="exact"/>
        <w:rPr>
          <w:sz w:val="20"/>
          <w:szCs w:val="20"/>
          <w:color w:val="auto"/>
        </w:rPr>
      </w:pPr>
    </w:p>
    <w:p>
      <w:pPr>
        <w:ind w:left="3000"/>
        <w:spacing w:after="0"/>
        <w:tabs>
          <w:tab w:leader="none" w:pos="40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11/03/2026</w:t>
      </w:r>
    </w:p>
    <w:p>
      <w:pPr>
        <w:sectPr>
          <w:pgSz w:w="11900" w:h="16838" w:orient="portrait"/>
          <w:cols w:equalWidth="0" w:num="1">
            <w:col w:w="9019"/>
          </w:cols>
          <w:pgMar w:left="1440" w:top="111"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Schedule B</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TRANSACTIONS IN COMMON STOCK BY THE REPORTING PERSONS</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tables set forth all transactions in the Common Stock effected by the Reporting Persons since the filing of Amendment No. 2. Except as otherwise noted, all such transactions were effected in the open market through a broker and all prices per share exclude brokerage commissions.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Oasis Management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Trade Date</w:t>
            </w:r>
          </w:p>
        </w:tc>
        <w:tc>
          <w:tcPr>
            <w:tcW w:w="476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8"/>
                <w:szCs w:val="18"/>
                <w:color w:val="auto"/>
              </w:rPr>
              <w:t>Shares Purchased (Sold)</w:t>
            </w:r>
          </w:p>
        </w:tc>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Price Per Share ($)</w:t>
            </w:r>
          </w:p>
        </w:tc>
      </w:tr>
      <w:tr>
        <w:trPr>
          <w:trHeight w:val="191"/>
        </w:trPr>
        <w:tc>
          <w:tcPr>
            <w:tcW w:w="28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09/29/2026</w:t>
            </w:r>
          </w:p>
        </w:tc>
        <w:tc>
          <w:tcPr>
            <w:tcW w:w="4760" w:type="dxa"/>
            <w:vAlign w:val="bottom"/>
          </w:tcPr>
          <w:p>
            <w:pPr>
              <w:jc w:val="center"/>
              <w:ind w:left="730"/>
              <w:spacing w:after="0" w:line="191" w:lineRule="exact"/>
              <w:rPr>
                <w:sz w:val="20"/>
                <w:szCs w:val="20"/>
                <w:color w:val="auto"/>
              </w:rPr>
            </w:pPr>
            <w:r>
              <w:rPr>
                <w:rFonts w:ascii="Times New Roman" w:cs="Times New Roman" w:eastAsia="Times New Roman" w:hAnsi="Times New Roman"/>
                <w:sz w:val="18"/>
                <w:szCs w:val="18"/>
                <w:color w:val="auto"/>
              </w:rPr>
              <w:t>56,948</w:t>
            </w:r>
          </w:p>
        </w:tc>
        <w:tc>
          <w:tcPr>
            <w:tcW w:w="36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135.097</w:t>
            </w:r>
          </w:p>
        </w:tc>
      </w:tr>
      <w:tr>
        <w:trPr>
          <w:trHeight w:val="216"/>
        </w:trPr>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09/30/2026</w:t>
            </w:r>
          </w:p>
        </w:tc>
        <w:tc>
          <w:tcPr>
            <w:tcW w:w="476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50,000</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137.886</w:t>
            </w:r>
          </w:p>
        </w:tc>
      </w:tr>
      <w:tr>
        <w:trPr>
          <w:trHeight w:val="234"/>
        </w:trPr>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10/02/2026</w:t>
            </w:r>
          </w:p>
        </w:tc>
        <w:tc>
          <w:tcPr>
            <w:tcW w:w="476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9"/>
              </w:rPr>
              <w:t>100,000</w:t>
            </w:r>
          </w:p>
        </w:tc>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140.466</w:t>
            </w:r>
          </w:p>
        </w:tc>
      </w:tr>
    </w:tbl>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Mr. Hudson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Trade Date</w:t>
            </w:r>
          </w:p>
        </w:tc>
        <w:tc>
          <w:tcPr>
            <w:tcW w:w="4760" w:type="dxa"/>
            <w:vAlign w:val="bottom"/>
            <w:tcBorders>
              <w:bottom w:val="single" w:sz="8" w:color="auto"/>
            </w:tcBorders>
          </w:tcPr>
          <w:p>
            <w:pPr>
              <w:jc w:val="center"/>
              <w:ind w:left="750"/>
              <w:spacing w:after="0"/>
              <w:rPr>
                <w:sz w:val="20"/>
                <w:szCs w:val="20"/>
                <w:color w:val="auto"/>
              </w:rPr>
            </w:pPr>
            <w:r>
              <w:rPr>
                <w:rFonts w:ascii="Times New Roman" w:cs="Times New Roman" w:eastAsia="Times New Roman" w:hAnsi="Times New Roman"/>
                <w:sz w:val="18"/>
                <w:szCs w:val="18"/>
                <w:color w:val="auto"/>
                <w:w w:val="99"/>
              </w:rPr>
              <w:t>Shares Purchased (Sold)</w:t>
            </w:r>
          </w:p>
        </w:tc>
        <w:tc>
          <w:tcPr>
            <w:tcW w:w="364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Price Per Share ($)</w:t>
            </w:r>
          </w:p>
        </w:tc>
      </w:tr>
      <w:tr>
        <w:trPr>
          <w:trHeight w:val="191"/>
        </w:trPr>
        <w:tc>
          <w:tcPr>
            <w:tcW w:w="28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10/08/2026</w:t>
            </w:r>
          </w:p>
        </w:tc>
        <w:tc>
          <w:tcPr>
            <w:tcW w:w="4760" w:type="dxa"/>
            <w:vAlign w:val="bottom"/>
          </w:tcPr>
          <w:p>
            <w:pPr>
              <w:jc w:val="center"/>
              <w:ind w:left="730"/>
              <w:spacing w:after="0" w:line="191" w:lineRule="exact"/>
              <w:rPr>
                <w:sz w:val="20"/>
                <w:szCs w:val="20"/>
                <w:color w:val="auto"/>
              </w:rPr>
            </w:pPr>
            <w:r>
              <w:rPr>
                <w:rFonts w:ascii="Times New Roman" w:cs="Times New Roman" w:eastAsia="Times New Roman" w:hAnsi="Times New Roman"/>
                <w:sz w:val="18"/>
                <w:szCs w:val="18"/>
                <w:color w:val="auto"/>
                <w:w w:val="96"/>
              </w:rPr>
              <w:t>322</w:t>
            </w:r>
          </w:p>
        </w:tc>
        <w:tc>
          <w:tcPr>
            <w:tcW w:w="3640" w:type="dxa"/>
            <w:vAlign w:val="bottom"/>
          </w:tcPr>
          <w:p>
            <w:pPr>
              <w:jc w:val="right"/>
              <w:ind w:right="1430"/>
              <w:spacing w:after="0" w:line="191" w:lineRule="exact"/>
              <w:rPr>
                <w:sz w:val="20"/>
                <w:szCs w:val="20"/>
                <w:color w:val="auto"/>
              </w:rPr>
            </w:pPr>
            <w:r>
              <w:rPr>
                <w:rFonts w:ascii="Times New Roman" w:cs="Times New Roman" w:eastAsia="Times New Roman" w:hAnsi="Times New Roman"/>
                <w:sz w:val="18"/>
                <w:szCs w:val="18"/>
                <w:color w:val="auto"/>
              </w:rPr>
              <w:t>141.9989</w:t>
            </w:r>
          </w:p>
        </w:tc>
      </w:tr>
      <w:tr>
        <w:trPr>
          <w:trHeight w:val="234"/>
        </w:trPr>
        <w:tc>
          <w:tcPr>
            <w:tcW w:w="2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10/09/2026</w:t>
            </w:r>
          </w:p>
        </w:tc>
        <w:tc>
          <w:tcPr>
            <w:tcW w:w="476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6"/>
              </w:rPr>
              <w:t>588</w:t>
            </w:r>
          </w:p>
        </w:tc>
        <w:tc>
          <w:tcPr>
            <w:tcW w:w="364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146.00</w:t>
            </w:r>
          </w:p>
        </w:tc>
      </w:tr>
    </w:tbl>
    <w:p>
      <w:pPr>
        <w:spacing w:after="0" w:line="1" w:lineRule="exact"/>
        <w:rPr>
          <w:sz w:val="20"/>
          <w:szCs w:val="20"/>
          <w:color w:val="auto"/>
        </w:rPr>
      </w:pP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2"/>
      <w:numFmt w:val="bullet"/>
      <w:start w:val="1"/>
    </w:lvl>
  </w:abstractNum>
  <w:abstractNum w:abstractNumId="2">
    <w:nsid w:val="3D1B58BA"/>
    <w:multiLevelType w:val="hybridMultilevel"/>
    <w:lvl w:ilvl="0">
      <w:lvlJc w:val="left"/>
      <w:lvlText w:val="3"/>
      <w:numFmt w:val="bullet"/>
      <w:start w:val="1"/>
    </w:lvl>
  </w:abstractNum>
  <w:abstractNum w:abstractNumId="3">
    <w:nsid w:val="507ED7AB"/>
    <w:multiLevelType w:val="hybridMultilevel"/>
    <w:lvl w:ilvl="0">
      <w:lvlJc w:val="left"/>
      <w:lvlText w:val="5"/>
      <w:numFmt w:val="bullet"/>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3"/>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2026-11-03T15:41:23Z</dcterms:created>
  <dcterms:modified xsi:type="dcterms:W3CDTF">2026-11-03T15:41:23Z</dcterms:modified>
</cp:coreProperties>
</file>