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VAIL RESORTS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Oasis Management Company Ltd.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2,329,018.00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2,329,018.00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2,329,018.00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Seth Fischer</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GERMANY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2,329,018.00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2,329,018.00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2,329,018.00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47"/>
        <w:gridCol w:w="8903"/>
        <w:gridCol w:w="155"/>
      </w:tblGrid>
      <w:tr>
        <w:trPr/>
        <w:tc>
          <w:tcPr>
            <w:tcW w:w="1147" w:type="dxa"/>
            <w:tcBorders/>
            <w:vAlign w:val="center"/>
          </w:tcPr>
          <w:p>
            <w:pPr>
              <w:pStyle w:val="TableContents"/>
              <w:bidi w:val="0"/>
              <w:spacing w:before="0" w:after="283"/>
              <w:jc w:val="left"/>
              <w:rPr/>
            </w:pPr>
            <w:r>
              <w:rPr/>
              <w:t>Item 1.</w:t>
            </w:r>
          </w:p>
        </w:tc>
        <w:tc>
          <w:tcPr>
            <w:tcW w:w="890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jc w:val="left"/>
              <w:rPr/>
            </w:pPr>
            <w:r>
              <w:rPr/>
              <w:t xml:space="preserve">Name of issuer: </w:t>
            </w:r>
          </w:p>
          <w:p>
            <w:pPr>
              <w:pStyle w:val="TableContents"/>
              <w:bidi w:val="0"/>
              <w:spacing w:before="0" w:after="0"/>
              <w:jc w:val="left"/>
              <w:rPr/>
            </w:pPr>
            <w:r>
              <w:rPr/>
              <w:t>VAIL RESORTS INC</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390 Interlocken Crescent, Broomfield, Colorado 80021</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2.</w:t>
            </w:r>
          </w:p>
        </w:tc>
        <w:tc>
          <w:tcPr>
            <w:tcW w:w="890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Oasis Management Company Ltd., a Cayman Islands exempted company ("Oasis Management" or the "Investment Manager"), with respect to the shares of common stock, par value $0.01 per share ("Common Stock"), of Vail Resorts, Inc. (the "Company") held by Oasis Investments II Master Fund Ltd. (the "Oasis Fund"); and ii. Seth Fischer ("Mr. Fischer"), responsible for the supervision and conduct of all investment activities of the Investment Manager, including all investment decisions with respect to the assets of the Oasis Fund, with respect to the Common Stock held by the Oasis Fund. The foregoing persons are hereinafter sometimes collectively referred to as the "Reporting Persons." The filing of this statement should not be construed as an admission that any of the Reporting Persons is, for the purposes of Section 13 of the Securities Exchange Act of 1934, the beneficial owner of the securities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business office of Oasis Management is 4th Floor Anderson Square, 64 Shedden Road, P.O. Box 10324 Grand Cayman, Cayman Islands KY-1103. The address of the business office of Mr. Fischer is c/o Oasis Management (Hong Kong) 25/F, LHT Tower, 31 Queen's Road Central, Central, Hong Kong.</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(c)</w:t>
            </w:r>
          </w:p>
        </w:tc>
        <w:tc>
          <w:tcPr>
            <w:tcW w:w="8903" w:type="dxa"/>
            <w:tcBorders/>
            <w:vAlign w:val="center"/>
          </w:tcPr>
          <w:p>
            <w:pPr>
              <w:pStyle w:val="TableContents"/>
              <w:bidi w:val="0"/>
              <w:jc w:val="left"/>
              <w:rPr/>
            </w:pPr>
            <w:r>
              <w:rPr/>
              <w:t xml:space="preserve">Citizenship: </w:t>
            </w:r>
          </w:p>
          <w:p>
            <w:pPr>
              <w:pStyle w:val="TableContents"/>
              <w:bidi w:val="0"/>
              <w:spacing w:before="0" w:after="0"/>
              <w:jc w:val="left"/>
              <w:rPr/>
            </w:pPr>
            <w:r>
              <w:rPr/>
              <w:t>Oasis Management is a Cayman Islands exempted company. Mr. Fischer is a citizen of Germany.</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(d)</w:t>
            </w:r>
          </w:p>
        </w:tc>
        <w:tc>
          <w:tcPr>
            <w:tcW w:w="890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(e)</w:t>
            </w:r>
          </w:p>
        </w:tc>
        <w:tc>
          <w:tcPr>
            <w:tcW w:w="890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3.</w:t>
            </w:r>
          </w:p>
        </w:tc>
        <w:tc>
          <w:tcPr>
            <w:tcW w:w="890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(c)</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(d)</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(e)</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(f)</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(g)</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(h)</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(j)</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(k)</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9058" w:type="dxa"/>
            <w:gridSpan w:val="2"/>
            <w:tcBorders/>
            <w:vAlign w:val="center"/>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4.</w:t>
            </w:r>
          </w:p>
        </w:tc>
        <w:tc>
          <w:tcPr>
            <w:tcW w:w="890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of the Reporting Persons and is incorporated herein by reference. The percentages set forth in this Schedule 13G are calculated based upon an aggregate of 35,633,526 shares of Common Stock outstanding as of June 3, 2026, as reported in the Company's Form 10-Q for the quarterly period ended April 30, 2026, filed with the Securities and Exchange Commission on June 8, 2026.</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6.5%  %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(c)</w:t>
            </w:r>
          </w:p>
        </w:tc>
        <w:tc>
          <w:tcPr>
            <w:tcW w:w="890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5.</w:t>
            </w:r>
          </w:p>
        </w:tc>
        <w:tc>
          <w:tcPr>
            <w:tcW w:w="890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6.</w:t>
            </w:r>
          </w:p>
        </w:tc>
        <w:tc>
          <w:tcPr>
            <w:tcW w:w="890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7.</w:t>
            </w:r>
          </w:p>
        </w:tc>
        <w:tc>
          <w:tcPr>
            <w:tcW w:w="890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8.</w:t>
            </w:r>
          </w:p>
        </w:tc>
        <w:tc>
          <w:tcPr>
            <w:tcW w:w="890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9.</w:t>
            </w:r>
          </w:p>
        </w:tc>
        <w:tc>
          <w:tcPr>
            <w:tcW w:w="890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068" w:type="dxa"/>
        <w:jc w:val="left"/>
        <w:tblInd w:w="0" w:type="dxa"/>
        <w:tblLayout w:type="fixed"/>
        <w:tblCellMar>
          <w:top w:w="28" w:type="dxa"/>
          <w:left w:w="28" w:type="dxa"/>
          <w:bottom w:w="28" w:type="dxa"/>
          <w:right w:w="28" w:type="dxa"/>
        </w:tblCellMar>
      </w:tblPr>
      <w:tblGrid>
        <w:gridCol w:w="3534"/>
        <w:gridCol w:w="3534"/>
      </w:tblGrid>
      <w:tr>
        <w:trPr/>
        <w:tc>
          <w:tcPr>
            <w:tcW w:w="3534" w:type="dxa"/>
            <w:tcBorders/>
            <w:vAlign w:val="center"/>
          </w:tcPr>
          <w:p>
            <w:pPr>
              <w:pStyle w:val="TableContents"/>
              <w:bidi w:val="0"/>
              <w:spacing w:before="0" w:after="0"/>
              <w:jc w:val="left"/>
              <w:rPr/>
            </w:pPr>
            <w:r>
              <w:rPr/>
              <w:t> </w:t>
            </w:r>
          </w:p>
          <w:tbl>
            <w:tblPr>
              <w:tblW w:w="3421" w:type="dxa"/>
              <w:jc w:val="left"/>
              <w:tblInd w:w="0" w:type="dxa"/>
              <w:tblLayout w:type="fixed"/>
              <w:tblCellMar>
                <w:top w:w="28" w:type="dxa"/>
                <w:left w:w="28" w:type="dxa"/>
                <w:bottom w:w="28" w:type="dxa"/>
                <w:right w:w="28" w:type="dxa"/>
              </w:tblCellMar>
            </w:tblPr>
            <w:tblGrid>
              <w:gridCol w:w="3421"/>
            </w:tblGrid>
            <w:tr>
              <w:trPr/>
              <w:tc>
                <w:tcPr>
                  <w:tcW w:w="3421" w:type="dxa"/>
                  <w:tcBorders/>
                  <w:vAlign w:val="center"/>
                </w:tcPr>
                <w:p>
                  <w:pPr>
                    <w:pStyle w:val="TableContents"/>
                    <w:bidi w:val="0"/>
                    <w:spacing w:before="0" w:after="0"/>
                    <w:jc w:val="left"/>
                    <w:rPr/>
                  </w:pPr>
                  <w:r>
                    <w:rPr/>
                    <w:t>Oasis Management Company Ltd.</w:t>
                  </w:r>
                </w:p>
              </w:tc>
            </w:tr>
          </w:tbl>
          <w:p>
            <w:pPr>
              <w:pStyle w:val="TableContents"/>
              <w:bidi w:val="0"/>
              <w:spacing w:before="0" w:after="283"/>
              <w:jc w:val="left"/>
              <w:rPr/>
            </w:pPr>
            <w:r>
              <w:rPr/>
            </w:r>
          </w:p>
        </w:tc>
        <w:tc>
          <w:tcPr>
            <w:tcW w:w="35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3"/>
        <w:gridCol w:w="4452"/>
      </w:tblGrid>
      <w:tr>
        <w:trPr/>
        <w:tc>
          <w:tcPr>
            <w:tcW w:w="57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Phillip Meyer</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Phillip Meyer, Director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52" w:type="dxa"/>
            <w:tcBorders/>
            <w:vAlign w:val="center"/>
          </w:tcPr>
          <w:p>
            <w:pPr>
              <w:pStyle w:val="TableContents"/>
              <w:bidi w:val="0"/>
              <w:spacing w:before="0" w:after="283"/>
              <w:jc w:val="left"/>
              <w:rPr>
                <w:sz w:val="4"/>
                <w:szCs w:val="4"/>
              </w:rPr>
            </w:pPr>
            <w:r>
              <w:rPr>
                <w:sz w:val="4"/>
                <w:szCs w:val="4"/>
              </w:rPr>
            </w:r>
          </w:p>
        </w:tc>
      </w:tr>
    </w:tbl>
    <w:tbl>
      <w:tblPr>
        <w:tblW w:w="2892" w:type="dxa"/>
        <w:jc w:val="left"/>
        <w:tblInd w:w="0" w:type="dxa"/>
        <w:tblLayout w:type="fixed"/>
        <w:tblCellMar>
          <w:top w:w="28" w:type="dxa"/>
          <w:left w:w="28" w:type="dxa"/>
          <w:bottom w:w="28" w:type="dxa"/>
          <w:right w:w="28" w:type="dxa"/>
        </w:tblCellMar>
      </w:tblPr>
      <w:tblGrid>
        <w:gridCol w:w="1446"/>
        <w:gridCol w:w="1446"/>
      </w:tblGrid>
      <w:tr>
        <w:trPr/>
        <w:tc>
          <w:tcPr>
            <w:tcW w:w="1446" w:type="dxa"/>
            <w:tcBorders/>
            <w:vAlign w:val="center"/>
          </w:tcPr>
          <w:p>
            <w:pPr>
              <w:pStyle w:val="TableContents"/>
              <w:bidi w:val="0"/>
              <w:spacing w:before="0" w:after="0"/>
              <w:jc w:val="left"/>
              <w:rPr/>
            </w:pPr>
            <w:r>
              <w:rPr/>
              <w:t> </w:t>
            </w:r>
          </w:p>
          <w:tbl>
            <w:tblPr>
              <w:tblW w:w="1336" w:type="dxa"/>
              <w:jc w:val="left"/>
              <w:tblInd w:w="0" w:type="dxa"/>
              <w:tblLayout w:type="fixed"/>
              <w:tblCellMar>
                <w:top w:w="28" w:type="dxa"/>
                <w:left w:w="28" w:type="dxa"/>
                <w:bottom w:w="28" w:type="dxa"/>
                <w:right w:w="28" w:type="dxa"/>
              </w:tblCellMar>
            </w:tblPr>
            <w:tblGrid>
              <w:gridCol w:w="1336"/>
            </w:tblGrid>
            <w:tr>
              <w:trPr/>
              <w:tc>
                <w:tcPr>
                  <w:tcW w:w="1336" w:type="dxa"/>
                  <w:tcBorders/>
                  <w:vAlign w:val="center"/>
                </w:tcPr>
                <w:p>
                  <w:pPr>
                    <w:pStyle w:val="TableContents"/>
                    <w:bidi w:val="0"/>
                    <w:spacing w:before="0" w:after="0"/>
                    <w:jc w:val="left"/>
                    <w:rPr/>
                  </w:pPr>
                  <w:r>
                    <w:rPr/>
                    <w:t>Seth Fischer</w:t>
                  </w:r>
                </w:p>
              </w:tc>
            </w:tr>
          </w:tbl>
          <w:p>
            <w:pPr>
              <w:pStyle w:val="TableContents"/>
              <w:bidi w:val="0"/>
              <w:spacing w:before="0" w:after="283"/>
              <w:jc w:val="left"/>
              <w:rPr/>
            </w:pPr>
            <w:r>
              <w:rPr/>
            </w:r>
          </w:p>
        </w:tc>
        <w:tc>
          <w:tcPr>
            <w:tcW w:w="144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7"/>
        <w:gridCol w:w="4418"/>
      </w:tblGrid>
      <w:tr>
        <w:trPr/>
        <w:tc>
          <w:tcPr>
            <w:tcW w:w="578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Seth Fischer</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Seth Fischer, individually</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1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1341</Words>
  <Characters>6802</Characters>
  <CharactersWithSpaces>8113</CharactersWithSpaces>
  <Paragraphs>208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