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Vail Resorts,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91879Q109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91879Q109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BAMCO INC /NY/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3,992,394.00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4,122,937.00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4,122,937.00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91879Q109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4,679,385.00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4,809,928.00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4,809,928.00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13.44 %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91879Q109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686,991.00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686,991.00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686,991.00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91879Q109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Ronald Baron</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4,679,385.00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4,809,928.00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4,809,928.00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91879Q109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Growth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1,000,000.00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1,000,000.00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1,000,000.00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2.80 %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40"/>
          </w:cols>
          <w:pgMar w:left="360" w:top="112" w:right="4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Vail Resorts,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390 Interlocken Crescent, Broomfield, CO 80021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Baron Capital Group, Inc. ("BCG"), BAMCO, Inc. ("BAMCO"), Baron Capital Management, Inc. ("BCM"), Ronald Baron, Baron Growth Fund ("BGF")</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Fifth Avenue, 49th Floor, New York, NY 10153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BCG, BAMCO and BCM are New York corporations. Ronald Baron is a citizen of the United States. BGF is a series of a Massachusetts Business Trust.</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91879Q109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300"/>
            <w:col w:w="10120"/>
          </w:cols>
          <w:pgMar w:left="360" w:top="112" w:right="499" w:bottom="0" w:gutter="0" w:footer="0" w:header="0"/>
          <w:type w:val="continuous"/>
        </w:sectPr>
      </w:pP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ectPr>
          <w:pgSz w:w="11900" w:h="16838" w:orient="portrait"/>
          <w:cols w:equalWidth="0" w:num="1">
            <w:col w:w="11040"/>
          </w:cols>
          <w:pgMar w:left="360" w:top="112" w:right="499" w:bottom="0" w:gutter="0" w:footer="0" w:header="0"/>
          <w:type w:val="continuous"/>
        </w:sectPr>
      </w:pPr>
    </w:p>
    <w:bookmarkStart w:id="5" w:name="page6"/>
    <w:bookmarkEnd w:id="5"/>
    <w:p>
      <w:pPr>
        <w:ind w:left="920" w:right="7740" w:hanging="912"/>
        <w:spacing w:after="0" w:line="371"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4,809,928</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13.44 %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4,679,385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4,809,928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auto"/>
        </w:rPr>
        <w:t>The advisory clients of BAMCO and BCM have the right to receive 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BAMCO and BCM are subsidiaries of BCG. BGF is an advisory client of BAMCO. Ronald Baron owns a controlling interest in BCG.</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57"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3.</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11" w:right="399" w:bottom="57"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BAMCO INC /NY/</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Ronald Baron</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Baron Growth Fund</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2026-02-17T09:47:36Z</dcterms:created>
  <dcterms:modified xsi:type="dcterms:W3CDTF">2026-02-17T09:47:36Z</dcterms:modified>
</cp:coreProperties>
</file>