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10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6" w:lineRule="exact"/>
        <w:rPr>
          <w:sz w:val="24"/>
          <w:szCs w:val="24"/>
          <w:color w:val="auto"/>
        </w:rPr>
      </w:pPr>
    </w:p>
    <w:p>
      <w:pPr>
        <w:ind w:left="2400"/>
        <w:spacing w:after="0"/>
        <w:tabs>
          <w:tab w:leader="none" w:pos="650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240.14a-11 (c) or Section 240.14a-12</w:t>
      </w:r>
    </w:p>
    <w:p>
      <w:pPr>
        <w:spacing w:after="0" w:line="3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420" w:hanging="347"/>
        <w:spacing w:after="0"/>
        <w:tabs>
          <w:tab w:leader="none" w:pos="4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20" w:hanging="347"/>
        <w:spacing w:after="0"/>
        <w:tabs>
          <w:tab w:leader="none" w:pos="4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20" w:hanging="347"/>
        <w:spacing w:after="0"/>
        <w:tabs>
          <w:tab w:leader="none" w:pos="4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6" w:right="1440" w:bottom="1440" w:gutter="0" w:footer="0" w:header="0"/>
        </w:sectPr>
      </w:pPr>
    </w:p>
    <w:bookmarkStart w:id="1" w:name="page2"/>
    <w:bookmarkEnd w:id="1"/>
    <w:p>
      <w:pPr>
        <w:jc w:val="right"/>
        <w:spacing w:after="0"/>
        <w:rPr>
          <w:sz w:val="20"/>
          <w:szCs w:val="20"/>
          <w:color w:val="auto"/>
        </w:rPr>
      </w:pPr>
      <w:r>
        <w:rPr>
          <w:rFonts w:ascii="Arial" w:cs="Arial" w:eastAsia="Arial" w:hAnsi="Arial"/>
          <w:sz w:val="15"/>
          <w:szCs w:val="15"/>
          <w:b w:val="1"/>
          <w:bCs w:val="1"/>
          <w:color w:val="032E5C"/>
        </w:rPr>
        <w:drawing>
          <wp:anchor simplePos="0" relativeHeight="251657728" behindDoc="1" locked="0" layoutInCell="0" allowOverlap="1">
            <wp:simplePos x="0" y="0"/>
            <wp:positionH relativeFrom="page">
              <wp:posOffset>5454650</wp:posOffset>
            </wp:positionH>
            <wp:positionV relativeFrom="page">
              <wp:posOffset>629285</wp:posOffset>
            </wp:positionV>
            <wp:extent cx="1885950" cy="179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85950" cy="179705"/>
                    </a:xfrm>
                    <a:prstGeom prst="rect">
                      <a:avLst/>
                    </a:prstGeom>
                    <a:noFill/>
                  </pic:spPr>
                </pic:pic>
              </a:graphicData>
            </a:graphic>
          </wp:anchor>
        </w:drawing>
        <w:t>EXPERIENCE OF A LIFETIME</w:t>
      </w:r>
      <w:r>
        <w:rPr>
          <w:rFonts w:ascii="Arial" w:cs="Arial" w:eastAsia="Arial" w:hAnsi="Arial"/>
          <w:sz w:val="15"/>
          <w:szCs w:val="15"/>
          <w:color w:val="032E5C"/>
        </w:rPr>
        <w:t>™</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29292B"/>
        </w:rPr>
        <w:t>390 Interlocken Crescent</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29292B"/>
        </w:rPr>
        <w:t>Broomfield, Colorado 80021</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29292B"/>
        </w:rPr>
        <w:t>October 23, 2024</w:t>
      </w:r>
    </w:p>
    <w:p>
      <w:pPr>
        <w:spacing w:after="0" w:line="200" w:lineRule="exact"/>
        <w:rPr>
          <w:sz w:val="20"/>
          <w:szCs w:val="20"/>
          <w:color w:val="auto"/>
        </w:rPr>
      </w:pPr>
    </w:p>
    <w:p>
      <w:pPr>
        <w:spacing w:after="0" w:line="243" w:lineRule="exact"/>
        <w:rPr>
          <w:sz w:val="20"/>
          <w:szCs w:val="20"/>
          <w:color w:val="auto"/>
        </w:rPr>
      </w:pPr>
    </w:p>
    <w:p>
      <w:pPr>
        <w:ind w:right="540"/>
        <w:spacing w:after="0" w:line="298" w:lineRule="auto"/>
        <w:rPr>
          <w:sz w:val="20"/>
          <w:szCs w:val="20"/>
          <w:color w:val="auto"/>
        </w:rPr>
      </w:pPr>
      <w:r>
        <w:rPr>
          <w:rFonts w:ascii="Arial" w:cs="Arial" w:eastAsia="Arial" w:hAnsi="Arial"/>
          <w:sz w:val="50"/>
          <w:szCs w:val="50"/>
          <w:b w:val="1"/>
          <w:bCs w:val="1"/>
          <w:color w:val="032E5C"/>
        </w:rPr>
        <w:t>NOTICE OF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5397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29292B"/>
        </w:rPr>
        <w:t>To be held on December 5, 2024</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To our Stockholders:</w:t>
      </w:r>
    </w:p>
    <w:p>
      <w:pPr>
        <w:spacing w:after="0" w:line="195"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29292B"/>
        </w:rPr>
        <w:t>The 2024 Annual Meeting of Stockholders of Vail Resorts, Inc., a Delaware corporation (the “Company”), will be held via a live virtual shareholder meeting on Wednesday, December 5, 2024 at 9:00 a.m., Mountain Time. The annual meeting will be held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31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31645"/>
                    </a:xfrm>
                    <a:prstGeom prst="rect">
                      <a:avLst/>
                    </a:prstGeom>
                    <a:noFill/>
                  </pic:spPr>
                </pic:pic>
              </a:graphicData>
            </a:graphic>
          </wp:anchor>
        </w:drawing>
      </w:r>
    </w:p>
    <w:p>
      <w:pPr>
        <w:spacing w:after="0" w:line="108" w:lineRule="exact"/>
        <w:rPr>
          <w:sz w:val="20"/>
          <w:szCs w:val="20"/>
          <w:color w:val="auto"/>
        </w:rPr>
      </w:pPr>
    </w:p>
    <w:p>
      <w:pPr>
        <w:ind w:left="260" w:right="580" w:firstLine="692"/>
        <w:spacing w:after="0" w:line="223" w:lineRule="auto"/>
        <w:rPr>
          <w:sz w:val="20"/>
          <w:szCs w:val="20"/>
          <w:color w:val="auto"/>
        </w:rPr>
      </w:pPr>
      <w:r>
        <w:rPr>
          <w:rFonts w:ascii="Arial" w:cs="Arial" w:eastAsia="Arial" w:hAnsi="Arial"/>
          <w:sz w:val="16"/>
          <w:szCs w:val="16"/>
          <w:color w:val="032E5C"/>
        </w:rPr>
        <w:t xml:space="preserve">Elect the twelve directors named in the attached proxy statement to serve for a one-year term and until their successors are elected and </w:t>
      </w:r>
      <w:r>
        <w:rPr>
          <w:rFonts w:ascii="Arial" w:cs="Arial" w:eastAsia="Arial" w:hAnsi="Arial"/>
          <w:sz w:val="28"/>
          <w:szCs w:val="28"/>
          <w:b w:val="1"/>
          <w:bCs w:val="1"/>
          <w:color w:val="032E5C"/>
        </w:rPr>
        <w:t xml:space="preserve">1 </w:t>
      </w:r>
      <w:r>
        <w:rPr>
          <w:rFonts w:ascii="Arial" w:cs="Arial" w:eastAsia="Arial" w:hAnsi="Arial"/>
          <w:sz w:val="16"/>
          <w:szCs w:val="16"/>
          <w:color w:val="032E5C"/>
        </w:rPr>
        <w:t>qualified;</w:t>
      </w:r>
    </w:p>
    <w:p>
      <w:pPr>
        <w:spacing w:after="0" w:line="151" w:lineRule="exact"/>
        <w:rPr>
          <w:sz w:val="20"/>
          <w:szCs w:val="20"/>
          <w:color w:val="auto"/>
        </w:rPr>
      </w:pPr>
    </w:p>
    <w:p>
      <w:pPr>
        <w:ind w:left="260" w:right="620" w:firstLine="692"/>
        <w:spacing w:after="0" w:line="223" w:lineRule="auto"/>
        <w:rPr>
          <w:sz w:val="20"/>
          <w:szCs w:val="20"/>
          <w:color w:val="auto"/>
        </w:rPr>
      </w:pPr>
      <w:r>
        <w:rPr>
          <w:rFonts w:ascii="Arial" w:cs="Arial" w:eastAsia="Arial" w:hAnsi="Arial"/>
          <w:sz w:val="16"/>
          <w:szCs w:val="16"/>
          <w:color w:val="032E5C"/>
        </w:rPr>
        <w:t xml:space="preserve">Ratify the selection of PricewaterhouseCoopers LLP as the Company’s independent registered public accounting firm for the fiscal year </w:t>
      </w:r>
      <w:r>
        <w:rPr>
          <w:rFonts w:ascii="Arial" w:cs="Arial" w:eastAsia="Arial" w:hAnsi="Arial"/>
          <w:sz w:val="28"/>
          <w:szCs w:val="28"/>
          <w:b w:val="1"/>
          <w:bCs w:val="1"/>
          <w:color w:val="032E5C"/>
        </w:rPr>
        <w:t xml:space="preserve">2 </w:t>
      </w:r>
      <w:r>
        <w:rPr>
          <w:rFonts w:ascii="Arial" w:cs="Arial" w:eastAsia="Arial" w:hAnsi="Arial"/>
          <w:sz w:val="16"/>
          <w:szCs w:val="16"/>
          <w:color w:val="032E5C"/>
        </w:rPr>
        <w:t>ending July 31, 2025;</w:t>
      </w:r>
    </w:p>
    <w:p>
      <w:pPr>
        <w:ind w:left="940" w:hanging="688"/>
        <w:spacing w:after="0" w:line="181" w:lineRule="auto"/>
        <w:tabs>
          <w:tab w:leader="none" w:pos="940" w:val="left"/>
        </w:tabs>
        <w:numPr>
          <w:ilvl w:val="0"/>
          <w:numId w:val="6"/>
        </w:numPr>
        <w:rPr>
          <w:rFonts w:ascii="Arial" w:cs="Arial" w:eastAsia="Arial" w:hAnsi="Arial"/>
          <w:sz w:val="42"/>
          <w:szCs w:val="42"/>
          <w:b w:val="1"/>
          <w:bCs w:val="1"/>
          <w:color w:val="032E5C"/>
          <w:vertAlign w:val="subscript"/>
        </w:rPr>
      </w:pPr>
      <w:r>
        <w:rPr>
          <w:rFonts w:ascii="Arial" w:cs="Arial" w:eastAsia="Arial" w:hAnsi="Arial"/>
          <w:sz w:val="14"/>
          <w:szCs w:val="14"/>
          <w:color w:val="032E5C"/>
        </w:rPr>
        <w:t>Hold an advisory vote to approve executive compensation;</w:t>
      </w:r>
    </w:p>
    <w:p>
      <w:pPr>
        <w:ind w:left="940" w:hanging="688"/>
        <w:spacing w:after="0" w:line="182" w:lineRule="auto"/>
        <w:tabs>
          <w:tab w:leader="none" w:pos="940" w:val="left"/>
        </w:tabs>
        <w:numPr>
          <w:ilvl w:val="0"/>
          <w:numId w:val="7"/>
        </w:numPr>
        <w:rPr>
          <w:rFonts w:ascii="Arial" w:cs="Arial" w:eastAsia="Arial" w:hAnsi="Arial"/>
          <w:sz w:val="48"/>
          <w:szCs w:val="48"/>
          <w:b w:val="1"/>
          <w:bCs w:val="1"/>
          <w:color w:val="032E5C"/>
          <w:vertAlign w:val="subscript"/>
        </w:rPr>
      </w:pPr>
      <w:r>
        <w:rPr>
          <w:rFonts w:ascii="Arial" w:cs="Arial" w:eastAsia="Arial" w:hAnsi="Arial"/>
          <w:sz w:val="15"/>
          <w:szCs w:val="15"/>
          <w:color w:val="032E5C"/>
        </w:rPr>
        <w:t>Hold a vote to approve the Vail Resorts, Inc. 2024 Omnibus Incentive Plan; and</w:t>
      </w:r>
    </w:p>
    <w:p>
      <w:pPr>
        <w:spacing w:after="0" w:line="205" w:lineRule="exact"/>
        <w:rPr>
          <w:sz w:val="20"/>
          <w:szCs w:val="20"/>
          <w:color w:val="auto"/>
        </w:rPr>
      </w:pPr>
    </w:p>
    <w:p>
      <w:pPr>
        <w:ind w:left="260" w:right="780" w:firstLine="692"/>
        <w:spacing w:after="0" w:line="223" w:lineRule="auto"/>
        <w:rPr>
          <w:sz w:val="20"/>
          <w:szCs w:val="20"/>
          <w:color w:val="auto"/>
        </w:rPr>
      </w:pPr>
      <w:r>
        <w:rPr>
          <w:rFonts w:ascii="Arial" w:cs="Arial" w:eastAsia="Arial" w:hAnsi="Arial"/>
          <w:sz w:val="16"/>
          <w:szCs w:val="16"/>
          <w:color w:val="032E5C"/>
        </w:rPr>
        <w:t xml:space="preserve">Transact such other business as may properly come before the annual meeting or any adjournments or postponements of the annual </w:t>
      </w:r>
      <w:r>
        <w:rPr>
          <w:rFonts w:ascii="Arial" w:cs="Arial" w:eastAsia="Arial" w:hAnsi="Arial"/>
          <w:sz w:val="28"/>
          <w:szCs w:val="28"/>
          <w:b w:val="1"/>
          <w:bCs w:val="1"/>
          <w:color w:val="032E5C"/>
        </w:rPr>
        <w:t xml:space="preserve">5 </w:t>
      </w:r>
      <w:r>
        <w:rPr>
          <w:rFonts w:ascii="Arial" w:cs="Arial" w:eastAsia="Arial" w:hAnsi="Arial"/>
          <w:sz w:val="16"/>
          <w:szCs w:val="16"/>
          <w:color w:val="032E5C"/>
        </w:rPr>
        <w:t>meeting.</w:t>
      </w:r>
    </w:p>
    <w:p>
      <w:pPr>
        <w:spacing w:after="0" w:line="394"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29292B"/>
        </w:rPr>
        <w:t xml:space="preserve">These items of business are more fully described in this proxy statement accompanying this notice. You will be able to attend the virtual annual meeting online by visiting </w:t>
      </w:r>
      <w:r>
        <w:rPr>
          <w:rFonts w:ascii="Arial" w:cs="Arial" w:eastAsia="Arial" w:hAnsi="Arial"/>
          <w:sz w:val="16"/>
          <w:szCs w:val="16"/>
          <w:i w:val="1"/>
          <w:iCs w:val="1"/>
          <w:color w:val="29292B"/>
        </w:rPr>
        <w:t>www.virtualshareholdermeeting.com/MTN2024</w:t>
      </w:r>
      <w:r>
        <w:rPr>
          <w:rFonts w:ascii="Arial" w:cs="Arial" w:eastAsia="Arial" w:hAnsi="Arial"/>
          <w:sz w:val="16"/>
          <w:szCs w:val="16"/>
          <w:color w:val="29292B"/>
        </w:rPr>
        <w:t>. You also will be able to vote your shares electronically at the virtual annual meeting. The annual meeting will include a discussion of and voting on matters described in the Notice of 2024 Annual Meeting of Stockholders and this proxy statement and a brief question and answer session. The question and answer session will be limited only to questions relating to the proposals set forth in the Notice and Proxy Statement. We will not be providing a business update or answering any business or company performance related questions at the annual meeting as we expect to release our results for the first quarter of fiscal 2025 on Monday, December 9, 2024, and hold an investor call to discuss the results at that time.</w:t>
      </w:r>
    </w:p>
    <w:p>
      <w:pPr>
        <w:spacing w:after="0" w:line="10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29292B"/>
        </w:rPr>
        <w:t>Only holders of record of shares of our common stock at the close of business on October 8, 2024 (the “Record Date”) are entitled to receive notice of, and to vote at, the annual meeting or at any postponement or adjournment thereof. A list of stockholders entitled to vote at the annual meeting will be available for examination by any stockholder at the annual meeting on the virtual meeting website and for ten days prior to the annual meeting at our principal executive offices located at 390 Interlocken Crescent, Broomfield, Colorado 80021.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 w:name="page3"/>
    <w:bookmarkEnd w:id="2"/>
    <w:p>
      <w:pPr>
        <w:ind w:right="140"/>
        <w:spacing w:after="0" w:line="312" w:lineRule="auto"/>
        <w:rPr>
          <w:sz w:val="20"/>
          <w:szCs w:val="20"/>
          <w:color w:val="auto"/>
        </w:rPr>
      </w:pPr>
      <w:r>
        <w:rPr>
          <w:rFonts w:ascii="Arial" w:cs="Arial" w:eastAsia="Arial" w:hAnsi="Arial"/>
          <w:sz w:val="16"/>
          <w:szCs w:val="16"/>
          <w:color w:val="29292B"/>
        </w:rPr>
        <w:t xml:space="preserve">Only such stockholders, their proxy holders, and our invited guests may attend the annual meeting. To participate in the virtual annual meeting, visit </w:t>
      </w:r>
      <w:r>
        <w:rPr>
          <w:rFonts w:ascii="Arial" w:cs="Arial" w:eastAsia="Arial" w:hAnsi="Arial"/>
          <w:sz w:val="16"/>
          <w:szCs w:val="16"/>
          <w:i w:val="1"/>
          <w:iCs w:val="1"/>
          <w:color w:val="29292B"/>
        </w:rPr>
        <w:t xml:space="preserve">www.virtualshareholdermeeting.com/MTN2024 </w:t>
      </w:r>
      <w:r>
        <w:rPr>
          <w:rFonts w:ascii="Arial" w:cs="Arial" w:eastAsia="Arial" w:hAnsi="Arial"/>
          <w:sz w:val="16"/>
          <w:szCs w:val="16"/>
          <w:color w:val="29292B"/>
        </w:rPr>
        <w:t>and log in using the 16-digit control number printed in the box marked by the arrow on your proxy card. For</w:t>
      </w:r>
      <w:r>
        <w:rPr>
          <w:rFonts w:ascii="Arial" w:cs="Arial" w:eastAsia="Arial" w:hAnsi="Arial"/>
          <w:sz w:val="16"/>
          <w:szCs w:val="16"/>
          <w:i w:val="1"/>
          <w:iCs w:val="1"/>
          <w:color w:val="29292B"/>
        </w:rPr>
        <w:t xml:space="preserve"> </w:t>
      </w:r>
      <w:r>
        <w:rPr>
          <w:rFonts w:ascii="Arial" w:cs="Arial" w:eastAsia="Arial" w:hAnsi="Arial"/>
          <w:sz w:val="16"/>
          <w:szCs w:val="16"/>
          <w:color w:val="29292B"/>
        </w:rPr>
        <w:t>more information concerning the annual meeting, including how to participate, please see “The Annual Meeting and Voting - Questions and Answers” beginning on page 93.</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29292B"/>
        </w:rPr>
        <w:t>We elected to provide access to our proxy materials over the Internet. Accordingly, we will mail, on or about October 23, 2024, a Notice of Internet Availability of Proxy Materials to our stockholders of record and beneficial owners as of the close of business on the Record Date. On the date of mailing of the Notice of Internet Availability of Proxy Materials, all stockholders and beneficial owners will have the ability to access all of the proxy materials on a website referred to and at the URL address included in the Notice of Internet Availability of Proxy Materials.</w:t>
      </w:r>
    </w:p>
    <w:p>
      <w:pPr>
        <w:spacing w:after="0" w:line="101"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29292B"/>
        </w:rPr>
        <w:t>The Notice of Internet Availability of Proxy Materials will also identify the date, the time, and website for the annual meeting; the matters to be acted upon at the annual meeting and the Board of Directors’ recommendation with regard to each matter; a toll-free telephone number, an e-mail address, and a website where stockholders can request a paper or e-mail copy of the proxy statement, our annual report, and a form of proxy relating to the annual meeting; information on how to access and vote the form of proxy; and information on how to attend the virtual annual meeting and vote electronically. These proxy materials will be available free of charge.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Your vote is extremely important.</w:t>
      </w:r>
    </w:p>
    <w:p>
      <w:pPr>
        <w:spacing w:after="0" w:line="126"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 xml:space="preserve">We appreciate your taking the time to vote promptly. After reading the proxy statement, please vote at your earliest convenience by telephone or Internet, or request a proxy card to complete, sign, and return by mail. If you vote at the annual meeting, your previously submitted proxy will be revoked automatically and only your vote at the annual meeting will be counted. </w:t>
      </w:r>
      <w:r>
        <w:rPr>
          <w:rFonts w:ascii="Arial" w:cs="Arial" w:eastAsia="Arial" w:hAnsi="Arial"/>
          <w:sz w:val="16"/>
          <w:szCs w:val="16"/>
          <w:b w:val="1"/>
          <w:bCs w:val="1"/>
          <w:color w:val="29292B"/>
        </w:rPr>
        <w:t>Your shares cannot be voted unless you vote by: (i) telephone, (ii) Internet, (iii) requesting a</w:t>
      </w:r>
      <w:r>
        <w:rPr>
          <w:rFonts w:ascii="Arial" w:cs="Arial" w:eastAsia="Arial" w:hAnsi="Arial"/>
          <w:sz w:val="16"/>
          <w:szCs w:val="16"/>
          <w:color w:val="29292B"/>
        </w:rPr>
        <w:t xml:space="preserve"> </w:t>
      </w:r>
      <w:r>
        <w:rPr>
          <w:rFonts w:ascii="Arial" w:cs="Arial" w:eastAsia="Arial" w:hAnsi="Arial"/>
          <w:sz w:val="16"/>
          <w:szCs w:val="16"/>
          <w:b w:val="1"/>
          <w:bCs w:val="1"/>
          <w:color w:val="29292B"/>
        </w:rPr>
        <w:t xml:space="preserve">paper proxy card, to complete, sign, and return by mail, or (iv) attending the virtual annual meeting and voting electronically. </w:t>
      </w:r>
      <w:r>
        <w:rPr>
          <w:rFonts w:ascii="Arial" w:cs="Arial" w:eastAsia="Arial" w:hAnsi="Arial"/>
          <w:sz w:val="16"/>
          <w:szCs w:val="16"/>
          <w:color w:val="29292B"/>
        </w:rPr>
        <w:t>Please note that all</w:t>
      </w:r>
      <w:r>
        <w:rPr>
          <w:rFonts w:ascii="Arial" w:cs="Arial" w:eastAsia="Arial" w:hAnsi="Arial"/>
          <w:sz w:val="16"/>
          <w:szCs w:val="16"/>
          <w:b w:val="1"/>
          <w:bCs w:val="1"/>
          <w:color w:val="29292B"/>
        </w:rPr>
        <w:t xml:space="preserve"> </w:t>
      </w:r>
      <w:r>
        <w:rPr>
          <w:rFonts w:ascii="Arial" w:cs="Arial" w:eastAsia="Arial" w:hAnsi="Arial"/>
          <w:sz w:val="16"/>
          <w:szCs w:val="16"/>
          <w:color w:val="29292B"/>
        </w:rPr>
        <w:t>votes cast via telephone or the Internet must be cast prior to 11:59 p.m., Eastern Time, on Wednesday, December 4, 2024.</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29292B"/>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114935</wp:posOffset>
            </wp:positionV>
            <wp:extent cx="144018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1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6"/>
          <w:szCs w:val="16"/>
          <w:color w:val="29292B"/>
        </w:rPr>
        <w:t>Julie A. DeCecco</w:t>
      </w:r>
    </w:p>
    <w:p>
      <w:pPr>
        <w:spacing w:after="0" w:line="102" w:lineRule="exact"/>
        <w:rPr>
          <w:sz w:val="20"/>
          <w:szCs w:val="20"/>
          <w:color w:val="auto"/>
        </w:rPr>
      </w:pPr>
    </w:p>
    <w:p>
      <w:pPr>
        <w:ind w:left="5640"/>
        <w:spacing w:after="0"/>
        <w:rPr>
          <w:sz w:val="20"/>
          <w:szCs w:val="20"/>
          <w:color w:val="auto"/>
        </w:rPr>
      </w:pPr>
      <w:r>
        <w:rPr>
          <w:rFonts w:ascii="Arial" w:cs="Arial" w:eastAsia="Arial" w:hAnsi="Arial"/>
          <w:sz w:val="16"/>
          <w:szCs w:val="16"/>
          <w:i w:val="1"/>
          <w:iCs w:val="1"/>
          <w:color w:val="29292B"/>
        </w:rPr>
        <w:t>Executive Vice President, General Counsel and Chief Public Affairs Officer</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6"/>
          <w:szCs w:val="16"/>
          <w:color w:val="29292B"/>
        </w:rPr>
        <w:t>Broomfield, Colorado</w:t>
      </w:r>
    </w:p>
    <w:p>
      <w:pPr>
        <w:spacing w:after="0" w:line="100" w:lineRule="exact"/>
        <w:rPr>
          <w:sz w:val="20"/>
          <w:szCs w:val="20"/>
          <w:color w:val="auto"/>
        </w:rPr>
      </w:pPr>
    </w:p>
    <w:p>
      <w:pPr>
        <w:ind w:left="5640"/>
        <w:spacing w:after="0"/>
        <w:rPr>
          <w:sz w:val="20"/>
          <w:szCs w:val="20"/>
          <w:color w:val="auto"/>
        </w:rPr>
      </w:pPr>
      <w:r>
        <w:rPr>
          <w:rFonts w:ascii="Arial" w:cs="Arial" w:eastAsia="Arial" w:hAnsi="Arial"/>
          <w:sz w:val="16"/>
          <w:szCs w:val="16"/>
          <w:color w:val="29292B"/>
        </w:rPr>
        <w:t>October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985520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3" w:name="page4"/>
    <w:bookmarkEnd w:id="3"/>
    <w:p>
      <w:pPr>
        <w:spacing w:after="0"/>
        <w:rPr>
          <w:sz w:val="20"/>
          <w:szCs w:val="20"/>
          <w:color w:val="auto"/>
        </w:rPr>
      </w:pPr>
      <w:r>
        <w:rPr>
          <w:rFonts w:ascii="Arial" w:cs="Arial" w:eastAsia="Arial" w:hAnsi="Arial"/>
          <w:sz w:val="50"/>
          <w:szCs w:val="50"/>
          <w:b w:val="1"/>
          <w:bCs w:val="1"/>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ectPr>
          <w:pgSz w:w="11900" w:h="16838" w:orient="portrait"/>
          <w:cols w:equalWidth="0" w:num="1">
            <w:col w:w="10940"/>
          </w:cols>
          <w:pgMar w:left="320" w:top="117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32E5C"/>
        </w:rPr>
        <w:t>Our Company</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32E5C"/>
        </w:rPr>
        <w:t>Proxy Summary</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32E5C"/>
        </w:rPr>
        <w:t>Proposal 1. Election of Directors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032E5C"/>
        </w:rPr>
        <w:t>Information with Respect to Nominees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32E5C"/>
        </w:rPr>
        <w:t>Management</w:t>
      </w:r>
    </w:p>
    <w:p>
      <w:pPr>
        <w:spacing w:after="0" w:line="69" w:lineRule="exact"/>
        <w:rPr>
          <w:sz w:val="20"/>
          <w:szCs w:val="20"/>
          <w:color w:val="auto"/>
        </w:rPr>
      </w:pPr>
    </w:p>
    <w:p>
      <w:pPr>
        <w:ind w:left="20" w:right="600"/>
        <w:spacing w:after="0" w:line="342" w:lineRule="auto"/>
        <w:rPr>
          <w:sz w:val="20"/>
          <w:szCs w:val="20"/>
          <w:color w:val="auto"/>
        </w:rPr>
      </w:pPr>
      <w:r>
        <w:rPr>
          <w:rFonts w:ascii="Arial" w:cs="Arial" w:eastAsia="Arial" w:hAnsi="Arial"/>
          <w:sz w:val="14"/>
          <w:szCs w:val="14"/>
          <w:b w:val="1"/>
          <w:bCs w:val="1"/>
          <w:color w:val="032E5C"/>
        </w:rPr>
        <w:t>Security Ownership of Directors and Executive Officers Information as to Certain Stockholders Corporate Governance</w:t>
      </w:r>
    </w:p>
    <w:p>
      <w:pPr>
        <w:ind w:left="180"/>
        <w:spacing w:after="0"/>
        <w:rPr>
          <w:sz w:val="20"/>
          <w:szCs w:val="20"/>
          <w:color w:val="auto"/>
        </w:rPr>
      </w:pPr>
      <w:r>
        <w:rPr>
          <w:rFonts w:ascii="Arial" w:cs="Arial" w:eastAsia="Arial" w:hAnsi="Arial"/>
          <w:sz w:val="14"/>
          <w:szCs w:val="14"/>
          <w:color w:val="032E5C"/>
        </w:rPr>
        <w:t>Corporate Governance Guidelines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032E5C"/>
        </w:rPr>
        <w:t>Board Leadership and Lead Independent Director</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032E5C"/>
        </w:rPr>
        <w:t>Meetings of the Board</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032E5C"/>
        </w:rPr>
        <w:t>Executive Sessions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032E5C"/>
        </w:rPr>
        <w:t>Director Nominations</w:t>
      </w:r>
    </w:p>
    <w:p>
      <w:pPr>
        <w:spacing w:after="0" w:line="123" w:lineRule="exact"/>
        <w:rPr>
          <w:sz w:val="20"/>
          <w:szCs w:val="20"/>
          <w:color w:val="auto"/>
        </w:rPr>
      </w:pPr>
    </w:p>
    <w:p>
      <w:pPr>
        <w:ind w:left="180" w:right="1600"/>
        <w:spacing w:after="0" w:line="422" w:lineRule="auto"/>
        <w:rPr>
          <w:sz w:val="20"/>
          <w:szCs w:val="20"/>
          <w:color w:val="auto"/>
        </w:rPr>
      </w:pPr>
      <w:r>
        <w:rPr>
          <w:rFonts w:ascii="Arial" w:cs="Arial" w:eastAsia="Arial" w:hAnsi="Arial"/>
          <w:sz w:val="14"/>
          <w:szCs w:val="14"/>
          <w:color w:val="032E5C"/>
        </w:rPr>
        <w:t>Determinations Regarding Independence Communications with the Board Code of Ethics and Business Conduct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032E5C"/>
        </w:rPr>
        <w:t>Risk Management</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032E5C"/>
        </w:rPr>
        <w:t>Compensation Risk Assessment</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032E5C"/>
        </w:rPr>
        <w:t>Committees of the Board</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color w:val="032E5C"/>
        </w:rPr>
        <w:t>The Audit Committee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032E5C"/>
        </w:rPr>
        <w:t>Audit Committee Report</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color w:val="032E5C"/>
        </w:rPr>
        <w:t>The Compensation Committee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032E5C"/>
        </w:rPr>
        <w:t>Compensation Committee Report</w:t>
      </w:r>
    </w:p>
    <w:p>
      <w:pPr>
        <w:spacing w:after="0" w:line="123" w:lineRule="exact"/>
        <w:rPr>
          <w:sz w:val="20"/>
          <w:szCs w:val="20"/>
          <w:color w:val="auto"/>
        </w:rPr>
      </w:pPr>
    </w:p>
    <w:p>
      <w:pPr>
        <w:ind w:left="360" w:right="1360"/>
        <w:spacing w:after="0" w:line="422" w:lineRule="auto"/>
        <w:rPr>
          <w:sz w:val="20"/>
          <w:szCs w:val="20"/>
          <w:color w:val="auto"/>
        </w:rPr>
      </w:pPr>
      <w:r>
        <w:rPr>
          <w:rFonts w:ascii="Arial" w:cs="Arial" w:eastAsia="Arial" w:hAnsi="Arial"/>
          <w:sz w:val="14"/>
          <w:szCs w:val="14"/>
          <w:color w:val="032E5C"/>
        </w:rPr>
        <w:t>The Nominating &amp; Governance Committee The Executive Committee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32E5C"/>
        </w:rPr>
        <w:t>Director Compensation</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032E5C"/>
        </w:rPr>
        <w:t>Director Compensation for Fiscal 2024</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032E5C"/>
        </w:rPr>
        <w:t>Director Cash Compensation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032E5C"/>
        </w:rPr>
        <w:t>Director Equity Compensation</w:t>
      </w:r>
    </w:p>
    <w:p>
      <w:pPr>
        <w:spacing w:after="0" w:line="123" w:lineRule="exact"/>
        <w:rPr>
          <w:sz w:val="20"/>
          <w:szCs w:val="20"/>
          <w:color w:val="auto"/>
        </w:rPr>
      </w:pPr>
    </w:p>
    <w:p>
      <w:pPr>
        <w:ind w:left="180" w:right="620"/>
        <w:spacing w:after="0" w:line="422" w:lineRule="auto"/>
        <w:rPr>
          <w:sz w:val="20"/>
          <w:szCs w:val="20"/>
          <w:color w:val="auto"/>
        </w:rPr>
      </w:pPr>
      <w:r>
        <w:rPr>
          <w:rFonts w:ascii="Arial" w:cs="Arial" w:eastAsia="Arial" w:hAnsi="Arial"/>
          <w:sz w:val="14"/>
          <w:szCs w:val="14"/>
          <w:color w:val="032E5C"/>
        </w:rPr>
        <w:t>Limited Director Perquisites and Personal Benefits Stock Ownership Guidelines for Non-Employee Directors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32E5C"/>
        </w:rPr>
        <w:t>Transactions with Related Persons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032E5C"/>
        </w:rPr>
        <w:t>Related Party Transactions Policy and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Pr>
          <w:p>
            <w:pPr>
              <w:spacing w:after="0"/>
              <w:rPr>
                <w:sz w:val="20"/>
                <w:szCs w:val="20"/>
                <w:color w:val="auto"/>
              </w:rPr>
            </w:pPr>
            <w:r>
              <w:rPr>
                <w:rFonts w:ascii="Arial" w:cs="Arial" w:eastAsia="Arial" w:hAnsi="Arial"/>
                <w:sz w:val="14"/>
                <w:szCs w:val="14"/>
                <w:b w:val="1"/>
                <w:bCs w:val="1"/>
                <w:color w:val="032E5C"/>
              </w:rPr>
              <w:t>i</w:t>
            </w:r>
          </w:p>
        </w:tc>
        <w:tc>
          <w:tcPr>
            <w:tcW w:w="5140" w:type="dxa"/>
            <w:vAlign w:val="bottom"/>
          </w:tcPr>
          <w:p>
            <w:pPr>
              <w:ind w:left="160"/>
              <w:spacing w:after="0"/>
              <w:rPr>
                <w:sz w:val="20"/>
                <w:szCs w:val="20"/>
                <w:color w:val="auto"/>
              </w:rPr>
            </w:pPr>
            <w:r>
              <w:rPr>
                <w:rFonts w:ascii="Arial" w:cs="Arial" w:eastAsia="Arial" w:hAnsi="Arial"/>
                <w:sz w:val="14"/>
                <w:szCs w:val="14"/>
                <w:b w:val="1"/>
                <w:bCs w:val="1"/>
                <w:color w:val="032E5C"/>
              </w:rPr>
              <w:t>Executive Compensation</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032E5C"/>
              </w:rPr>
              <w:t>43</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20"/>
                <w:szCs w:val="20"/>
                <w:color w:val="auto"/>
              </w:rPr>
            </w:pPr>
            <w:r>
              <w:rPr>
                <w:rFonts w:ascii="Arial" w:cs="Arial" w:eastAsia="Arial" w:hAnsi="Arial"/>
                <w:sz w:val="14"/>
                <w:szCs w:val="14"/>
                <w:b w:val="1"/>
                <w:bCs w:val="1"/>
                <w:color w:val="032E5C"/>
              </w:rPr>
              <w:t>1</w:t>
            </w:r>
          </w:p>
        </w:tc>
        <w:tc>
          <w:tcPr>
            <w:tcW w:w="5140" w:type="dxa"/>
            <w:vAlign w:val="bottom"/>
          </w:tcPr>
          <w:p>
            <w:pPr>
              <w:ind w:left="320"/>
              <w:spacing w:after="0"/>
              <w:rPr>
                <w:sz w:val="20"/>
                <w:szCs w:val="20"/>
                <w:color w:val="auto"/>
              </w:rPr>
            </w:pPr>
            <w:r>
              <w:rPr>
                <w:rFonts w:ascii="Arial" w:cs="Arial" w:eastAsia="Arial" w:hAnsi="Arial"/>
                <w:sz w:val="14"/>
                <w:szCs w:val="14"/>
                <w:color w:val="032E5C"/>
              </w:rPr>
              <w:t>Compensation Discussion and Analysis</w:t>
            </w:r>
          </w:p>
        </w:tc>
        <w:tc>
          <w:tcPr>
            <w:tcW w:w="340" w:type="dxa"/>
            <w:vAlign w:val="bottom"/>
          </w:tcPr>
          <w:p>
            <w:pPr>
              <w:ind w:left="100"/>
              <w:spacing w:after="0"/>
              <w:rPr>
                <w:sz w:val="20"/>
                <w:szCs w:val="20"/>
                <w:color w:val="auto"/>
              </w:rPr>
            </w:pPr>
            <w:r>
              <w:rPr>
                <w:rFonts w:ascii="Arial" w:cs="Arial" w:eastAsia="Arial" w:hAnsi="Arial"/>
                <w:sz w:val="14"/>
                <w:szCs w:val="14"/>
                <w:color w:val="032E5C"/>
              </w:rPr>
              <w:t>43</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4"/>
                <w:szCs w:val="14"/>
                <w:b w:val="1"/>
                <w:bCs w:val="1"/>
                <w:color w:val="032E5C"/>
              </w:rPr>
              <w:t>11</w:t>
            </w:r>
          </w:p>
        </w:tc>
        <w:tc>
          <w:tcPr>
            <w:tcW w:w="5140" w:type="dxa"/>
            <w:vAlign w:val="bottom"/>
            <w:vMerge w:val="restart"/>
          </w:tcPr>
          <w:p>
            <w:pPr>
              <w:ind w:left="500"/>
              <w:spacing w:after="0"/>
              <w:rPr>
                <w:sz w:val="20"/>
                <w:szCs w:val="20"/>
                <w:color w:val="auto"/>
              </w:rPr>
            </w:pPr>
            <w:r>
              <w:rPr>
                <w:rFonts w:ascii="Arial" w:cs="Arial" w:eastAsia="Arial" w:hAnsi="Arial"/>
                <w:sz w:val="14"/>
                <w:szCs w:val="14"/>
                <w:color w:val="032E5C"/>
              </w:rPr>
              <w:t>Company Performance Highlights</w:t>
            </w:r>
          </w:p>
        </w:tc>
        <w:tc>
          <w:tcPr>
            <w:tcW w:w="340" w:type="dxa"/>
            <w:vAlign w:val="bottom"/>
            <w:vMerge w:val="restart"/>
          </w:tcPr>
          <w:p>
            <w:pPr>
              <w:ind w:left="100"/>
              <w:spacing w:after="0"/>
              <w:rPr>
                <w:sz w:val="20"/>
                <w:szCs w:val="20"/>
                <w:color w:val="auto"/>
              </w:rPr>
            </w:pPr>
            <w:r>
              <w:rPr>
                <w:rFonts w:ascii="Arial" w:cs="Arial" w:eastAsia="Arial" w:hAnsi="Arial"/>
                <w:sz w:val="14"/>
                <w:szCs w:val="14"/>
                <w:color w:val="032E5C"/>
              </w:rPr>
              <w:t>43</w:t>
            </w:r>
          </w:p>
        </w:tc>
        <w:tc>
          <w:tcPr>
            <w:tcW w:w="0" w:type="dxa"/>
            <w:vAlign w:val="bottom"/>
          </w:tcPr>
          <w:p>
            <w:pPr>
              <w:spacing w:after="0"/>
              <w:rPr>
                <w:sz w:val="1"/>
                <w:szCs w:val="1"/>
                <w:color w:val="auto"/>
              </w:rPr>
            </w:pPr>
          </w:p>
        </w:tc>
      </w:tr>
      <w:tr>
        <w:trPr>
          <w:trHeight w:val="48"/>
        </w:trPr>
        <w:tc>
          <w:tcPr>
            <w:tcW w:w="320" w:type="dxa"/>
            <w:vAlign w:val="bottom"/>
            <w:vMerge w:val="restart"/>
          </w:tcPr>
          <w:p>
            <w:pPr>
              <w:spacing w:after="0"/>
              <w:rPr>
                <w:sz w:val="20"/>
                <w:szCs w:val="20"/>
                <w:color w:val="auto"/>
              </w:rPr>
            </w:pPr>
            <w:r>
              <w:rPr>
                <w:rFonts w:ascii="Arial" w:cs="Arial" w:eastAsia="Arial" w:hAnsi="Arial"/>
                <w:sz w:val="14"/>
                <w:szCs w:val="14"/>
                <w:color w:val="032E5C"/>
              </w:rPr>
              <w:t>11</w:t>
            </w:r>
          </w:p>
        </w:tc>
        <w:tc>
          <w:tcPr>
            <w:tcW w:w="514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 w:type="dxa"/>
            <w:vAlign w:val="bottom"/>
            <w:vMerge w:val="continue"/>
          </w:tcPr>
          <w:p>
            <w:pPr>
              <w:spacing w:after="0"/>
              <w:rPr>
                <w:sz w:val="15"/>
                <w:szCs w:val="15"/>
                <w:color w:val="auto"/>
              </w:rPr>
            </w:pPr>
          </w:p>
        </w:tc>
        <w:tc>
          <w:tcPr>
            <w:tcW w:w="5140" w:type="dxa"/>
            <w:vAlign w:val="bottom"/>
            <w:vMerge w:val="restart"/>
          </w:tcPr>
          <w:p>
            <w:pPr>
              <w:ind w:left="500"/>
              <w:spacing w:after="0"/>
              <w:rPr>
                <w:sz w:val="20"/>
                <w:szCs w:val="20"/>
                <w:color w:val="auto"/>
              </w:rPr>
            </w:pPr>
            <w:r>
              <w:rPr>
                <w:rFonts w:ascii="Arial" w:cs="Arial" w:eastAsia="Arial" w:hAnsi="Arial"/>
                <w:sz w:val="14"/>
                <w:szCs w:val="14"/>
                <w:color w:val="032E5C"/>
              </w:rPr>
              <w:t>Executive Summary of our Compensation Program</w:t>
            </w:r>
          </w:p>
        </w:tc>
        <w:tc>
          <w:tcPr>
            <w:tcW w:w="340" w:type="dxa"/>
            <w:vAlign w:val="bottom"/>
            <w:vMerge w:val="restart"/>
          </w:tcPr>
          <w:p>
            <w:pPr>
              <w:ind w:left="100"/>
              <w:spacing w:after="0"/>
              <w:rPr>
                <w:sz w:val="20"/>
                <w:szCs w:val="20"/>
                <w:color w:val="auto"/>
              </w:rPr>
            </w:pPr>
            <w:r>
              <w:rPr>
                <w:rFonts w:ascii="Arial" w:cs="Arial" w:eastAsia="Arial" w:hAnsi="Arial"/>
                <w:sz w:val="14"/>
                <w:szCs w:val="14"/>
                <w:color w:val="032E5C"/>
              </w:rPr>
              <w:t>44</w:t>
            </w:r>
          </w:p>
        </w:tc>
        <w:tc>
          <w:tcPr>
            <w:tcW w:w="0" w:type="dxa"/>
            <w:vAlign w:val="bottom"/>
          </w:tcPr>
          <w:p>
            <w:pPr>
              <w:spacing w:after="0"/>
              <w:rPr>
                <w:sz w:val="1"/>
                <w:szCs w:val="1"/>
                <w:color w:val="auto"/>
              </w:rPr>
            </w:pPr>
          </w:p>
        </w:tc>
      </w:tr>
      <w:tr>
        <w:trPr>
          <w:trHeight w:val="108"/>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032E5C"/>
              </w:rPr>
              <w:t>25</w:t>
            </w:r>
          </w:p>
        </w:tc>
        <w:tc>
          <w:tcPr>
            <w:tcW w:w="51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20" w:type="dxa"/>
            <w:vAlign w:val="bottom"/>
            <w:vMerge w:val="continue"/>
          </w:tcPr>
          <w:p>
            <w:pPr>
              <w:spacing w:after="0"/>
              <w:rPr>
                <w:sz w:val="15"/>
                <w:szCs w:val="15"/>
                <w:color w:val="auto"/>
              </w:rPr>
            </w:pPr>
          </w:p>
        </w:tc>
        <w:tc>
          <w:tcPr>
            <w:tcW w:w="5140" w:type="dxa"/>
            <w:vAlign w:val="bottom"/>
            <w:vMerge w:val="restart"/>
          </w:tcPr>
          <w:p>
            <w:pPr>
              <w:ind w:left="500"/>
              <w:spacing w:after="0"/>
              <w:rPr>
                <w:sz w:val="20"/>
                <w:szCs w:val="20"/>
                <w:color w:val="auto"/>
              </w:rPr>
            </w:pPr>
            <w:r>
              <w:rPr>
                <w:rFonts w:ascii="Arial" w:cs="Arial" w:eastAsia="Arial" w:hAnsi="Arial"/>
                <w:sz w:val="14"/>
                <w:szCs w:val="14"/>
                <w:color w:val="032E5C"/>
              </w:rPr>
              <w:t>Key Objectives of Our Executive Compensation Program</w:t>
            </w:r>
          </w:p>
        </w:tc>
        <w:tc>
          <w:tcPr>
            <w:tcW w:w="340" w:type="dxa"/>
            <w:vAlign w:val="bottom"/>
            <w:vMerge w:val="restart"/>
          </w:tcPr>
          <w:p>
            <w:pPr>
              <w:ind w:left="100"/>
              <w:spacing w:after="0"/>
              <w:rPr>
                <w:sz w:val="20"/>
                <w:szCs w:val="20"/>
                <w:color w:val="auto"/>
              </w:rPr>
            </w:pPr>
            <w:r>
              <w:rPr>
                <w:rFonts w:ascii="Arial" w:cs="Arial" w:eastAsia="Arial" w:hAnsi="Arial"/>
                <w:sz w:val="14"/>
                <w:szCs w:val="14"/>
                <w:color w:val="032E5C"/>
              </w:rPr>
              <w:t>47</w:t>
            </w:r>
          </w:p>
        </w:tc>
        <w:tc>
          <w:tcPr>
            <w:tcW w:w="0" w:type="dxa"/>
            <w:vAlign w:val="bottom"/>
          </w:tcPr>
          <w:p>
            <w:pPr>
              <w:spacing w:after="0"/>
              <w:rPr>
                <w:sz w:val="1"/>
                <w:szCs w:val="1"/>
                <w:color w:val="auto"/>
              </w:rPr>
            </w:pPr>
          </w:p>
        </w:tc>
      </w:tr>
      <w:tr>
        <w:trPr>
          <w:trHeight w:val="102"/>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032E5C"/>
              </w:rPr>
              <w:t>27</w:t>
            </w:r>
          </w:p>
        </w:tc>
        <w:tc>
          <w:tcPr>
            <w:tcW w:w="51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20" w:type="dxa"/>
            <w:vAlign w:val="bottom"/>
            <w:vMerge w:val="continue"/>
          </w:tcPr>
          <w:p>
            <w:pPr>
              <w:spacing w:after="0"/>
              <w:rPr>
                <w:sz w:val="11"/>
                <w:szCs w:val="11"/>
                <w:color w:val="auto"/>
              </w:rPr>
            </w:pPr>
          </w:p>
        </w:tc>
        <w:tc>
          <w:tcPr>
            <w:tcW w:w="5140" w:type="dxa"/>
            <w:vAlign w:val="bottom"/>
            <w:vMerge w:val="restart"/>
          </w:tcPr>
          <w:p>
            <w:pPr>
              <w:ind w:left="500"/>
              <w:spacing w:after="0"/>
              <w:rPr>
                <w:sz w:val="20"/>
                <w:szCs w:val="20"/>
                <w:color w:val="auto"/>
              </w:rPr>
            </w:pPr>
            <w:r>
              <w:rPr>
                <w:rFonts w:ascii="Arial" w:cs="Arial" w:eastAsia="Arial" w:hAnsi="Arial"/>
                <w:sz w:val="14"/>
                <w:szCs w:val="14"/>
                <w:color w:val="032E5C"/>
              </w:rPr>
              <w:t>Compensation Decision Process</w:t>
            </w:r>
          </w:p>
        </w:tc>
        <w:tc>
          <w:tcPr>
            <w:tcW w:w="340" w:type="dxa"/>
            <w:vAlign w:val="bottom"/>
            <w:vMerge w:val="restart"/>
          </w:tcPr>
          <w:p>
            <w:pPr>
              <w:ind w:left="100"/>
              <w:spacing w:after="0"/>
              <w:rPr>
                <w:sz w:val="20"/>
                <w:szCs w:val="20"/>
                <w:color w:val="auto"/>
              </w:rPr>
            </w:pPr>
            <w:r>
              <w:rPr>
                <w:rFonts w:ascii="Arial" w:cs="Arial" w:eastAsia="Arial" w:hAnsi="Arial"/>
                <w:sz w:val="14"/>
                <w:szCs w:val="14"/>
                <w:color w:val="032E5C"/>
              </w:rPr>
              <w:t>48</w:t>
            </w:r>
          </w:p>
        </w:tc>
        <w:tc>
          <w:tcPr>
            <w:tcW w:w="0" w:type="dxa"/>
            <w:vAlign w:val="bottom"/>
          </w:tcPr>
          <w:p>
            <w:pPr>
              <w:spacing w:after="0"/>
              <w:rPr>
                <w:sz w:val="1"/>
                <w:szCs w:val="1"/>
                <w:color w:val="auto"/>
              </w:rPr>
            </w:pPr>
          </w:p>
        </w:tc>
      </w:tr>
      <w:tr>
        <w:trPr>
          <w:trHeight w:val="156"/>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032E5C"/>
              </w:rPr>
              <w:t>29</w:t>
            </w:r>
          </w:p>
        </w:tc>
        <w:tc>
          <w:tcPr>
            <w:tcW w:w="514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320" w:type="dxa"/>
            <w:vAlign w:val="bottom"/>
            <w:vMerge w:val="continue"/>
          </w:tcPr>
          <w:p>
            <w:pPr>
              <w:spacing w:after="0"/>
              <w:rPr>
                <w:sz w:val="6"/>
                <w:szCs w:val="6"/>
                <w:color w:val="auto"/>
              </w:rPr>
            </w:pPr>
          </w:p>
        </w:tc>
        <w:tc>
          <w:tcPr>
            <w:tcW w:w="5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20"/>
                <w:szCs w:val="20"/>
                <w:color w:val="auto"/>
              </w:rPr>
            </w:pPr>
            <w:r>
              <w:rPr>
                <w:rFonts w:ascii="Arial" w:cs="Arial" w:eastAsia="Arial" w:hAnsi="Arial"/>
                <w:sz w:val="14"/>
                <w:szCs w:val="14"/>
                <w:b w:val="1"/>
                <w:bCs w:val="1"/>
                <w:color w:val="032E5C"/>
              </w:rPr>
              <w:t>30</w:t>
            </w:r>
          </w:p>
        </w:tc>
        <w:tc>
          <w:tcPr>
            <w:tcW w:w="5140" w:type="dxa"/>
            <w:vAlign w:val="bottom"/>
          </w:tcPr>
          <w:p>
            <w:pPr>
              <w:ind w:left="500"/>
              <w:spacing w:after="0"/>
              <w:rPr>
                <w:sz w:val="20"/>
                <w:szCs w:val="20"/>
                <w:color w:val="auto"/>
              </w:rPr>
            </w:pPr>
            <w:r>
              <w:rPr>
                <w:rFonts w:ascii="Arial" w:cs="Arial" w:eastAsia="Arial" w:hAnsi="Arial"/>
                <w:sz w:val="14"/>
                <w:szCs w:val="14"/>
                <w:color w:val="032E5C"/>
              </w:rPr>
              <w:t>Elements of Compensation</w:t>
            </w:r>
          </w:p>
        </w:tc>
        <w:tc>
          <w:tcPr>
            <w:tcW w:w="340" w:type="dxa"/>
            <w:vAlign w:val="bottom"/>
          </w:tcPr>
          <w:p>
            <w:pPr>
              <w:ind w:left="100"/>
              <w:spacing w:after="0"/>
              <w:rPr>
                <w:sz w:val="20"/>
                <w:szCs w:val="20"/>
                <w:color w:val="auto"/>
              </w:rPr>
            </w:pPr>
            <w:r>
              <w:rPr>
                <w:rFonts w:ascii="Arial" w:cs="Arial" w:eastAsia="Arial" w:hAnsi="Arial"/>
                <w:sz w:val="14"/>
                <w:szCs w:val="14"/>
                <w:color w:val="032E5C"/>
              </w:rPr>
              <w:t>50</w:t>
            </w:r>
          </w:p>
        </w:tc>
        <w:tc>
          <w:tcPr>
            <w:tcW w:w="0" w:type="dxa"/>
            <w:vAlign w:val="bottom"/>
          </w:tcPr>
          <w:p>
            <w:pPr>
              <w:spacing w:after="0"/>
              <w:rPr>
                <w:sz w:val="1"/>
                <w:szCs w:val="1"/>
                <w:color w:val="auto"/>
              </w:rPr>
            </w:pPr>
          </w:p>
        </w:tc>
      </w:tr>
      <w:tr>
        <w:trPr>
          <w:trHeight w:val="264"/>
        </w:trPr>
        <w:tc>
          <w:tcPr>
            <w:tcW w:w="320" w:type="dxa"/>
            <w:vAlign w:val="bottom"/>
          </w:tcPr>
          <w:p>
            <w:pPr>
              <w:spacing w:after="0"/>
              <w:rPr>
                <w:sz w:val="20"/>
                <w:szCs w:val="20"/>
                <w:color w:val="auto"/>
              </w:rPr>
            </w:pPr>
            <w:r>
              <w:rPr>
                <w:rFonts w:ascii="Arial" w:cs="Arial" w:eastAsia="Arial" w:hAnsi="Arial"/>
                <w:sz w:val="14"/>
                <w:szCs w:val="14"/>
                <w:color w:val="032E5C"/>
              </w:rPr>
              <w:t>30</w:t>
            </w:r>
          </w:p>
        </w:tc>
        <w:tc>
          <w:tcPr>
            <w:tcW w:w="5140" w:type="dxa"/>
            <w:vAlign w:val="bottom"/>
          </w:tcPr>
          <w:p>
            <w:pPr>
              <w:ind w:left="500"/>
              <w:spacing w:after="0"/>
              <w:rPr>
                <w:sz w:val="20"/>
                <w:szCs w:val="20"/>
                <w:color w:val="auto"/>
              </w:rPr>
            </w:pPr>
            <w:r>
              <w:rPr>
                <w:rFonts w:ascii="Arial" w:cs="Arial" w:eastAsia="Arial" w:hAnsi="Arial"/>
                <w:sz w:val="14"/>
                <w:szCs w:val="14"/>
                <w:color w:val="032E5C"/>
              </w:rPr>
              <w:t>2024 Compensation Decisions</w:t>
            </w:r>
          </w:p>
        </w:tc>
        <w:tc>
          <w:tcPr>
            <w:tcW w:w="340" w:type="dxa"/>
            <w:vAlign w:val="bottom"/>
          </w:tcPr>
          <w:p>
            <w:pPr>
              <w:ind w:left="100"/>
              <w:spacing w:after="0"/>
              <w:rPr>
                <w:sz w:val="20"/>
                <w:szCs w:val="20"/>
                <w:color w:val="auto"/>
              </w:rPr>
            </w:pPr>
            <w:r>
              <w:rPr>
                <w:rFonts w:ascii="Arial" w:cs="Arial" w:eastAsia="Arial" w:hAnsi="Arial"/>
                <w:sz w:val="14"/>
                <w:szCs w:val="14"/>
                <w:color w:val="032E5C"/>
              </w:rPr>
              <w:t>52</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0"/>
                <w:szCs w:val="20"/>
                <w:color w:val="auto"/>
              </w:rPr>
            </w:pPr>
            <w:r>
              <w:rPr>
                <w:rFonts w:ascii="Arial" w:cs="Arial" w:eastAsia="Arial" w:hAnsi="Arial"/>
                <w:sz w:val="14"/>
                <w:szCs w:val="14"/>
                <w:color w:val="032E5C"/>
              </w:rPr>
              <w:t>30</w:t>
            </w:r>
          </w:p>
        </w:tc>
        <w:tc>
          <w:tcPr>
            <w:tcW w:w="5140" w:type="dxa"/>
            <w:vAlign w:val="bottom"/>
          </w:tcPr>
          <w:p>
            <w:pPr>
              <w:ind w:left="500"/>
              <w:spacing w:after="0"/>
              <w:rPr>
                <w:sz w:val="20"/>
                <w:szCs w:val="20"/>
                <w:color w:val="auto"/>
              </w:rPr>
            </w:pPr>
            <w:r>
              <w:rPr>
                <w:rFonts w:ascii="Arial" w:cs="Arial" w:eastAsia="Arial" w:hAnsi="Arial"/>
                <w:sz w:val="14"/>
                <w:szCs w:val="14"/>
                <w:color w:val="032E5C"/>
              </w:rPr>
              <w:t>Other Executive Compensation Policies and Practices</w:t>
            </w:r>
          </w:p>
        </w:tc>
        <w:tc>
          <w:tcPr>
            <w:tcW w:w="340" w:type="dxa"/>
            <w:vAlign w:val="bottom"/>
          </w:tcPr>
          <w:p>
            <w:pPr>
              <w:ind w:left="100"/>
              <w:spacing w:after="0"/>
              <w:rPr>
                <w:sz w:val="20"/>
                <w:szCs w:val="20"/>
                <w:color w:val="auto"/>
              </w:rPr>
            </w:pPr>
            <w:r>
              <w:rPr>
                <w:rFonts w:ascii="Arial" w:cs="Arial" w:eastAsia="Arial" w:hAnsi="Arial"/>
                <w:sz w:val="14"/>
                <w:szCs w:val="14"/>
                <w:color w:val="032E5C"/>
              </w:rPr>
              <w:t>56</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4"/>
                <w:szCs w:val="14"/>
                <w:color w:val="032E5C"/>
              </w:rPr>
              <w:t>31</w:t>
            </w:r>
          </w:p>
        </w:tc>
        <w:tc>
          <w:tcPr>
            <w:tcW w:w="5140" w:type="dxa"/>
            <w:vAlign w:val="bottom"/>
          </w:tcPr>
          <w:p>
            <w:pPr>
              <w:ind w:left="500"/>
              <w:spacing w:after="0"/>
              <w:rPr>
                <w:sz w:val="20"/>
                <w:szCs w:val="20"/>
                <w:color w:val="auto"/>
              </w:rPr>
            </w:pPr>
            <w:r>
              <w:rPr>
                <w:rFonts w:ascii="Arial" w:cs="Arial" w:eastAsia="Arial" w:hAnsi="Arial"/>
                <w:sz w:val="14"/>
                <w:szCs w:val="14"/>
                <w:color w:val="032E5C"/>
              </w:rPr>
              <w:t>Summary Compensation Table for Fiscal 2024</w:t>
            </w:r>
          </w:p>
        </w:tc>
        <w:tc>
          <w:tcPr>
            <w:tcW w:w="340" w:type="dxa"/>
            <w:vAlign w:val="bottom"/>
          </w:tcPr>
          <w:p>
            <w:pPr>
              <w:ind w:left="100"/>
              <w:spacing w:after="0"/>
              <w:rPr>
                <w:sz w:val="20"/>
                <w:szCs w:val="20"/>
                <w:color w:val="auto"/>
              </w:rPr>
            </w:pPr>
            <w:r>
              <w:rPr>
                <w:rFonts w:ascii="Arial" w:cs="Arial" w:eastAsia="Arial" w:hAnsi="Arial"/>
                <w:sz w:val="14"/>
                <w:szCs w:val="14"/>
                <w:color w:val="032E5C"/>
              </w:rPr>
              <w:t>58</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4"/>
                <w:szCs w:val="14"/>
                <w:color w:val="032E5C"/>
              </w:rPr>
              <w:t>31</w:t>
            </w:r>
          </w:p>
        </w:tc>
        <w:tc>
          <w:tcPr>
            <w:tcW w:w="5140" w:type="dxa"/>
            <w:vAlign w:val="bottom"/>
          </w:tcPr>
          <w:p>
            <w:pPr>
              <w:ind w:left="500"/>
              <w:spacing w:after="0"/>
              <w:rPr>
                <w:sz w:val="20"/>
                <w:szCs w:val="20"/>
                <w:color w:val="auto"/>
              </w:rPr>
            </w:pPr>
            <w:r>
              <w:rPr>
                <w:rFonts w:ascii="Arial" w:cs="Arial" w:eastAsia="Arial" w:hAnsi="Arial"/>
                <w:sz w:val="14"/>
                <w:szCs w:val="14"/>
                <w:color w:val="032E5C"/>
              </w:rPr>
              <w:t>Grants of Plan-Based Awards in Fiscal 2024</w:t>
            </w:r>
          </w:p>
        </w:tc>
        <w:tc>
          <w:tcPr>
            <w:tcW w:w="340" w:type="dxa"/>
            <w:vAlign w:val="bottom"/>
          </w:tcPr>
          <w:p>
            <w:pPr>
              <w:ind w:left="100"/>
              <w:spacing w:after="0"/>
              <w:rPr>
                <w:sz w:val="20"/>
                <w:szCs w:val="20"/>
                <w:color w:val="auto"/>
              </w:rPr>
            </w:pPr>
            <w:r>
              <w:rPr>
                <w:rFonts w:ascii="Arial" w:cs="Arial" w:eastAsia="Arial" w:hAnsi="Arial"/>
                <w:sz w:val="14"/>
                <w:szCs w:val="14"/>
                <w:color w:val="032E5C"/>
              </w:rPr>
              <w:t>60</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4"/>
                <w:szCs w:val="14"/>
                <w:color w:val="032E5C"/>
              </w:rPr>
              <w:t>31</w:t>
            </w:r>
          </w:p>
        </w:tc>
        <w:tc>
          <w:tcPr>
            <w:tcW w:w="5140" w:type="dxa"/>
            <w:vAlign w:val="bottom"/>
          </w:tcPr>
          <w:p>
            <w:pPr>
              <w:ind w:left="500"/>
              <w:spacing w:after="0"/>
              <w:rPr>
                <w:sz w:val="20"/>
                <w:szCs w:val="20"/>
                <w:color w:val="auto"/>
              </w:rPr>
            </w:pPr>
            <w:r>
              <w:rPr>
                <w:rFonts w:ascii="Arial" w:cs="Arial" w:eastAsia="Arial" w:hAnsi="Arial"/>
                <w:sz w:val="14"/>
                <w:szCs w:val="14"/>
                <w:color w:val="032E5C"/>
              </w:rPr>
              <w:t>Employment Agreements</w:t>
            </w:r>
          </w:p>
        </w:tc>
        <w:tc>
          <w:tcPr>
            <w:tcW w:w="340" w:type="dxa"/>
            <w:vAlign w:val="bottom"/>
          </w:tcPr>
          <w:p>
            <w:pPr>
              <w:ind w:left="100"/>
              <w:spacing w:after="0"/>
              <w:rPr>
                <w:sz w:val="20"/>
                <w:szCs w:val="20"/>
                <w:color w:val="auto"/>
              </w:rPr>
            </w:pPr>
            <w:r>
              <w:rPr>
                <w:rFonts w:ascii="Arial" w:cs="Arial" w:eastAsia="Arial" w:hAnsi="Arial"/>
                <w:sz w:val="14"/>
                <w:szCs w:val="14"/>
                <w:color w:val="032E5C"/>
              </w:rPr>
              <w:t>61</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4"/>
                <w:szCs w:val="14"/>
                <w:color w:val="032E5C"/>
              </w:rPr>
              <w:t>32</w:t>
            </w:r>
          </w:p>
        </w:tc>
        <w:tc>
          <w:tcPr>
            <w:tcW w:w="5140" w:type="dxa"/>
            <w:vAlign w:val="bottom"/>
          </w:tcPr>
          <w:p>
            <w:pPr>
              <w:ind w:left="500"/>
              <w:spacing w:after="0"/>
              <w:rPr>
                <w:sz w:val="20"/>
                <w:szCs w:val="20"/>
                <w:color w:val="auto"/>
              </w:rPr>
            </w:pPr>
            <w:r>
              <w:rPr>
                <w:rFonts w:ascii="Arial" w:cs="Arial" w:eastAsia="Arial" w:hAnsi="Arial"/>
                <w:sz w:val="14"/>
                <w:szCs w:val="14"/>
                <w:color w:val="032E5C"/>
              </w:rPr>
              <w:t>Outstanding Equity Awards at Fiscal 2024 Year-End</w:t>
            </w:r>
          </w:p>
        </w:tc>
        <w:tc>
          <w:tcPr>
            <w:tcW w:w="340" w:type="dxa"/>
            <w:vAlign w:val="bottom"/>
          </w:tcPr>
          <w:p>
            <w:pPr>
              <w:ind w:left="100"/>
              <w:spacing w:after="0"/>
              <w:rPr>
                <w:sz w:val="20"/>
                <w:szCs w:val="20"/>
                <w:color w:val="auto"/>
              </w:rPr>
            </w:pPr>
            <w:r>
              <w:rPr>
                <w:rFonts w:ascii="Arial" w:cs="Arial" w:eastAsia="Arial" w:hAnsi="Arial"/>
                <w:sz w:val="14"/>
                <w:szCs w:val="14"/>
                <w:color w:val="032E5C"/>
              </w:rPr>
              <w:t>62</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4"/>
                <w:szCs w:val="14"/>
                <w:color w:val="032E5C"/>
              </w:rPr>
              <w:t>32</w:t>
            </w:r>
          </w:p>
        </w:tc>
        <w:tc>
          <w:tcPr>
            <w:tcW w:w="5140" w:type="dxa"/>
            <w:vAlign w:val="bottom"/>
          </w:tcPr>
          <w:p>
            <w:pPr>
              <w:ind w:left="500"/>
              <w:spacing w:after="0"/>
              <w:rPr>
                <w:sz w:val="20"/>
                <w:szCs w:val="20"/>
                <w:color w:val="auto"/>
              </w:rPr>
            </w:pPr>
            <w:r>
              <w:rPr>
                <w:rFonts w:ascii="Arial" w:cs="Arial" w:eastAsia="Arial" w:hAnsi="Arial"/>
                <w:sz w:val="14"/>
                <w:szCs w:val="14"/>
                <w:color w:val="032E5C"/>
              </w:rPr>
              <w:t>Option Exercises and Stock Vested in Fiscal 2024</w:t>
            </w:r>
          </w:p>
        </w:tc>
        <w:tc>
          <w:tcPr>
            <w:tcW w:w="340" w:type="dxa"/>
            <w:vAlign w:val="bottom"/>
          </w:tcPr>
          <w:p>
            <w:pPr>
              <w:ind w:left="100"/>
              <w:spacing w:after="0"/>
              <w:rPr>
                <w:sz w:val="20"/>
                <w:szCs w:val="20"/>
                <w:color w:val="auto"/>
              </w:rPr>
            </w:pPr>
            <w:r>
              <w:rPr>
                <w:rFonts w:ascii="Arial" w:cs="Arial" w:eastAsia="Arial" w:hAnsi="Arial"/>
                <w:sz w:val="14"/>
                <w:szCs w:val="14"/>
                <w:color w:val="032E5C"/>
              </w:rPr>
              <w:t>66</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0"/>
                <w:szCs w:val="20"/>
                <w:color w:val="auto"/>
              </w:rPr>
            </w:pPr>
            <w:r>
              <w:rPr>
                <w:rFonts w:ascii="Arial" w:cs="Arial" w:eastAsia="Arial" w:hAnsi="Arial"/>
                <w:sz w:val="14"/>
                <w:szCs w:val="14"/>
                <w:color w:val="032E5C"/>
              </w:rPr>
              <w:t>32</w:t>
            </w:r>
          </w:p>
        </w:tc>
        <w:tc>
          <w:tcPr>
            <w:tcW w:w="5140" w:type="dxa"/>
            <w:vAlign w:val="bottom"/>
          </w:tcPr>
          <w:p>
            <w:pPr>
              <w:ind w:left="500"/>
              <w:spacing w:after="0"/>
              <w:rPr>
                <w:sz w:val="20"/>
                <w:szCs w:val="20"/>
                <w:color w:val="auto"/>
              </w:rPr>
            </w:pPr>
            <w:r>
              <w:rPr>
                <w:rFonts w:ascii="Arial" w:cs="Arial" w:eastAsia="Arial" w:hAnsi="Arial"/>
                <w:sz w:val="14"/>
                <w:szCs w:val="14"/>
                <w:color w:val="032E5C"/>
              </w:rPr>
              <w:t>Nonqualified Deferred Compensation for Fiscal 2024</w:t>
            </w:r>
          </w:p>
        </w:tc>
        <w:tc>
          <w:tcPr>
            <w:tcW w:w="340" w:type="dxa"/>
            <w:vAlign w:val="bottom"/>
          </w:tcPr>
          <w:p>
            <w:pPr>
              <w:ind w:left="100"/>
              <w:spacing w:after="0"/>
              <w:rPr>
                <w:sz w:val="20"/>
                <w:szCs w:val="20"/>
                <w:color w:val="auto"/>
              </w:rPr>
            </w:pPr>
            <w:r>
              <w:rPr>
                <w:rFonts w:ascii="Arial" w:cs="Arial" w:eastAsia="Arial" w:hAnsi="Arial"/>
                <w:sz w:val="14"/>
                <w:szCs w:val="14"/>
                <w:color w:val="032E5C"/>
              </w:rPr>
              <w:t>67</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0"/>
                <w:szCs w:val="20"/>
                <w:color w:val="auto"/>
              </w:rPr>
            </w:pPr>
            <w:r>
              <w:rPr>
                <w:rFonts w:ascii="Arial" w:cs="Arial" w:eastAsia="Arial" w:hAnsi="Arial"/>
                <w:sz w:val="14"/>
                <w:szCs w:val="14"/>
                <w:color w:val="032E5C"/>
              </w:rPr>
              <w:t>33</w:t>
            </w:r>
          </w:p>
        </w:tc>
        <w:tc>
          <w:tcPr>
            <w:tcW w:w="5140" w:type="dxa"/>
            <w:vAlign w:val="bottom"/>
          </w:tcPr>
          <w:p>
            <w:pPr>
              <w:ind w:left="500"/>
              <w:spacing w:after="0"/>
              <w:rPr>
                <w:sz w:val="20"/>
                <w:szCs w:val="20"/>
                <w:color w:val="auto"/>
              </w:rPr>
            </w:pPr>
            <w:r>
              <w:rPr>
                <w:rFonts w:ascii="Arial" w:cs="Arial" w:eastAsia="Arial" w:hAnsi="Arial"/>
                <w:sz w:val="14"/>
                <w:szCs w:val="14"/>
                <w:color w:val="032E5C"/>
              </w:rPr>
              <w:t>Potential Payments Upon Termination or Change-In Control</w:t>
            </w:r>
          </w:p>
        </w:tc>
        <w:tc>
          <w:tcPr>
            <w:tcW w:w="340" w:type="dxa"/>
            <w:vAlign w:val="bottom"/>
          </w:tcPr>
          <w:p>
            <w:pPr>
              <w:ind w:left="100"/>
              <w:spacing w:after="0"/>
              <w:rPr>
                <w:sz w:val="20"/>
                <w:szCs w:val="20"/>
                <w:color w:val="auto"/>
              </w:rPr>
            </w:pPr>
            <w:r>
              <w:rPr>
                <w:rFonts w:ascii="Arial" w:cs="Arial" w:eastAsia="Arial" w:hAnsi="Arial"/>
                <w:sz w:val="14"/>
                <w:szCs w:val="14"/>
                <w:color w:val="032E5C"/>
              </w:rPr>
              <w:t>67</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4"/>
                <w:szCs w:val="14"/>
                <w:color w:val="032E5C"/>
              </w:rPr>
              <w:t>33</w:t>
            </w:r>
          </w:p>
        </w:tc>
        <w:tc>
          <w:tcPr>
            <w:tcW w:w="5140" w:type="dxa"/>
            <w:vAlign w:val="bottom"/>
          </w:tcPr>
          <w:p>
            <w:pPr>
              <w:ind w:left="500"/>
              <w:spacing w:after="0"/>
              <w:rPr>
                <w:sz w:val="20"/>
                <w:szCs w:val="20"/>
                <w:color w:val="auto"/>
              </w:rPr>
            </w:pPr>
            <w:r>
              <w:rPr>
                <w:rFonts w:ascii="Arial" w:cs="Arial" w:eastAsia="Arial" w:hAnsi="Arial"/>
                <w:sz w:val="14"/>
                <w:szCs w:val="14"/>
                <w:color w:val="032E5C"/>
              </w:rPr>
              <w:t>Securities Authorized for Issuance Under Equity Compensation Plans</w:t>
            </w:r>
          </w:p>
        </w:tc>
        <w:tc>
          <w:tcPr>
            <w:tcW w:w="340" w:type="dxa"/>
            <w:vAlign w:val="bottom"/>
          </w:tcPr>
          <w:p>
            <w:pPr>
              <w:ind w:left="100"/>
              <w:spacing w:after="0"/>
              <w:rPr>
                <w:sz w:val="20"/>
                <w:szCs w:val="20"/>
                <w:color w:val="auto"/>
              </w:rPr>
            </w:pPr>
            <w:r>
              <w:rPr>
                <w:rFonts w:ascii="Arial" w:cs="Arial" w:eastAsia="Arial" w:hAnsi="Arial"/>
                <w:sz w:val="14"/>
                <w:szCs w:val="14"/>
                <w:color w:val="032E5C"/>
              </w:rPr>
              <w:t>72</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4"/>
                <w:szCs w:val="14"/>
                <w:color w:val="032E5C"/>
              </w:rPr>
              <w:t>33</w:t>
            </w:r>
          </w:p>
        </w:tc>
        <w:tc>
          <w:tcPr>
            <w:tcW w:w="5140" w:type="dxa"/>
            <w:vAlign w:val="bottom"/>
          </w:tcPr>
          <w:p>
            <w:pPr>
              <w:ind w:left="500"/>
              <w:spacing w:after="0"/>
              <w:rPr>
                <w:sz w:val="20"/>
                <w:szCs w:val="20"/>
                <w:color w:val="auto"/>
              </w:rPr>
            </w:pPr>
            <w:r>
              <w:rPr>
                <w:rFonts w:ascii="Arial" w:cs="Arial" w:eastAsia="Arial" w:hAnsi="Arial"/>
                <w:sz w:val="14"/>
                <w:szCs w:val="14"/>
                <w:color w:val="032E5C"/>
              </w:rPr>
              <w:t>Pay Ratio Disclosure</w:t>
            </w:r>
          </w:p>
        </w:tc>
        <w:tc>
          <w:tcPr>
            <w:tcW w:w="340" w:type="dxa"/>
            <w:vAlign w:val="bottom"/>
          </w:tcPr>
          <w:p>
            <w:pPr>
              <w:ind w:left="100"/>
              <w:spacing w:after="0"/>
              <w:rPr>
                <w:sz w:val="20"/>
                <w:szCs w:val="20"/>
                <w:color w:val="auto"/>
              </w:rPr>
            </w:pPr>
            <w:r>
              <w:rPr>
                <w:rFonts w:ascii="Arial" w:cs="Arial" w:eastAsia="Arial" w:hAnsi="Arial"/>
                <w:sz w:val="14"/>
                <w:szCs w:val="14"/>
                <w:color w:val="032E5C"/>
              </w:rPr>
              <w:t>73</w:t>
            </w:r>
          </w:p>
        </w:tc>
        <w:tc>
          <w:tcPr>
            <w:tcW w:w="0" w:type="dxa"/>
            <w:vAlign w:val="bottom"/>
          </w:tcPr>
          <w:p>
            <w:pPr>
              <w:spacing w:after="0"/>
              <w:rPr>
                <w:sz w:val="1"/>
                <w:szCs w:val="1"/>
                <w:color w:val="auto"/>
              </w:rPr>
            </w:pPr>
          </w:p>
        </w:tc>
      </w:tr>
      <w:tr>
        <w:trPr>
          <w:trHeight w:val="290"/>
        </w:trPr>
        <w:tc>
          <w:tcPr>
            <w:tcW w:w="320" w:type="dxa"/>
            <w:vAlign w:val="bottom"/>
          </w:tcPr>
          <w:p>
            <w:pPr>
              <w:spacing w:after="0"/>
              <w:rPr>
                <w:sz w:val="20"/>
                <w:szCs w:val="20"/>
                <w:color w:val="auto"/>
              </w:rPr>
            </w:pPr>
            <w:r>
              <w:rPr>
                <w:rFonts w:ascii="Arial" w:cs="Arial" w:eastAsia="Arial" w:hAnsi="Arial"/>
                <w:sz w:val="14"/>
                <w:szCs w:val="14"/>
                <w:color w:val="032E5C"/>
              </w:rPr>
              <w:t>34</w:t>
            </w:r>
          </w:p>
        </w:tc>
        <w:tc>
          <w:tcPr>
            <w:tcW w:w="5140" w:type="dxa"/>
            <w:vAlign w:val="bottom"/>
          </w:tcPr>
          <w:p>
            <w:pPr>
              <w:ind w:left="160"/>
              <w:spacing w:after="0"/>
              <w:rPr>
                <w:sz w:val="20"/>
                <w:szCs w:val="20"/>
                <w:color w:val="auto"/>
              </w:rPr>
            </w:pPr>
            <w:r>
              <w:rPr>
                <w:rFonts w:ascii="Arial" w:cs="Arial" w:eastAsia="Arial" w:hAnsi="Arial"/>
                <w:sz w:val="14"/>
                <w:szCs w:val="14"/>
                <w:b w:val="1"/>
                <w:bCs w:val="1"/>
                <w:color w:val="032E5C"/>
              </w:rPr>
              <w:t>Pay Versus Performance Disclosure</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032E5C"/>
              </w:rPr>
              <w:t>74</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20"/>
                <w:szCs w:val="20"/>
                <w:color w:val="auto"/>
              </w:rPr>
            </w:pPr>
            <w:r>
              <w:rPr>
                <w:rFonts w:ascii="Arial" w:cs="Arial" w:eastAsia="Arial" w:hAnsi="Arial"/>
                <w:sz w:val="14"/>
                <w:szCs w:val="14"/>
                <w:color w:val="032E5C"/>
              </w:rPr>
              <w:t>35</w:t>
            </w:r>
          </w:p>
        </w:tc>
        <w:tc>
          <w:tcPr>
            <w:tcW w:w="5480" w:type="dxa"/>
            <w:vAlign w:val="bottom"/>
            <w:gridSpan w:val="2"/>
          </w:tcPr>
          <w:p>
            <w:pPr>
              <w:ind w:left="160"/>
              <w:spacing w:after="0"/>
              <w:rPr>
                <w:sz w:val="20"/>
                <w:szCs w:val="20"/>
                <w:color w:val="auto"/>
              </w:rPr>
            </w:pPr>
            <w:r>
              <w:rPr>
                <w:rFonts w:ascii="Arial" w:cs="Arial" w:eastAsia="Arial" w:hAnsi="Arial"/>
                <w:sz w:val="14"/>
                <w:szCs w:val="14"/>
                <w:b w:val="1"/>
                <w:bCs w:val="1"/>
                <w:color w:val="032E5C"/>
              </w:rPr>
              <w:t>Proposal 2. Ratification of the Selection of Independent Registered Public 80</w:t>
            </w:r>
          </w:p>
        </w:tc>
        <w:tc>
          <w:tcPr>
            <w:tcW w:w="0" w:type="dxa"/>
            <w:vAlign w:val="bottom"/>
          </w:tcPr>
          <w:p>
            <w:pPr>
              <w:spacing w:after="0"/>
              <w:rPr>
                <w:sz w:val="1"/>
                <w:szCs w:val="1"/>
                <w:color w:val="auto"/>
              </w:rPr>
            </w:pPr>
          </w:p>
        </w:tc>
      </w:tr>
      <w:tr>
        <w:trPr>
          <w:trHeight w:val="196"/>
        </w:trPr>
        <w:tc>
          <w:tcPr>
            <w:tcW w:w="320" w:type="dxa"/>
            <w:vAlign w:val="bottom"/>
            <w:vMerge w:val="restart"/>
          </w:tcPr>
          <w:p>
            <w:pPr>
              <w:spacing w:after="0"/>
              <w:rPr>
                <w:sz w:val="20"/>
                <w:szCs w:val="20"/>
                <w:color w:val="auto"/>
              </w:rPr>
            </w:pPr>
            <w:r>
              <w:rPr>
                <w:rFonts w:ascii="Arial" w:cs="Arial" w:eastAsia="Arial" w:hAnsi="Arial"/>
                <w:sz w:val="14"/>
                <w:szCs w:val="14"/>
                <w:color w:val="032E5C"/>
              </w:rPr>
              <w:t>35</w:t>
            </w:r>
          </w:p>
        </w:tc>
        <w:tc>
          <w:tcPr>
            <w:tcW w:w="5140" w:type="dxa"/>
            <w:vAlign w:val="bottom"/>
          </w:tcPr>
          <w:p>
            <w:pPr>
              <w:ind w:left="160"/>
              <w:spacing w:after="0"/>
              <w:rPr>
                <w:sz w:val="20"/>
                <w:szCs w:val="20"/>
                <w:color w:val="auto"/>
              </w:rPr>
            </w:pPr>
            <w:r>
              <w:rPr>
                <w:rFonts w:ascii="Arial" w:cs="Arial" w:eastAsia="Arial" w:hAnsi="Arial"/>
                <w:sz w:val="14"/>
                <w:szCs w:val="14"/>
                <w:b w:val="1"/>
                <w:bCs w:val="1"/>
                <w:color w:val="032E5C"/>
              </w:rPr>
              <w:t>Accounting Firm</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20" w:type="dxa"/>
            <w:vAlign w:val="bottom"/>
            <w:vMerge w:val="continue"/>
          </w:tcPr>
          <w:p>
            <w:pPr>
              <w:spacing w:after="0"/>
              <w:rPr>
                <w:sz w:val="10"/>
                <w:szCs w:val="10"/>
                <w:color w:val="auto"/>
              </w:rPr>
            </w:pPr>
          </w:p>
        </w:tc>
        <w:tc>
          <w:tcPr>
            <w:tcW w:w="5140" w:type="dxa"/>
            <w:vAlign w:val="bottom"/>
            <w:vMerge w:val="restart"/>
          </w:tcPr>
          <w:p>
            <w:pPr>
              <w:ind w:left="320"/>
              <w:spacing w:after="0"/>
              <w:rPr>
                <w:sz w:val="20"/>
                <w:szCs w:val="20"/>
                <w:color w:val="auto"/>
              </w:rPr>
            </w:pPr>
            <w:r>
              <w:rPr>
                <w:rFonts w:ascii="Arial" w:cs="Arial" w:eastAsia="Arial" w:hAnsi="Arial"/>
                <w:sz w:val="14"/>
                <w:szCs w:val="14"/>
                <w:color w:val="032E5C"/>
              </w:rPr>
              <w:t>Selection of Independent Registered Public Accounting Firm</w:t>
            </w:r>
          </w:p>
        </w:tc>
        <w:tc>
          <w:tcPr>
            <w:tcW w:w="340" w:type="dxa"/>
            <w:vAlign w:val="bottom"/>
            <w:vMerge w:val="restart"/>
          </w:tcPr>
          <w:p>
            <w:pPr>
              <w:ind w:left="100"/>
              <w:spacing w:after="0"/>
              <w:rPr>
                <w:sz w:val="20"/>
                <w:szCs w:val="20"/>
                <w:color w:val="auto"/>
              </w:rPr>
            </w:pPr>
            <w:r>
              <w:rPr>
                <w:rFonts w:ascii="Arial" w:cs="Arial" w:eastAsia="Arial" w:hAnsi="Arial"/>
                <w:sz w:val="14"/>
                <w:szCs w:val="14"/>
                <w:color w:val="032E5C"/>
              </w:rPr>
              <w:t>80</w:t>
            </w:r>
          </w:p>
        </w:tc>
        <w:tc>
          <w:tcPr>
            <w:tcW w:w="0" w:type="dxa"/>
            <w:vAlign w:val="bottom"/>
          </w:tcPr>
          <w:p>
            <w:pPr>
              <w:spacing w:after="0"/>
              <w:rPr>
                <w:sz w:val="1"/>
                <w:szCs w:val="1"/>
                <w:color w:val="auto"/>
              </w:rPr>
            </w:pPr>
          </w:p>
        </w:tc>
      </w:tr>
      <w:tr>
        <w:trPr>
          <w:trHeight w:val="108"/>
        </w:trPr>
        <w:tc>
          <w:tcPr>
            <w:tcW w:w="320" w:type="dxa"/>
            <w:vAlign w:val="bottom"/>
            <w:vMerge w:val="restart"/>
          </w:tcPr>
          <w:p>
            <w:pPr>
              <w:spacing w:after="0"/>
              <w:rPr>
                <w:sz w:val="20"/>
                <w:szCs w:val="20"/>
                <w:color w:val="auto"/>
              </w:rPr>
            </w:pPr>
            <w:r>
              <w:rPr>
                <w:rFonts w:ascii="Arial" w:cs="Arial" w:eastAsia="Arial" w:hAnsi="Arial"/>
                <w:sz w:val="14"/>
                <w:szCs w:val="14"/>
                <w:color w:val="032E5C"/>
              </w:rPr>
              <w:t>37</w:t>
            </w:r>
          </w:p>
        </w:tc>
        <w:tc>
          <w:tcPr>
            <w:tcW w:w="51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20" w:type="dxa"/>
            <w:vAlign w:val="bottom"/>
            <w:vMerge w:val="continue"/>
          </w:tcPr>
          <w:p>
            <w:pPr>
              <w:spacing w:after="0"/>
              <w:rPr>
                <w:sz w:val="15"/>
                <w:szCs w:val="15"/>
                <w:color w:val="auto"/>
              </w:rPr>
            </w:pPr>
          </w:p>
        </w:tc>
        <w:tc>
          <w:tcPr>
            <w:tcW w:w="5140" w:type="dxa"/>
            <w:vAlign w:val="bottom"/>
            <w:vMerge w:val="restart"/>
          </w:tcPr>
          <w:p>
            <w:pPr>
              <w:ind w:left="320"/>
              <w:spacing w:after="0"/>
              <w:rPr>
                <w:sz w:val="20"/>
                <w:szCs w:val="20"/>
                <w:color w:val="auto"/>
              </w:rPr>
            </w:pPr>
            <w:r>
              <w:rPr>
                <w:rFonts w:ascii="Arial" w:cs="Arial" w:eastAsia="Arial" w:hAnsi="Arial"/>
                <w:sz w:val="14"/>
                <w:szCs w:val="14"/>
                <w:color w:val="032E5C"/>
              </w:rPr>
              <w:t>Fees Billed to Vail Resorts by PricewaterhouseCoopers LLP during Fiscal</w:t>
            </w:r>
          </w:p>
        </w:tc>
        <w:tc>
          <w:tcPr>
            <w:tcW w:w="340" w:type="dxa"/>
            <w:vAlign w:val="bottom"/>
            <w:vMerge w:val="restart"/>
          </w:tcPr>
          <w:p>
            <w:pPr>
              <w:ind w:left="100"/>
              <w:spacing w:after="0"/>
              <w:rPr>
                <w:sz w:val="20"/>
                <w:szCs w:val="20"/>
                <w:color w:val="auto"/>
              </w:rPr>
            </w:pPr>
            <w:r>
              <w:rPr>
                <w:rFonts w:ascii="Arial" w:cs="Arial" w:eastAsia="Arial" w:hAnsi="Arial"/>
                <w:sz w:val="14"/>
                <w:szCs w:val="14"/>
                <w:color w:val="032E5C"/>
              </w:rPr>
              <w:t>80</w:t>
            </w:r>
          </w:p>
        </w:tc>
        <w:tc>
          <w:tcPr>
            <w:tcW w:w="0" w:type="dxa"/>
            <w:vAlign w:val="bottom"/>
          </w:tcPr>
          <w:p>
            <w:pPr>
              <w:spacing w:after="0"/>
              <w:rPr>
                <w:sz w:val="1"/>
                <w:szCs w:val="1"/>
                <w:color w:val="auto"/>
              </w:rPr>
            </w:pPr>
          </w:p>
        </w:tc>
      </w:tr>
      <w:tr>
        <w:trPr>
          <w:trHeight w:val="93"/>
        </w:trPr>
        <w:tc>
          <w:tcPr>
            <w:tcW w:w="320" w:type="dxa"/>
            <w:vAlign w:val="bottom"/>
          </w:tcPr>
          <w:p>
            <w:pPr>
              <w:spacing w:after="0"/>
              <w:rPr>
                <w:sz w:val="8"/>
                <w:szCs w:val="8"/>
                <w:color w:val="auto"/>
              </w:rPr>
            </w:pPr>
          </w:p>
        </w:tc>
        <w:tc>
          <w:tcPr>
            <w:tcW w:w="51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20"/>
                <w:szCs w:val="20"/>
                <w:color w:val="auto"/>
              </w:rPr>
            </w:pPr>
            <w:r>
              <w:rPr>
                <w:rFonts w:ascii="Arial" w:cs="Arial" w:eastAsia="Arial" w:hAnsi="Arial"/>
                <w:sz w:val="14"/>
                <w:szCs w:val="14"/>
                <w:color w:val="032E5C"/>
              </w:rPr>
              <w:t>38</w:t>
            </w:r>
          </w:p>
        </w:tc>
        <w:tc>
          <w:tcPr>
            <w:tcW w:w="5140" w:type="dxa"/>
            <w:vAlign w:val="bottom"/>
          </w:tcPr>
          <w:p>
            <w:pPr>
              <w:ind w:left="320"/>
              <w:spacing w:after="0"/>
              <w:rPr>
                <w:sz w:val="20"/>
                <w:szCs w:val="20"/>
                <w:color w:val="auto"/>
              </w:rPr>
            </w:pPr>
            <w:r>
              <w:rPr>
                <w:rFonts w:ascii="Arial" w:cs="Arial" w:eastAsia="Arial" w:hAnsi="Arial"/>
                <w:sz w:val="14"/>
                <w:szCs w:val="14"/>
                <w:color w:val="032E5C"/>
              </w:rPr>
              <w:t>2024 and Fiscal 2023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20" w:type="dxa"/>
            <w:vAlign w:val="bottom"/>
          </w:tcPr>
          <w:p>
            <w:pPr>
              <w:spacing w:after="0"/>
              <w:rPr>
                <w:sz w:val="20"/>
                <w:szCs w:val="20"/>
                <w:color w:val="auto"/>
              </w:rPr>
            </w:pPr>
            <w:r>
              <w:rPr>
                <w:rFonts w:ascii="Arial" w:cs="Arial" w:eastAsia="Arial" w:hAnsi="Arial"/>
                <w:sz w:val="14"/>
                <w:szCs w:val="14"/>
                <w:color w:val="032E5C"/>
              </w:rPr>
              <w:t>38</w:t>
            </w:r>
          </w:p>
        </w:tc>
        <w:tc>
          <w:tcPr>
            <w:tcW w:w="5140" w:type="dxa"/>
            <w:vAlign w:val="bottom"/>
          </w:tcPr>
          <w:p>
            <w:pPr>
              <w:ind w:left="160"/>
              <w:spacing w:after="0"/>
              <w:rPr>
                <w:sz w:val="20"/>
                <w:szCs w:val="20"/>
                <w:color w:val="auto"/>
              </w:rPr>
            </w:pPr>
            <w:r>
              <w:rPr>
                <w:rFonts w:ascii="Arial" w:cs="Arial" w:eastAsia="Arial" w:hAnsi="Arial"/>
                <w:sz w:val="14"/>
                <w:szCs w:val="14"/>
                <w:b w:val="1"/>
                <w:bCs w:val="1"/>
                <w:color w:val="032E5C"/>
              </w:rPr>
              <w:t>Proposal 3. Advisory Vote to Approve Executive Compensation</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032E5C"/>
              </w:rPr>
              <w:t>82</w:t>
            </w:r>
          </w:p>
        </w:tc>
        <w:tc>
          <w:tcPr>
            <w:tcW w:w="0" w:type="dxa"/>
            <w:vAlign w:val="bottom"/>
          </w:tcPr>
          <w:p>
            <w:pPr>
              <w:spacing w:after="0"/>
              <w:rPr>
                <w:sz w:val="1"/>
                <w:szCs w:val="1"/>
                <w:color w:val="auto"/>
              </w:rPr>
            </w:pPr>
          </w:p>
        </w:tc>
      </w:tr>
      <w:tr>
        <w:trPr>
          <w:trHeight w:val="20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032E5C"/>
              </w:rPr>
              <w:t>39</w:t>
            </w:r>
          </w:p>
        </w:tc>
        <w:tc>
          <w:tcPr>
            <w:tcW w:w="5140" w:type="dxa"/>
            <w:vAlign w:val="bottom"/>
          </w:tcPr>
          <w:p>
            <w:pPr>
              <w:ind w:left="160"/>
              <w:spacing w:after="0"/>
              <w:rPr>
                <w:sz w:val="20"/>
                <w:szCs w:val="20"/>
                <w:color w:val="auto"/>
              </w:rPr>
            </w:pPr>
            <w:r>
              <w:rPr>
                <w:rFonts w:ascii="Arial" w:cs="Arial" w:eastAsia="Arial" w:hAnsi="Arial"/>
                <w:sz w:val="14"/>
                <w:szCs w:val="14"/>
                <w:b w:val="1"/>
                <w:bCs w:val="1"/>
                <w:color w:val="032E5C"/>
              </w:rPr>
              <w:t>Proposal 4. Vote to Approve the Vail Resorts, Inc. 2024 Omnibus Equity</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032E5C"/>
              </w:rPr>
              <w:t>83</w:t>
            </w:r>
          </w:p>
        </w:tc>
        <w:tc>
          <w:tcPr>
            <w:tcW w:w="0" w:type="dxa"/>
            <w:vAlign w:val="bottom"/>
          </w:tcPr>
          <w:p>
            <w:pPr>
              <w:spacing w:after="0"/>
              <w:rPr>
                <w:sz w:val="1"/>
                <w:szCs w:val="1"/>
                <w:color w:val="auto"/>
              </w:rPr>
            </w:pPr>
          </w:p>
        </w:tc>
      </w:tr>
      <w:tr>
        <w:trPr>
          <w:trHeight w:val="75"/>
        </w:trPr>
        <w:tc>
          <w:tcPr>
            <w:tcW w:w="320" w:type="dxa"/>
            <w:vAlign w:val="bottom"/>
            <w:vMerge w:val="continue"/>
          </w:tcPr>
          <w:p>
            <w:pPr>
              <w:spacing w:after="0"/>
              <w:rPr>
                <w:sz w:val="6"/>
                <w:szCs w:val="6"/>
                <w:color w:val="auto"/>
              </w:rPr>
            </w:pPr>
          </w:p>
        </w:tc>
        <w:tc>
          <w:tcPr>
            <w:tcW w:w="5140" w:type="dxa"/>
            <w:vAlign w:val="bottom"/>
            <w:vMerge w:val="restart"/>
          </w:tcPr>
          <w:p>
            <w:pPr>
              <w:ind w:left="160"/>
              <w:spacing w:after="0"/>
              <w:rPr>
                <w:sz w:val="20"/>
                <w:szCs w:val="20"/>
                <w:color w:val="auto"/>
              </w:rPr>
            </w:pPr>
            <w:r>
              <w:rPr>
                <w:rFonts w:ascii="Arial" w:cs="Arial" w:eastAsia="Arial" w:hAnsi="Arial"/>
                <w:sz w:val="14"/>
                <w:szCs w:val="14"/>
                <w:b w:val="1"/>
                <w:bCs w:val="1"/>
                <w:color w:val="032E5C"/>
              </w:rPr>
              <w:t>Plan</w:t>
            </w: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20" w:type="dxa"/>
            <w:vAlign w:val="bottom"/>
            <w:vMerge w:val="restart"/>
          </w:tcPr>
          <w:p>
            <w:pPr>
              <w:spacing w:after="0"/>
              <w:rPr>
                <w:sz w:val="20"/>
                <w:szCs w:val="20"/>
                <w:color w:val="auto"/>
              </w:rPr>
            </w:pPr>
            <w:r>
              <w:rPr>
                <w:rFonts w:ascii="Arial" w:cs="Arial" w:eastAsia="Arial" w:hAnsi="Arial"/>
                <w:sz w:val="14"/>
                <w:szCs w:val="14"/>
                <w:color w:val="032E5C"/>
              </w:rPr>
              <w:t>39</w:t>
            </w:r>
          </w:p>
        </w:tc>
        <w:tc>
          <w:tcPr>
            <w:tcW w:w="51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20" w:type="dxa"/>
            <w:vAlign w:val="bottom"/>
            <w:vMerge w:val="continue"/>
          </w:tcPr>
          <w:p>
            <w:pPr>
              <w:spacing w:after="0"/>
              <w:rPr>
                <w:sz w:val="8"/>
                <w:szCs w:val="8"/>
                <w:color w:val="auto"/>
              </w:rPr>
            </w:pPr>
          </w:p>
        </w:tc>
        <w:tc>
          <w:tcPr>
            <w:tcW w:w="5140" w:type="dxa"/>
            <w:vAlign w:val="bottom"/>
            <w:vMerge w:val="restart"/>
          </w:tcPr>
          <w:p>
            <w:pPr>
              <w:ind w:left="160"/>
              <w:spacing w:after="0"/>
              <w:rPr>
                <w:sz w:val="20"/>
                <w:szCs w:val="20"/>
                <w:color w:val="auto"/>
              </w:rPr>
            </w:pPr>
            <w:r>
              <w:rPr>
                <w:rFonts w:ascii="Arial" w:cs="Arial" w:eastAsia="Arial" w:hAnsi="Arial"/>
                <w:sz w:val="14"/>
                <w:szCs w:val="14"/>
                <w:b w:val="1"/>
                <w:bCs w:val="1"/>
                <w:color w:val="032E5C"/>
              </w:rPr>
              <w:t>The Annual Meeting and Voting – Questions and Answers</w:t>
            </w: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032E5C"/>
              </w:rPr>
              <w:t>93</w:t>
            </w:r>
          </w:p>
        </w:tc>
        <w:tc>
          <w:tcPr>
            <w:tcW w:w="0" w:type="dxa"/>
            <w:vAlign w:val="bottom"/>
          </w:tcPr>
          <w:p>
            <w:pPr>
              <w:spacing w:after="0"/>
              <w:rPr>
                <w:sz w:val="1"/>
                <w:szCs w:val="1"/>
                <w:color w:val="auto"/>
              </w:rPr>
            </w:pPr>
          </w:p>
        </w:tc>
      </w:tr>
      <w:tr>
        <w:trPr>
          <w:trHeight w:val="128"/>
        </w:trPr>
        <w:tc>
          <w:tcPr>
            <w:tcW w:w="320" w:type="dxa"/>
            <w:vAlign w:val="bottom"/>
            <w:vMerge w:val="restart"/>
          </w:tcPr>
          <w:p>
            <w:pPr>
              <w:spacing w:after="0"/>
              <w:rPr>
                <w:sz w:val="20"/>
                <w:szCs w:val="20"/>
                <w:color w:val="auto"/>
              </w:rPr>
            </w:pPr>
            <w:r>
              <w:rPr>
                <w:rFonts w:ascii="Arial" w:cs="Arial" w:eastAsia="Arial" w:hAnsi="Arial"/>
                <w:sz w:val="14"/>
                <w:szCs w:val="14"/>
                <w:color w:val="032E5C"/>
              </w:rPr>
              <w:t>40</w:t>
            </w:r>
          </w:p>
        </w:tc>
        <w:tc>
          <w:tcPr>
            <w:tcW w:w="514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0" w:type="dxa"/>
            <w:vAlign w:val="bottom"/>
            <w:vMerge w:val="continue"/>
          </w:tcPr>
          <w:p>
            <w:pPr>
              <w:spacing w:after="0"/>
              <w:rPr>
                <w:sz w:val="13"/>
                <w:szCs w:val="13"/>
                <w:color w:val="auto"/>
              </w:rPr>
            </w:pPr>
          </w:p>
        </w:tc>
        <w:tc>
          <w:tcPr>
            <w:tcW w:w="5140" w:type="dxa"/>
            <w:vAlign w:val="bottom"/>
            <w:vMerge w:val="restart"/>
          </w:tcPr>
          <w:p>
            <w:pPr>
              <w:ind w:left="160"/>
              <w:spacing w:after="0"/>
              <w:rPr>
                <w:sz w:val="20"/>
                <w:szCs w:val="20"/>
                <w:color w:val="auto"/>
              </w:rPr>
            </w:pPr>
            <w:r>
              <w:rPr>
                <w:rFonts w:ascii="Arial" w:cs="Arial" w:eastAsia="Arial" w:hAnsi="Arial"/>
                <w:sz w:val="14"/>
                <w:szCs w:val="14"/>
                <w:b w:val="1"/>
                <w:bCs w:val="1"/>
                <w:color w:val="032E5C"/>
              </w:rPr>
              <w:t>Stockholder Proposals for 2025 Annual Meeting</w:t>
            </w: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032E5C"/>
              </w:rPr>
              <w:t>97</w:t>
            </w:r>
          </w:p>
        </w:tc>
        <w:tc>
          <w:tcPr>
            <w:tcW w:w="0" w:type="dxa"/>
            <w:vAlign w:val="bottom"/>
          </w:tcPr>
          <w:p>
            <w:pPr>
              <w:spacing w:after="0"/>
              <w:rPr>
                <w:sz w:val="1"/>
                <w:szCs w:val="1"/>
                <w:color w:val="auto"/>
              </w:rPr>
            </w:pPr>
          </w:p>
        </w:tc>
      </w:tr>
      <w:tr>
        <w:trPr>
          <w:trHeight w:val="74"/>
        </w:trPr>
        <w:tc>
          <w:tcPr>
            <w:tcW w:w="320" w:type="dxa"/>
            <w:vAlign w:val="bottom"/>
          </w:tcPr>
          <w:p>
            <w:pPr>
              <w:spacing w:after="0"/>
              <w:rPr>
                <w:sz w:val="6"/>
                <w:szCs w:val="6"/>
                <w:color w:val="auto"/>
              </w:rPr>
            </w:pPr>
          </w:p>
        </w:tc>
        <w:tc>
          <w:tcPr>
            <w:tcW w:w="514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20"/>
                <w:szCs w:val="20"/>
                <w:color w:val="auto"/>
              </w:rPr>
            </w:pPr>
            <w:r>
              <w:rPr>
                <w:rFonts w:ascii="Arial" w:cs="Arial" w:eastAsia="Arial" w:hAnsi="Arial"/>
                <w:sz w:val="14"/>
                <w:szCs w:val="14"/>
                <w:color w:val="032E5C"/>
              </w:rPr>
              <w:t>41</w:t>
            </w:r>
          </w:p>
        </w:tc>
        <w:tc>
          <w:tcPr>
            <w:tcW w:w="5140" w:type="dxa"/>
            <w:vAlign w:val="bottom"/>
          </w:tcPr>
          <w:p>
            <w:pPr>
              <w:ind w:left="160"/>
              <w:spacing w:after="0"/>
              <w:rPr>
                <w:sz w:val="20"/>
                <w:szCs w:val="20"/>
                <w:color w:val="auto"/>
              </w:rPr>
            </w:pPr>
            <w:r>
              <w:rPr>
                <w:rFonts w:ascii="Arial" w:cs="Arial" w:eastAsia="Arial" w:hAnsi="Arial"/>
                <w:sz w:val="14"/>
                <w:szCs w:val="14"/>
                <w:b w:val="1"/>
                <w:bCs w:val="1"/>
                <w:color w:val="032E5C"/>
              </w:rPr>
              <w:t>Householding of Proxy Materials</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032E5C"/>
              </w:rPr>
              <w:t>97</w:t>
            </w:r>
          </w:p>
        </w:tc>
        <w:tc>
          <w:tcPr>
            <w:tcW w:w="0" w:type="dxa"/>
            <w:vAlign w:val="bottom"/>
          </w:tcPr>
          <w:p>
            <w:pPr>
              <w:spacing w:after="0"/>
              <w:rPr>
                <w:sz w:val="1"/>
                <w:szCs w:val="1"/>
                <w:color w:val="auto"/>
              </w:rPr>
            </w:pPr>
          </w:p>
        </w:tc>
      </w:tr>
      <w:tr>
        <w:trPr>
          <w:trHeight w:val="263"/>
        </w:trPr>
        <w:tc>
          <w:tcPr>
            <w:tcW w:w="320" w:type="dxa"/>
            <w:vAlign w:val="bottom"/>
          </w:tcPr>
          <w:p>
            <w:pPr>
              <w:spacing w:after="0"/>
              <w:rPr>
                <w:sz w:val="20"/>
                <w:szCs w:val="20"/>
                <w:color w:val="auto"/>
              </w:rPr>
            </w:pPr>
            <w:r>
              <w:rPr>
                <w:rFonts w:ascii="Arial" w:cs="Arial" w:eastAsia="Arial" w:hAnsi="Arial"/>
                <w:sz w:val="14"/>
                <w:szCs w:val="14"/>
                <w:color w:val="032E5C"/>
              </w:rPr>
              <w:t>41</w:t>
            </w:r>
          </w:p>
        </w:tc>
        <w:tc>
          <w:tcPr>
            <w:tcW w:w="5140" w:type="dxa"/>
            <w:vAlign w:val="bottom"/>
          </w:tcPr>
          <w:p>
            <w:pPr>
              <w:ind w:left="160"/>
              <w:spacing w:after="0"/>
              <w:rPr>
                <w:sz w:val="20"/>
                <w:szCs w:val="20"/>
                <w:color w:val="auto"/>
              </w:rPr>
            </w:pPr>
            <w:r>
              <w:rPr>
                <w:rFonts w:ascii="Arial" w:cs="Arial" w:eastAsia="Arial" w:hAnsi="Arial"/>
                <w:sz w:val="14"/>
                <w:szCs w:val="14"/>
                <w:b w:val="1"/>
                <w:bCs w:val="1"/>
                <w:color w:val="032E5C"/>
              </w:rPr>
              <w:t>Other Matters</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032E5C"/>
              </w:rPr>
              <w:t>98</w:t>
            </w:r>
          </w:p>
        </w:tc>
        <w:tc>
          <w:tcPr>
            <w:tcW w:w="0" w:type="dxa"/>
            <w:vAlign w:val="bottom"/>
          </w:tcPr>
          <w:p>
            <w:pPr>
              <w:spacing w:after="0"/>
              <w:rPr>
                <w:sz w:val="1"/>
                <w:szCs w:val="1"/>
                <w:color w:val="auto"/>
              </w:rPr>
            </w:pPr>
          </w:p>
        </w:tc>
      </w:tr>
      <w:tr>
        <w:trPr>
          <w:trHeight w:val="196"/>
        </w:trPr>
        <w:tc>
          <w:tcPr>
            <w:tcW w:w="320" w:type="dxa"/>
            <w:vAlign w:val="bottom"/>
            <w:vMerge w:val="restart"/>
          </w:tcPr>
          <w:p>
            <w:pPr>
              <w:spacing w:after="0"/>
              <w:rPr>
                <w:sz w:val="20"/>
                <w:szCs w:val="20"/>
                <w:color w:val="auto"/>
              </w:rPr>
            </w:pPr>
            <w:r>
              <w:rPr>
                <w:rFonts w:ascii="Arial" w:cs="Arial" w:eastAsia="Arial" w:hAnsi="Arial"/>
                <w:sz w:val="14"/>
                <w:szCs w:val="14"/>
                <w:color w:val="032E5C"/>
              </w:rPr>
              <w:t>41</w:t>
            </w:r>
          </w:p>
        </w:tc>
        <w:tc>
          <w:tcPr>
            <w:tcW w:w="5140" w:type="dxa"/>
            <w:vAlign w:val="bottom"/>
          </w:tcPr>
          <w:p>
            <w:pPr>
              <w:ind w:left="160"/>
              <w:spacing w:after="0"/>
              <w:rPr>
                <w:sz w:val="20"/>
                <w:szCs w:val="20"/>
                <w:color w:val="auto"/>
              </w:rPr>
            </w:pPr>
            <w:r>
              <w:rPr>
                <w:rFonts w:ascii="Arial" w:cs="Arial" w:eastAsia="Arial" w:hAnsi="Arial"/>
                <w:sz w:val="14"/>
                <w:szCs w:val="14"/>
                <w:b w:val="1"/>
                <w:bCs w:val="1"/>
                <w:color w:val="032E5C"/>
              </w:rPr>
              <w:t>Appendix A</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032E5C"/>
              </w:rPr>
              <w:t>99</w:t>
            </w: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5140" w:type="dxa"/>
            <w:vAlign w:val="bottom"/>
            <w:vMerge w:val="restart"/>
          </w:tcPr>
          <w:p>
            <w:pPr>
              <w:ind w:left="160"/>
              <w:spacing w:after="0"/>
              <w:rPr>
                <w:sz w:val="20"/>
                <w:szCs w:val="20"/>
                <w:color w:val="auto"/>
              </w:rPr>
            </w:pPr>
            <w:r>
              <w:rPr>
                <w:rFonts w:ascii="Arial" w:cs="Arial" w:eastAsia="Arial" w:hAnsi="Arial"/>
                <w:sz w:val="14"/>
                <w:szCs w:val="14"/>
                <w:b w:val="1"/>
                <w:bCs w:val="1"/>
                <w:color w:val="032E5C"/>
              </w:rPr>
              <w:t>Appendix B</w:t>
            </w: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032E5C"/>
                <w:w w:val="94"/>
              </w:rPr>
              <w:t>100</w:t>
            </w:r>
          </w:p>
        </w:tc>
        <w:tc>
          <w:tcPr>
            <w:tcW w:w="0" w:type="dxa"/>
            <w:vAlign w:val="bottom"/>
          </w:tcPr>
          <w:p>
            <w:pPr>
              <w:spacing w:after="0"/>
              <w:rPr>
                <w:sz w:val="1"/>
                <w:szCs w:val="1"/>
                <w:color w:val="auto"/>
              </w:rPr>
            </w:pPr>
          </w:p>
        </w:tc>
      </w:tr>
      <w:tr>
        <w:trPr>
          <w:trHeight w:val="14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032E5C"/>
              </w:rPr>
              <w:t>42</w:t>
            </w:r>
          </w:p>
        </w:tc>
        <w:tc>
          <w:tcPr>
            <w:tcW w:w="51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vMerge w:val="continue"/>
          </w:tcPr>
          <w:p>
            <w:pPr>
              <w:spacing w:after="0"/>
              <w:rPr>
                <w:sz w:val="12"/>
                <w:szCs w:val="12"/>
                <w:color w:val="auto"/>
              </w:rPr>
            </w:pPr>
          </w:p>
        </w:tc>
        <w:tc>
          <w:tcPr>
            <w:tcW w:w="5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032E5C"/>
              </w:rPr>
              <w:t>42</w:t>
            </w:r>
          </w:p>
        </w:tc>
        <w:tc>
          <w:tcPr>
            <w:tcW w:w="5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575310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20" w:space="720"/>
            <w:col w:w="5800"/>
          </w:cols>
          <w:pgMar w:left="320" w:top="1170" w:right="6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2231390</wp:posOffset>
            </wp:positionH>
            <wp:positionV relativeFrom="page">
              <wp:posOffset>715010</wp:posOffset>
            </wp:positionV>
            <wp:extent cx="308610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086100" cy="29146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Who We Are</w:t>
      </w:r>
    </w:p>
    <w:p>
      <w:pPr>
        <w:spacing w:after="0" w:line="195"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29292B"/>
        </w:rPr>
        <w:t xml:space="preserve">We are the premier mountain resort company in the world and a leader in luxury, destination-based travel at iconic locations. We operate world-class destination mountain resorts, and regional ski areas, including Vail Mountain, Breckenridge, Park City Mountain, Whistler Blackcomb, Stowe, and 32 additional resorts across North America; Crans-Montana and Andermatt-Sedrun in Switzerland; and Perisher, Hotham, and Falls Creek in Australia. We are passionate about providing an </w:t>
      </w:r>
      <w:r>
        <w:rPr>
          <w:rFonts w:ascii="Arial" w:cs="Arial" w:eastAsia="Arial" w:hAnsi="Arial"/>
          <w:sz w:val="16"/>
          <w:szCs w:val="16"/>
          <w:i w:val="1"/>
          <w:iCs w:val="1"/>
          <w:color w:val="29292B"/>
        </w:rPr>
        <w:t>Experience of a Lifetime</w:t>
      </w:r>
      <w:r>
        <w:rPr>
          <w:rFonts w:ascii="Arial" w:cs="Arial" w:eastAsia="Arial" w:hAnsi="Arial"/>
          <w:sz w:val="16"/>
          <w:szCs w:val="16"/>
          <w:color w:val="29292B"/>
        </w:rPr>
        <w:t xml:space="preserve"> to our team members and guests, and our </w:t>
      </w:r>
      <w:r>
        <w:rPr>
          <w:rFonts w:ascii="Arial" w:cs="Arial" w:eastAsia="Arial" w:hAnsi="Arial"/>
          <w:sz w:val="16"/>
          <w:szCs w:val="16"/>
          <w:i w:val="1"/>
          <w:iCs w:val="1"/>
          <w:color w:val="29292B"/>
        </w:rPr>
        <w:t>EpicPromise</w:t>
      </w:r>
      <w:r>
        <w:rPr>
          <w:rFonts w:ascii="Arial" w:cs="Arial" w:eastAsia="Arial" w:hAnsi="Arial"/>
          <w:sz w:val="16"/>
          <w:szCs w:val="16"/>
          <w:color w:val="29292B"/>
        </w:rPr>
        <w:t xml:space="preserve"> is to reach a zero net operating footprint by 2030, support our employees and communities, and broaden engagement in our sport. Our company owns and/or manages a collection of elegant hotels under the </w:t>
      </w:r>
      <w:r>
        <w:rPr>
          <w:rFonts w:ascii="Arial" w:cs="Arial" w:eastAsia="Arial" w:hAnsi="Arial"/>
          <w:sz w:val="16"/>
          <w:szCs w:val="16"/>
          <w:i w:val="1"/>
          <w:iCs w:val="1"/>
          <w:color w:val="29292B"/>
        </w:rPr>
        <w:t>RockResorts</w:t>
      </w:r>
      <w:r>
        <w:rPr>
          <w:rFonts w:ascii="Arial" w:cs="Arial" w:eastAsia="Arial" w:hAnsi="Arial"/>
          <w:sz w:val="16"/>
          <w:szCs w:val="16"/>
          <w:color w:val="29292B"/>
        </w:rPr>
        <w:t xml:space="preserve"> brand, a portfolio of vacation rentals, condominiums, and branded hotels located in close proximity to our mountain destinations, as well as the </w:t>
      </w:r>
      <w:r>
        <w:rPr>
          <w:rFonts w:ascii="Arial" w:cs="Arial" w:eastAsia="Arial" w:hAnsi="Arial"/>
          <w:sz w:val="16"/>
          <w:szCs w:val="16"/>
          <w:i w:val="1"/>
          <w:iCs w:val="1"/>
          <w:color w:val="29292B"/>
        </w:rPr>
        <w:t>Grand Teton Lodge Company</w:t>
      </w:r>
      <w:r>
        <w:rPr>
          <w:rFonts w:ascii="Arial" w:cs="Arial" w:eastAsia="Arial" w:hAnsi="Arial"/>
          <w:sz w:val="16"/>
          <w:szCs w:val="16"/>
          <w:color w:val="29292B"/>
        </w:rPr>
        <w:t xml:space="preserve"> in Jackson Hole, Wyoming. Vail Resorts Retail operates over 300 retail and rental locations across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2117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40"/>
        <w:spacing w:after="0"/>
        <w:rPr>
          <w:sz w:val="20"/>
          <w:szCs w:val="20"/>
          <w:color w:val="auto"/>
        </w:rPr>
      </w:pPr>
      <w:r>
        <w:rPr>
          <w:rFonts w:ascii="Arial" w:cs="Arial" w:eastAsia="Arial" w:hAnsi="Arial"/>
          <w:sz w:val="25"/>
          <w:szCs w:val="25"/>
          <w:b w:val="1"/>
          <w:bCs w:val="1"/>
          <w:color w:val="032E5C"/>
        </w:rPr>
        <w:t>What We Believe</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color w:val="29292B"/>
        </w:rPr>
        <w:t>Everything we do needs to be aligned with our five stakeholders:</w:t>
      </w:r>
    </w:p>
    <w:p>
      <w:pPr>
        <w:spacing w:after="0" w:line="181" w:lineRule="exact"/>
        <w:rPr>
          <w:sz w:val="20"/>
          <w:szCs w:val="20"/>
          <w:color w:val="auto"/>
        </w:rPr>
      </w:pPr>
    </w:p>
    <w:p>
      <w:pPr>
        <w:ind w:left="880" w:hanging="314"/>
        <w:spacing w:after="0"/>
        <w:tabs>
          <w:tab w:leader="none" w:pos="880" w:val="left"/>
        </w:tabs>
        <w:numPr>
          <w:ilvl w:val="0"/>
          <w:numId w:val="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Our Guests</w:t>
      </w:r>
    </w:p>
    <w:p>
      <w:pPr>
        <w:spacing w:after="0" w:line="140" w:lineRule="exact"/>
        <w:rPr>
          <w:rFonts w:ascii="Wingdings" w:cs="Wingdings" w:eastAsia="Wingdings" w:hAnsi="Wingdings"/>
          <w:sz w:val="16"/>
          <w:szCs w:val="16"/>
          <w:b w:val="1"/>
          <w:bCs w:val="1"/>
          <w:color w:val="auto"/>
          <w:shd w:val="clear" w:color="auto" w:fill="3E5C7C"/>
        </w:rPr>
      </w:pPr>
    </w:p>
    <w:p>
      <w:pPr>
        <w:ind w:left="880" w:hanging="314"/>
        <w:spacing w:after="0"/>
        <w:tabs>
          <w:tab w:leader="none" w:pos="880" w:val="left"/>
        </w:tabs>
        <w:numPr>
          <w:ilvl w:val="0"/>
          <w:numId w:val="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Our Employees</w:t>
      </w:r>
    </w:p>
    <w:p>
      <w:pPr>
        <w:spacing w:after="0" w:line="153" w:lineRule="exact"/>
        <w:rPr>
          <w:rFonts w:ascii="Wingdings" w:cs="Wingdings" w:eastAsia="Wingdings" w:hAnsi="Wingdings"/>
          <w:sz w:val="16"/>
          <w:szCs w:val="16"/>
          <w:b w:val="1"/>
          <w:bCs w:val="1"/>
          <w:color w:val="auto"/>
          <w:shd w:val="clear" w:color="auto" w:fill="3E5C7C"/>
        </w:rPr>
      </w:pPr>
    </w:p>
    <w:p>
      <w:pPr>
        <w:ind w:left="880" w:hanging="314"/>
        <w:spacing w:after="0"/>
        <w:tabs>
          <w:tab w:leader="none" w:pos="880" w:val="left"/>
        </w:tabs>
        <w:numPr>
          <w:ilvl w:val="0"/>
          <w:numId w:val="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Our Communities</w:t>
      </w:r>
    </w:p>
    <w:p>
      <w:pPr>
        <w:spacing w:after="0" w:line="153" w:lineRule="exact"/>
        <w:rPr>
          <w:rFonts w:ascii="Wingdings" w:cs="Wingdings" w:eastAsia="Wingdings" w:hAnsi="Wingdings"/>
          <w:sz w:val="16"/>
          <w:szCs w:val="16"/>
          <w:b w:val="1"/>
          <w:bCs w:val="1"/>
          <w:color w:val="auto"/>
          <w:shd w:val="clear" w:color="auto" w:fill="3E5C7C"/>
        </w:rPr>
      </w:pPr>
    </w:p>
    <w:p>
      <w:pPr>
        <w:ind w:left="880" w:hanging="314"/>
        <w:spacing w:after="0"/>
        <w:tabs>
          <w:tab w:leader="none" w:pos="880" w:val="left"/>
        </w:tabs>
        <w:numPr>
          <w:ilvl w:val="0"/>
          <w:numId w:val="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Our Natural Environment</w:t>
      </w:r>
    </w:p>
    <w:p>
      <w:pPr>
        <w:spacing w:after="0" w:line="153" w:lineRule="exact"/>
        <w:rPr>
          <w:rFonts w:ascii="Wingdings" w:cs="Wingdings" w:eastAsia="Wingdings" w:hAnsi="Wingdings"/>
          <w:sz w:val="16"/>
          <w:szCs w:val="16"/>
          <w:b w:val="1"/>
          <w:bCs w:val="1"/>
          <w:color w:val="auto"/>
          <w:shd w:val="clear" w:color="auto" w:fill="3E5C7C"/>
        </w:rPr>
      </w:pPr>
    </w:p>
    <w:p>
      <w:pPr>
        <w:ind w:left="880" w:hanging="314"/>
        <w:spacing w:after="0"/>
        <w:tabs>
          <w:tab w:leader="none" w:pos="880" w:val="left"/>
        </w:tabs>
        <w:numPr>
          <w:ilvl w:val="0"/>
          <w:numId w:val="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2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Arial" w:cs="Arial" w:eastAsia="Arial" w:hAnsi="Arial"/>
          <w:sz w:val="25"/>
          <w:szCs w:val="25"/>
          <w:b w:val="1"/>
          <w:bCs w:val="1"/>
          <w:color w:val="032E5C"/>
        </w:rPr>
        <w:t>Our Mission: EXPERIENCE OF A LIFETIME</w:t>
      </w:r>
    </w:p>
    <w:p>
      <w:pPr>
        <w:spacing w:after="0" w:line="209" w:lineRule="exact"/>
        <w:rPr>
          <w:sz w:val="20"/>
          <w:szCs w:val="20"/>
          <w:color w:val="auto"/>
        </w:rPr>
      </w:pPr>
    </w:p>
    <w:p>
      <w:pPr>
        <w:ind w:left="240" w:right="140"/>
        <w:spacing w:after="0" w:line="339" w:lineRule="auto"/>
        <w:rPr>
          <w:sz w:val="20"/>
          <w:szCs w:val="20"/>
          <w:color w:val="auto"/>
        </w:rPr>
      </w:pPr>
      <w:r>
        <w:rPr>
          <w:rFonts w:ascii="Arial" w:cs="Arial" w:eastAsia="Arial" w:hAnsi="Arial"/>
          <w:sz w:val="16"/>
          <w:szCs w:val="16"/>
          <w:color w:val="29292B"/>
        </w:rPr>
        <w:t xml:space="preserve">At Vail Resorts, our mission is simple – to provide an </w:t>
      </w:r>
      <w:r>
        <w:rPr>
          <w:rFonts w:ascii="Arial" w:cs="Arial" w:eastAsia="Arial" w:hAnsi="Arial"/>
          <w:sz w:val="16"/>
          <w:szCs w:val="16"/>
          <w:i w:val="1"/>
          <w:iCs w:val="1"/>
          <w:color w:val="29292B"/>
        </w:rPr>
        <w:t>Experience of a Lifetime</w:t>
      </w:r>
      <w:r>
        <w:rPr>
          <w:rFonts w:ascii="Arial" w:cs="Arial" w:eastAsia="Arial" w:hAnsi="Arial"/>
          <w:sz w:val="16"/>
          <w:szCs w:val="16"/>
          <w:color w:val="29292B"/>
        </w:rPr>
        <w:t xml:space="preserve">. We do this by creating an </w:t>
      </w:r>
      <w:r>
        <w:rPr>
          <w:rFonts w:ascii="Arial" w:cs="Arial" w:eastAsia="Arial" w:hAnsi="Arial"/>
          <w:sz w:val="16"/>
          <w:szCs w:val="16"/>
          <w:i w:val="1"/>
          <w:iCs w:val="1"/>
          <w:color w:val="29292B"/>
        </w:rPr>
        <w:t>Experience of a Lifetime</w:t>
      </w:r>
      <w:r>
        <w:rPr>
          <w:rFonts w:ascii="Arial" w:cs="Arial" w:eastAsia="Arial" w:hAnsi="Arial"/>
          <w:sz w:val="16"/>
          <w:szCs w:val="16"/>
          <w:color w:val="29292B"/>
        </w:rPr>
        <w:t xml:space="preserve"> for our employees, so they can, in turn, provide an </w:t>
      </w:r>
      <w:r>
        <w:rPr>
          <w:rFonts w:ascii="Arial" w:cs="Arial" w:eastAsia="Arial" w:hAnsi="Arial"/>
          <w:sz w:val="16"/>
          <w:szCs w:val="16"/>
          <w:i w:val="1"/>
          <w:iCs w:val="1"/>
          <w:color w:val="29292B"/>
        </w:rPr>
        <w:t>Experience of a Lifetime</w:t>
      </w:r>
      <w:r>
        <w:rPr>
          <w:rFonts w:ascii="Arial" w:cs="Arial" w:eastAsia="Arial" w:hAnsi="Arial"/>
          <w:sz w:val="16"/>
          <w:szCs w:val="16"/>
          <w:color w:val="29292B"/>
        </w:rPr>
        <w:t xml:space="preserve"> for our guests.</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Our Core Values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29292B"/>
        </w:rPr>
        <w:t>As Vail Resorts employees, we hold ourselves accountable for living these foundational values every day in everything we do: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 w:type="dxa"/>
            <w:vAlign w:val="bottom"/>
            <w:tcBorders>
              <w:top w:val="single" w:sz="8" w:color="98BDE2"/>
            </w:tcBorders>
            <w:shd w:val="clear" w:color="auto" w:fill="3E5C7C"/>
          </w:tcPr>
          <w:p>
            <w:pPr>
              <w:spacing w:after="0"/>
              <w:rPr>
                <w:sz w:val="19"/>
                <w:szCs w:val="19"/>
                <w:color w:val="auto"/>
              </w:rPr>
            </w:pPr>
          </w:p>
        </w:tc>
        <w:tc>
          <w:tcPr>
            <w:tcW w:w="1440" w:type="dxa"/>
            <w:vAlign w:val="bottom"/>
            <w:tcBorders>
              <w:top w:val="single" w:sz="8" w:color="98BDE2"/>
            </w:tcBorders>
            <w:shd w:val="clear" w:color="auto" w:fill="3E5C7C"/>
          </w:tcPr>
          <w:p>
            <w:pPr>
              <w:ind w:left="20"/>
              <w:spacing w:after="0"/>
              <w:rPr>
                <w:sz w:val="20"/>
                <w:szCs w:val="20"/>
                <w:color w:val="auto"/>
              </w:rPr>
            </w:pPr>
            <w:r>
              <w:rPr>
                <w:rFonts w:ascii="Arial" w:cs="Arial" w:eastAsia="Arial" w:hAnsi="Arial"/>
                <w:sz w:val="16"/>
                <w:szCs w:val="16"/>
                <w:b w:val="1"/>
                <w:bCs w:val="1"/>
                <w:color w:val="FBF7F0"/>
              </w:rPr>
              <w:t>SERVE</w:t>
            </w:r>
          </w:p>
        </w:tc>
        <w:tc>
          <w:tcPr>
            <w:tcW w:w="9720" w:type="dxa"/>
            <w:vAlign w:val="bottom"/>
            <w:tcBorders>
              <w:top w:val="single" w:sz="8" w:color="98BDE2"/>
            </w:tcBorders>
            <w:vMerge w:val="restart"/>
          </w:tcPr>
          <w:p>
            <w:pPr>
              <w:ind w:left="280"/>
              <w:spacing w:after="0"/>
              <w:rPr>
                <w:sz w:val="20"/>
                <w:szCs w:val="20"/>
                <w:color w:val="auto"/>
              </w:rPr>
            </w:pPr>
            <w:r>
              <w:rPr>
                <w:rFonts w:ascii="Arial" w:cs="Arial" w:eastAsia="Arial" w:hAnsi="Arial"/>
                <w:sz w:val="16"/>
                <w:szCs w:val="16"/>
                <w:color w:val="032E5C"/>
              </w:rPr>
              <w:t xml:space="preserve">Lead with service to create </w:t>
            </w:r>
            <w:r>
              <w:rPr>
                <w:rFonts w:ascii="Arial" w:cs="Arial" w:eastAsia="Arial" w:hAnsi="Arial"/>
                <w:sz w:val="16"/>
                <w:szCs w:val="16"/>
                <w:i w:val="1"/>
                <w:iCs w:val="1"/>
                <w:color w:val="032E5C"/>
              </w:rPr>
              <w:t>Experiences of a Lifetime</w:t>
            </w:r>
            <w:r>
              <w:rPr>
                <w:rFonts w:ascii="Arial" w:cs="Arial" w:eastAsia="Arial" w:hAnsi="Arial"/>
                <w:sz w:val="16"/>
                <w:szCs w:val="16"/>
                <w:color w:val="032E5C"/>
              </w:rPr>
              <w:t xml:space="preserve"> for one another and our guests.</w:t>
            </w:r>
          </w:p>
        </w:tc>
        <w:tc>
          <w:tcPr>
            <w:tcW w:w="0" w:type="dxa"/>
            <w:vAlign w:val="bottom"/>
          </w:tcPr>
          <w:p>
            <w:pPr>
              <w:spacing w:after="0"/>
              <w:rPr>
                <w:sz w:val="1"/>
                <w:szCs w:val="1"/>
                <w:color w:val="auto"/>
              </w:rPr>
            </w:pPr>
          </w:p>
        </w:tc>
      </w:tr>
      <w:tr>
        <w:trPr>
          <w:trHeight w:val="93"/>
        </w:trPr>
        <w:tc>
          <w:tcPr>
            <w:tcW w:w="80" w:type="dxa"/>
            <w:vAlign w:val="bottom"/>
            <w:shd w:val="clear" w:color="auto" w:fill="3E5C7C"/>
          </w:tcPr>
          <w:p>
            <w:pPr>
              <w:spacing w:after="0"/>
              <w:rPr>
                <w:sz w:val="8"/>
                <w:szCs w:val="8"/>
                <w:color w:val="auto"/>
              </w:rPr>
            </w:pPr>
          </w:p>
        </w:tc>
        <w:tc>
          <w:tcPr>
            <w:tcW w:w="1440" w:type="dxa"/>
            <w:vAlign w:val="bottom"/>
            <w:vMerge w:val="restart"/>
            <w:shd w:val="clear" w:color="auto" w:fill="3E5C7C"/>
          </w:tcPr>
          <w:p>
            <w:pPr>
              <w:ind w:left="20"/>
              <w:spacing w:after="0"/>
              <w:rPr>
                <w:sz w:val="20"/>
                <w:szCs w:val="20"/>
                <w:color w:val="auto"/>
              </w:rPr>
            </w:pPr>
            <w:r>
              <w:rPr>
                <w:rFonts w:ascii="Arial" w:cs="Arial" w:eastAsia="Arial" w:hAnsi="Arial"/>
                <w:sz w:val="16"/>
                <w:szCs w:val="16"/>
                <w:b w:val="1"/>
                <w:bCs w:val="1"/>
                <w:color w:val="FBF7F0"/>
              </w:rPr>
              <w:t>OTHERS</w:t>
            </w:r>
          </w:p>
        </w:tc>
        <w:tc>
          <w:tcPr>
            <w:tcW w:w="9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0" w:type="dxa"/>
            <w:vAlign w:val="bottom"/>
            <w:shd w:val="clear" w:color="auto" w:fill="3E5C7C"/>
          </w:tcPr>
          <w:p>
            <w:pPr>
              <w:spacing w:after="0"/>
              <w:rPr>
                <w:sz w:val="11"/>
                <w:szCs w:val="11"/>
                <w:color w:val="auto"/>
              </w:rPr>
            </w:pPr>
          </w:p>
        </w:tc>
        <w:tc>
          <w:tcPr>
            <w:tcW w:w="1440" w:type="dxa"/>
            <w:vAlign w:val="bottom"/>
            <w:vMerge w:val="continue"/>
            <w:shd w:val="clear" w:color="auto" w:fill="3E5C7C"/>
          </w:tcPr>
          <w:p>
            <w:pPr>
              <w:spacing w:after="0"/>
              <w:rPr>
                <w:sz w:val="11"/>
                <w:szCs w:val="11"/>
                <w:color w:val="auto"/>
              </w:rPr>
            </w:pPr>
          </w:p>
        </w:tc>
        <w:tc>
          <w:tcPr>
            <w:tcW w:w="9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98BDE2"/>
            </w:tcBorders>
            <w:shd w:val="clear" w:color="auto" w:fill="3E5C7C"/>
          </w:tcPr>
          <w:p>
            <w:pPr>
              <w:spacing w:after="0"/>
              <w:rPr>
                <w:sz w:val="12"/>
                <w:szCs w:val="12"/>
                <w:color w:val="auto"/>
              </w:rPr>
            </w:pPr>
          </w:p>
        </w:tc>
        <w:tc>
          <w:tcPr>
            <w:tcW w:w="1440" w:type="dxa"/>
            <w:vAlign w:val="bottom"/>
            <w:tcBorders>
              <w:bottom w:val="single" w:sz="8" w:color="98BDE2"/>
            </w:tcBorders>
            <w:shd w:val="clear" w:color="auto" w:fill="3E5C7C"/>
          </w:tcPr>
          <w:p>
            <w:pPr>
              <w:spacing w:after="0"/>
              <w:rPr>
                <w:sz w:val="12"/>
                <w:szCs w:val="12"/>
                <w:color w:val="auto"/>
              </w:rPr>
            </w:pPr>
          </w:p>
        </w:tc>
        <w:tc>
          <w:tcPr>
            <w:tcW w:w="9720" w:type="dxa"/>
            <w:vAlign w:val="bottom"/>
            <w:tcBorders>
              <w:bottom w:val="single" w:sz="8" w:color="98BDE2"/>
            </w:tcBorders>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80" w:type="dxa"/>
            <w:vAlign w:val="bottom"/>
            <w:shd w:val="clear" w:color="auto" w:fill="3E5C7C"/>
          </w:tcPr>
          <w:p>
            <w:pPr>
              <w:spacing w:after="0"/>
              <w:rPr>
                <w:sz w:val="19"/>
                <w:szCs w:val="19"/>
                <w:color w:val="auto"/>
              </w:rPr>
            </w:pPr>
          </w:p>
        </w:tc>
        <w:tc>
          <w:tcPr>
            <w:tcW w:w="1440" w:type="dxa"/>
            <w:vAlign w:val="bottom"/>
            <w:vMerge w:val="restart"/>
            <w:shd w:val="clear" w:color="auto" w:fill="3E5C7C"/>
          </w:tcPr>
          <w:p>
            <w:pPr>
              <w:ind w:left="20"/>
              <w:spacing w:after="0"/>
              <w:rPr>
                <w:sz w:val="20"/>
                <w:szCs w:val="20"/>
                <w:color w:val="auto"/>
              </w:rPr>
            </w:pPr>
            <w:r>
              <w:rPr>
                <w:rFonts w:ascii="Arial" w:cs="Arial" w:eastAsia="Arial" w:hAnsi="Arial"/>
                <w:sz w:val="16"/>
                <w:szCs w:val="16"/>
                <w:b w:val="1"/>
                <w:bCs w:val="1"/>
                <w:color w:val="FBF7F0"/>
              </w:rPr>
              <w:t>DO GOOD</w:t>
            </w:r>
          </w:p>
        </w:tc>
        <w:tc>
          <w:tcPr>
            <w:tcW w:w="9720" w:type="dxa"/>
            <w:vAlign w:val="bottom"/>
          </w:tcPr>
          <w:p>
            <w:pPr>
              <w:ind w:left="280"/>
              <w:spacing w:after="0"/>
              <w:rPr>
                <w:sz w:val="20"/>
                <w:szCs w:val="20"/>
                <w:color w:val="auto"/>
              </w:rPr>
            </w:pPr>
            <w:r>
              <w:rPr>
                <w:rFonts w:ascii="Arial" w:cs="Arial" w:eastAsia="Arial" w:hAnsi="Arial"/>
                <w:sz w:val="16"/>
                <w:szCs w:val="16"/>
                <w:color w:val="032E5C"/>
              </w:rPr>
              <w:t>Preserve our natural environments and contribute to the success of our local communities.</w:t>
            </w:r>
          </w:p>
        </w:tc>
        <w:tc>
          <w:tcPr>
            <w:tcW w:w="0" w:type="dxa"/>
            <w:vAlign w:val="bottom"/>
          </w:tcPr>
          <w:p>
            <w:pPr>
              <w:spacing w:after="0"/>
              <w:rPr>
                <w:sz w:val="1"/>
                <w:szCs w:val="1"/>
                <w:color w:val="auto"/>
              </w:rPr>
            </w:pPr>
          </w:p>
        </w:tc>
      </w:tr>
      <w:tr>
        <w:trPr>
          <w:trHeight w:val="89"/>
        </w:trPr>
        <w:tc>
          <w:tcPr>
            <w:tcW w:w="80" w:type="dxa"/>
            <w:vAlign w:val="bottom"/>
            <w:shd w:val="clear" w:color="auto" w:fill="3E5C7C"/>
          </w:tcPr>
          <w:p>
            <w:pPr>
              <w:spacing w:after="0"/>
              <w:rPr>
                <w:sz w:val="7"/>
                <w:szCs w:val="7"/>
                <w:color w:val="auto"/>
              </w:rPr>
            </w:pPr>
          </w:p>
        </w:tc>
        <w:tc>
          <w:tcPr>
            <w:tcW w:w="1440" w:type="dxa"/>
            <w:vAlign w:val="bottom"/>
            <w:vMerge w:val="continue"/>
            <w:shd w:val="clear" w:color="auto" w:fill="3E5C7C"/>
          </w:tcPr>
          <w:p>
            <w:pPr>
              <w:spacing w:after="0"/>
              <w:rPr>
                <w:sz w:val="7"/>
                <w:szCs w:val="7"/>
                <w:color w:val="auto"/>
              </w:rPr>
            </w:pPr>
          </w:p>
        </w:tc>
        <w:tc>
          <w:tcPr>
            <w:tcW w:w="9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98BDE2"/>
            </w:tcBorders>
            <w:shd w:val="clear" w:color="auto" w:fill="3E5C7C"/>
          </w:tcPr>
          <w:p>
            <w:pPr>
              <w:spacing w:after="0"/>
              <w:rPr>
                <w:sz w:val="7"/>
                <w:szCs w:val="7"/>
                <w:color w:val="auto"/>
              </w:rPr>
            </w:pPr>
          </w:p>
        </w:tc>
        <w:tc>
          <w:tcPr>
            <w:tcW w:w="1440" w:type="dxa"/>
            <w:vAlign w:val="bottom"/>
            <w:tcBorders>
              <w:bottom w:val="single" w:sz="8" w:color="98BDE2"/>
            </w:tcBorders>
            <w:shd w:val="clear" w:color="auto" w:fill="3E5C7C"/>
          </w:tcPr>
          <w:p>
            <w:pPr>
              <w:spacing w:after="0"/>
              <w:rPr>
                <w:sz w:val="7"/>
                <w:szCs w:val="7"/>
                <w:color w:val="auto"/>
              </w:rPr>
            </w:pPr>
          </w:p>
        </w:tc>
        <w:tc>
          <w:tcPr>
            <w:tcW w:w="972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80" w:type="dxa"/>
            <w:vAlign w:val="bottom"/>
            <w:shd w:val="clear" w:color="auto" w:fill="3E5C7C"/>
          </w:tcPr>
          <w:p>
            <w:pPr>
              <w:spacing w:after="0"/>
              <w:rPr>
                <w:sz w:val="19"/>
                <w:szCs w:val="19"/>
                <w:color w:val="auto"/>
              </w:rPr>
            </w:pPr>
          </w:p>
        </w:tc>
        <w:tc>
          <w:tcPr>
            <w:tcW w:w="1440" w:type="dxa"/>
            <w:vAlign w:val="bottom"/>
            <w:vMerge w:val="restart"/>
            <w:shd w:val="clear" w:color="auto" w:fill="3E5C7C"/>
          </w:tcPr>
          <w:p>
            <w:pPr>
              <w:ind w:left="20"/>
              <w:spacing w:after="0"/>
              <w:rPr>
                <w:sz w:val="20"/>
                <w:szCs w:val="20"/>
                <w:color w:val="auto"/>
              </w:rPr>
            </w:pPr>
            <w:r>
              <w:rPr>
                <w:rFonts w:ascii="Arial" w:cs="Arial" w:eastAsia="Arial" w:hAnsi="Arial"/>
                <w:sz w:val="16"/>
                <w:szCs w:val="16"/>
                <w:b w:val="1"/>
                <w:bCs w:val="1"/>
                <w:color w:val="FBF7F0"/>
              </w:rPr>
              <w:t>HAVE FUN</w:t>
            </w:r>
          </w:p>
        </w:tc>
        <w:tc>
          <w:tcPr>
            <w:tcW w:w="9720" w:type="dxa"/>
            <w:vAlign w:val="bottom"/>
          </w:tcPr>
          <w:p>
            <w:pPr>
              <w:ind w:left="280"/>
              <w:spacing w:after="0"/>
              <w:rPr>
                <w:sz w:val="20"/>
                <w:szCs w:val="20"/>
                <w:color w:val="auto"/>
              </w:rPr>
            </w:pPr>
            <w:r>
              <w:rPr>
                <w:rFonts w:ascii="Arial" w:cs="Arial" w:eastAsia="Arial" w:hAnsi="Arial"/>
                <w:sz w:val="16"/>
                <w:szCs w:val="16"/>
                <w:color w:val="032E5C"/>
              </w:rPr>
              <w:t>Fun is our product – create fun, enjoy your work, and share the contagious spirit.</w:t>
            </w:r>
          </w:p>
        </w:tc>
        <w:tc>
          <w:tcPr>
            <w:tcW w:w="0" w:type="dxa"/>
            <w:vAlign w:val="bottom"/>
          </w:tcPr>
          <w:p>
            <w:pPr>
              <w:spacing w:after="0"/>
              <w:rPr>
                <w:sz w:val="1"/>
                <w:szCs w:val="1"/>
                <w:color w:val="auto"/>
              </w:rPr>
            </w:pPr>
          </w:p>
        </w:tc>
      </w:tr>
      <w:tr>
        <w:trPr>
          <w:trHeight w:val="89"/>
        </w:trPr>
        <w:tc>
          <w:tcPr>
            <w:tcW w:w="80" w:type="dxa"/>
            <w:vAlign w:val="bottom"/>
            <w:shd w:val="clear" w:color="auto" w:fill="3E5C7C"/>
          </w:tcPr>
          <w:p>
            <w:pPr>
              <w:spacing w:after="0"/>
              <w:rPr>
                <w:sz w:val="7"/>
                <w:szCs w:val="7"/>
                <w:color w:val="auto"/>
              </w:rPr>
            </w:pPr>
          </w:p>
        </w:tc>
        <w:tc>
          <w:tcPr>
            <w:tcW w:w="1440" w:type="dxa"/>
            <w:vAlign w:val="bottom"/>
            <w:vMerge w:val="continue"/>
            <w:shd w:val="clear" w:color="auto" w:fill="3E5C7C"/>
          </w:tcPr>
          <w:p>
            <w:pPr>
              <w:spacing w:after="0"/>
              <w:rPr>
                <w:sz w:val="7"/>
                <w:szCs w:val="7"/>
                <w:color w:val="auto"/>
              </w:rPr>
            </w:pPr>
          </w:p>
        </w:tc>
        <w:tc>
          <w:tcPr>
            <w:tcW w:w="9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98BDE2"/>
            </w:tcBorders>
            <w:shd w:val="clear" w:color="auto" w:fill="3E5C7C"/>
          </w:tcPr>
          <w:p>
            <w:pPr>
              <w:spacing w:after="0"/>
              <w:rPr>
                <w:sz w:val="7"/>
                <w:szCs w:val="7"/>
                <w:color w:val="auto"/>
              </w:rPr>
            </w:pPr>
          </w:p>
        </w:tc>
        <w:tc>
          <w:tcPr>
            <w:tcW w:w="1440" w:type="dxa"/>
            <w:vAlign w:val="bottom"/>
            <w:tcBorders>
              <w:bottom w:val="single" w:sz="8" w:color="98BDE2"/>
            </w:tcBorders>
            <w:shd w:val="clear" w:color="auto" w:fill="3E5C7C"/>
          </w:tcPr>
          <w:p>
            <w:pPr>
              <w:spacing w:after="0"/>
              <w:rPr>
                <w:sz w:val="7"/>
                <w:szCs w:val="7"/>
                <w:color w:val="auto"/>
              </w:rPr>
            </w:pPr>
          </w:p>
        </w:tc>
        <w:tc>
          <w:tcPr>
            <w:tcW w:w="972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80" w:type="dxa"/>
            <w:vAlign w:val="bottom"/>
            <w:shd w:val="clear" w:color="auto" w:fill="3E5C7C"/>
          </w:tcPr>
          <w:p>
            <w:pPr>
              <w:spacing w:after="0"/>
              <w:rPr>
                <w:sz w:val="19"/>
                <w:szCs w:val="19"/>
                <w:color w:val="auto"/>
              </w:rPr>
            </w:pPr>
          </w:p>
        </w:tc>
        <w:tc>
          <w:tcPr>
            <w:tcW w:w="1440" w:type="dxa"/>
            <w:vAlign w:val="bottom"/>
            <w:vMerge w:val="restart"/>
            <w:shd w:val="clear" w:color="auto" w:fill="3E5C7C"/>
          </w:tcPr>
          <w:p>
            <w:pPr>
              <w:ind w:left="20"/>
              <w:spacing w:after="0"/>
              <w:rPr>
                <w:sz w:val="20"/>
                <w:szCs w:val="20"/>
                <w:color w:val="auto"/>
              </w:rPr>
            </w:pPr>
            <w:r>
              <w:rPr>
                <w:rFonts w:ascii="Arial" w:cs="Arial" w:eastAsia="Arial" w:hAnsi="Arial"/>
                <w:sz w:val="16"/>
                <w:szCs w:val="16"/>
                <w:b w:val="1"/>
                <w:bCs w:val="1"/>
                <w:color w:val="FBF7F0"/>
              </w:rPr>
              <w:t>BE SAFE</w:t>
            </w:r>
          </w:p>
        </w:tc>
        <w:tc>
          <w:tcPr>
            <w:tcW w:w="9720" w:type="dxa"/>
            <w:vAlign w:val="bottom"/>
          </w:tcPr>
          <w:p>
            <w:pPr>
              <w:ind w:left="280"/>
              <w:spacing w:after="0"/>
              <w:rPr>
                <w:sz w:val="20"/>
                <w:szCs w:val="20"/>
                <w:color w:val="auto"/>
              </w:rPr>
            </w:pPr>
            <w:r>
              <w:rPr>
                <w:rFonts w:ascii="Arial" w:cs="Arial" w:eastAsia="Arial" w:hAnsi="Arial"/>
                <w:sz w:val="16"/>
                <w:szCs w:val="16"/>
                <w:color w:val="032E5C"/>
              </w:rPr>
              <w:t>Be committed to the safety and wellness of our employees and guests.</w:t>
            </w:r>
          </w:p>
        </w:tc>
        <w:tc>
          <w:tcPr>
            <w:tcW w:w="0" w:type="dxa"/>
            <w:vAlign w:val="bottom"/>
          </w:tcPr>
          <w:p>
            <w:pPr>
              <w:spacing w:after="0"/>
              <w:rPr>
                <w:sz w:val="1"/>
                <w:szCs w:val="1"/>
                <w:color w:val="auto"/>
              </w:rPr>
            </w:pPr>
          </w:p>
        </w:tc>
      </w:tr>
      <w:tr>
        <w:trPr>
          <w:trHeight w:val="89"/>
        </w:trPr>
        <w:tc>
          <w:tcPr>
            <w:tcW w:w="80" w:type="dxa"/>
            <w:vAlign w:val="bottom"/>
            <w:shd w:val="clear" w:color="auto" w:fill="3E5C7C"/>
          </w:tcPr>
          <w:p>
            <w:pPr>
              <w:spacing w:after="0"/>
              <w:rPr>
                <w:sz w:val="7"/>
                <w:szCs w:val="7"/>
                <w:color w:val="auto"/>
              </w:rPr>
            </w:pPr>
          </w:p>
        </w:tc>
        <w:tc>
          <w:tcPr>
            <w:tcW w:w="1440" w:type="dxa"/>
            <w:vAlign w:val="bottom"/>
            <w:vMerge w:val="continue"/>
            <w:shd w:val="clear" w:color="auto" w:fill="3E5C7C"/>
          </w:tcPr>
          <w:p>
            <w:pPr>
              <w:spacing w:after="0"/>
              <w:rPr>
                <w:sz w:val="7"/>
                <w:szCs w:val="7"/>
                <w:color w:val="auto"/>
              </w:rPr>
            </w:pPr>
          </w:p>
        </w:tc>
        <w:tc>
          <w:tcPr>
            <w:tcW w:w="9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98BDE2"/>
            </w:tcBorders>
            <w:shd w:val="clear" w:color="auto" w:fill="3E5C7C"/>
          </w:tcPr>
          <w:p>
            <w:pPr>
              <w:spacing w:after="0"/>
              <w:rPr>
                <w:sz w:val="7"/>
                <w:szCs w:val="7"/>
                <w:color w:val="auto"/>
              </w:rPr>
            </w:pPr>
          </w:p>
        </w:tc>
        <w:tc>
          <w:tcPr>
            <w:tcW w:w="1440" w:type="dxa"/>
            <w:vAlign w:val="bottom"/>
            <w:tcBorders>
              <w:bottom w:val="single" w:sz="8" w:color="98BDE2"/>
            </w:tcBorders>
            <w:shd w:val="clear" w:color="auto" w:fill="3E5C7C"/>
          </w:tcPr>
          <w:p>
            <w:pPr>
              <w:spacing w:after="0"/>
              <w:rPr>
                <w:sz w:val="7"/>
                <w:szCs w:val="7"/>
                <w:color w:val="auto"/>
              </w:rPr>
            </w:pPr>
          </w:p>
        </w:tc>
        <w:tc>
          <w:tcPr>
            <w:tcW w:w="972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80" w:type="dxa"/>
            <w:vAlign w:val="bottom"/>
            <w:shd w:val="clear" w:color="auto" w:fill="3E5C7C"/>
          </w:tcPr>
          <w:p>
            <w:pPr>
              <w:spacing w:after="0"/>
              <w:rPr>
                <w:sz w:val="19"/>
                <w:szCs w:val="19"/>
                <w:color w:val="auto"/>
              </w:rPr>
            </w:pPr>
          </w:p>
        </w:tc>
        <w:tc>
          <w:tcPr>
            <w:tcW w:w="1440" w:type="dxa"/>
            <w:vAlign w:val="bottom"/>
            <w:vMerge w:val="restart"/>
            <w:shd w:val="clear" w:color="auto" w:fill="3E5C7C"/>
          </w:tcPr>
          <w:p>
            <w:pPr>
              <w:ind w:left="20"/>
              <w:spacing w:after="0"/>
              <w:rPr>
                <w:sz w:val="20"/>
                <w:szCs w:val="20"/>
                <w:color w:val="auto"/>
              </w:rPr>
            </w:pPr>
            <w:r>
              <w:rPr>
                <w:rFonts w:ascii="Arial" w:cs="Arial" w:eastAsia="Arial" w:hAnsi="Arial"/>
                <w:sz w:val="16"/>
                <w:szCs w:val="16"/>
                <w:b w:val="1"/>
                <w:bCs w:val="1"/>
                <w:color w:val="FBF7F0"/>
              </w:rPr>
              <w:t>DO RIGHT</w:t>
            </w:r>
          </w:p>
        </w:tc>
        <w:tc>
          <w:tcPr>
            <w:tcW w:w="9720" w:type="dxa"/>
            <w:vAlign w:val="bottom"/>
          </w:tcPr>
          <w:p>
            <w:pPr>
              <w:ind w:left="280"/>
              <w:spacing w:after="0"/>
              <w:rPr>
                <w:sz w:val="20"/>
                <w:szCs w:val="20"/>
                <w:color w:val="auto"/>
              </w:rPr>
            </w:pPr>
            <w:r>
              <w:rPr>
                <w:rFonts w:ascii="Arial" w:cs="Arial" w:eastAsia="Arial" w:hAnsi="Arial"/>
                <w:sz w:val="16"/>
                <w:szCs w:val="16"/>
                <w:color w:val="032E5C"/>
              </w:rPr>
              <w:t>Act with integrity – always do the right thing, knowing it leads to the right outcome.</w:t>
            </w:r>
          </w:p>
        </w:tc>
        <w:tc>
          <w:tcPr>
            <w:tcW w:w="0" w:type="dxa"/>
            <w:vAlign w:val="bottom"/>
          </w:tcPr>
          <w:p>
            <w:pPr>
              <w:spacing w:after="0"/>
              <w:rPr>
                <w:sz w:val="1"/>
                <w:szCs w:val="1"/>
                <w:color w:val="auto"/>
              </w:rPr>
            </w:pPr>
          </w:p>
        </w:tc>
      </w:tr>
      <w:tr>
        <w:trPr>
          <w:trHeight w:val="89"/>
        </w:trPr>
        <w:tc>
          <w:tcPr>
            <w:tcW w:w="80" w:type="dxa"/>
            <w:vAlign w:val="bottom"/>
            <w:shd w:val="clear" w:color="auto" w:fill="3E5C7C"/>
          </w:tcPr>
          <w:p>
            <w:pPr>
              <w:spacing w:after="0"/>
              <w:rPr>
                <w:sz w:val="7"/>
                <w:szCs w:val="7"/>
                <w:color w:val="auto"/>
              </w:rPr>
            </w:pPr>
          </w:p>
        </w:tc>
        <w:tc>
          <w:tcPr>
            <w:tcW w:w="1440" w:type="dxa"/>
            <w:vAlign w:val="bottom"/>
            <w:vMerge w:val="continue"/>
            <w:shd w:val="clear" w:color="auto" w:fill="3E5C7C"/>
          </w:tcPr>
          <w:p>
            <w:pPr>
              <w:spacing w:after="0"/>
              <w:rPr>
                <w:sz w:val="7"/>
                <w:szCs w:val="7"/>
                <w:color w:val="auto"/>
              </w:rPr>
            </w:pPr>
          </w:p>
        </w:tc>
        <w:tc>
          <w:tcPr>
            <w:tcW w:w="9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98BDE2"/>
            </w:tcBorders>
            <w:shd w:val="clear" w:color="auto" w:fill="3E5C7C"/>
          </w:tcPr>
          <w:p>
            <w:pPr>
              <w:spacing w:after="0"/>
              <w:rPr>
                <w:sz w:val="7"/>
                <w:szCs w:val="7"/>
                <w:color w:val="auto"/>
              </w:rPr>
            </w:pPr>
          </w:p>
        </w:tc>
        <w:tc>
          <w:tcPr>
            <w:tcW w:w="1440" w:type="dxa"/>
            <w:vAlign w:val="bottom"/>
            <w:tcBorders>
              <w:bottom w:val="single" w:sz="8" w:color="98BDE2"/>
            </w:tcBorders>
            <w:shd w:val="clear" w:color="auto" w:fill="3E5C7C"/>
          </w:tcPr>
          <w:p>
            <w:pPr>
              <w:spacing w:after="0"/>
              <w:rPr>
                <w:sz w:val="7"/>
                <w:szCs w:val="7"/>
                <w:color w:val="auto"/>
              </w:rPr>
            </w:pPr>
          </w:p>
        </w:tc>
        <w:tc>
          <w:tcPr>
            <w:tcW w:w="972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3E5C7C"/>
          </w:tcPr>
          <w:p>
            <w:pPr>
              <w:spacing w:after="0"/>
              <w:rPr>
                <w:sz w:val="19"/>
                <w:szCs w:val="19"/>
                <w:color w:val="auto"/>
              </w:rPr>
            </w:pPr>
          </w:p>
        </w:tc>
        <w:tc>
          <w:tcPr>
            <w:tcW w:w="1440" w:type="dxa"/>
            <w:vAlign w:val="bottom"/>
            <w:shd w:val="clear" w:color="auto" w:fill="3E5C7C"/>
          </w:tcPr>
          <w:p>
            <w:pPr>
              <w:ind w:left="20"/>
              <w:spacing w:after="0"/>
              <w:rPr>
                <w:sz w:val="20"/>
                <w:szCs w:val="20"/>
                <w:color w:val="auto"/>
              </w:rPr>
            </w:pPr>
            <w:r>
              <w:rPr>
                <w:rFonts w:ascii="Arial" w:cs="Arial" w:eastAsia="Arial" w:hAnsi="Arial"/>
                <w:sz w:val="16"/>
                <w:szCs w:val="16"/>
                <w:b w:val="1"/>
                <w:bCs w:val="1"/>
                <w:color w:val="FBF7F0"/>
              </w:rPr>
              <w:t>BE</w:t>
            </w:r>
          </w:p>
        </w:tc>
        <w:tc>
          <w:tcPr>
            <w:tcW w:w="9720" w:type="dxa"/>
            <w:vAlign w:val="bottom"/>
          </w:tcPr>
          <w:p>
            <w:pPr>
              <w:ind w:left="280"/>
              <w:spacing w:after="0"/>
              <w:rPr>
                <w:sz w:val="20"/>
                <w:szCs w:val="20"/>
                <w:color w:val="auto"/>
              </w:rPr>
            </w:pPr>
            <w:r>
              <w:rPr>
                <w:rFonts w:ascii="Arial" w:cs="Arial" w:eastAsia="Arial" w:hAnsi="Arial"/>
                <w:sz w:val="16"/>
                <w:szCs w:val="16"/>
                <w:color w:val="032E5C"/>
              </w:rPr>
              <w:t>Welcome everyone to our Company, resorts and communities – include all races, gender identities, sexual orientations,</w:t>
            </w:r>
          </w:p>
        </w:tc>
        <w:tc>
          <w:tcPr>
            <w:tcW w:w="0" w:type="dxa"/>
            <w:vAlign w:val="bottom"/>
          </w:tcPr>
          <w:p>
            <w:pPr>
              <w:spacing w:after="0"/>
              <w:rPr>
                <w:sz w:val="1"/>
                <w:szCs w:val="1"/>
                <w:color w:val="auto"/>
              </w:rPr>
            </w:pPr>
          </w:p>
        </w:tc>
      </w:tr>
      <w:tr>
        <w:trPr>
          <w:trHeight w:val="216"/>
        </w:trPr>
        <w:tc>
          <w:tcPr>
            <w:tcW w:w="80" w:type="dxa"/>
            <w:vAlign w:val="bottom"/>
            <w:shd w:val="clear" w:color="auto" w:fill="3E5C7C"/>
          </w:tcPr>
          <w:p>
            <w:pPr>
              <w:spacing w:after="0"/>
              <w:rPr>
                <w:sz w:val="18"/>
                <w:szCs w:val="18"/>
                <w:color w:val="auto"/>
              </w:rPr>
            </w:pPr>
          </w:p>
        </w:tc>
        <w:tc>
          <w:tcPr>
            <w:tcW w:w="1440" w:type="dxa"/>
            <w:vAlign w:val="bottom"/>
            <w:shd w:val="clear" w:color="auto" w:fill="3E5C7C"/>
          </w:tcPr>
          <w:p>
            <w:pPr>
              <w:ind w:left="20"/>
              <w:spacing w:after="0"/>
              <w:rPr>
                <w:sz w:val="20"/>
                <w:szCs w:val="20"/>
                <w:color w:val="auto"/>
              </w:rPr>
            </w:pPr>
            <w:r>
              <w:rPr>
                <w:rFonts w:ascii="Arial" w:cs="Arial" w:eastAsia="Arial" w:hAnsi="Arial"/>
                <w:sz w:val="16"/>
                <w:szCs w:val="16"/>
                <w:b w:val="1"/>
                <w:bCs w:val="1"/>
                <w:color w:val="FBF7F0"/>
              </w:rPr>
              <w:t>INCLUSIVE</w:t>
            </w:r>
          </w:p>
        </w:tc>
        <w:tc>
          <w:tcPr>
            <w:tcW w:w="9720" w:type="dxa"/>
            <w:vAlign w:val="bottom"/>
            <w:vMerge w:val="restart"/>
          </w:tcPr>
          <w:p>
            <w:pPr>
              <w:ind w:left="280"/>
              <w:spacing w:after="0"/>
              <w:rPr>
                <w:sz w:val="20"/>
                <w:szCs w:val="20"/>
                <w:color w:val="auto"/>
              </w:rPr>
            </w:pPr>
            <w:r>
              <w:rPr>
                <w:rFonts w:ascii="Arial" w:cs="Arial" w:eastAsia="Arial" w:hAnsi="Arial"/>
                <w:sz w:val="16"/>
                <w:szCs w:val="16"/>
                <w:color w:val="032E5C"/>
              </w:rPr>
              <w:t>abilities, and the many qualities that make each of us unique.</w:t>
            </w:r>
          </w:p>
        </w:tc>
        <w:tc>
          <w:tcPr>
            <w:tcW w:w="0" w:type="dxa"/>
            <w:vAlign w:val="bottom"/>
          </w:tcPr>
          <w:p>
            <w:pPr>
              <w:spacing w:after="0"/>
              <w:rPr>
                <w:sz w:val="1"/>
                <w:szCs w:val="1"/>
                <w:color w:val="auto"/>
              </w:rPr>
            </w:pPr>
          </w:p>
        </w:tc>
      </w:tr>
      <w:tr>
        <w:trPr>
          <w:trHeight w:val="52"/>
        </w:trPr>
        <w:tc>
          <w:tcPr>
            <w:tcW w:w="80" w:type="dxa"/>
            <w:vAlign w:val="bottom"/>
            <w:shd w:val="clear" w:color="auto" w:fill="3E5C7C"/>
          </w:tcPr>
          <w:p>
            <w:pPr>
              <w:spacing w:after="0"/>
              <w:rPr>
                <w:sz w:val="4"/>
                <w:szCs w:val="4"/>
                <w:color w:val="auto"/>
              </w:rPr>
            </w:pPr>
          </w:p>
        </w:tc>
        <w:tc>
          <w:tcPr>
            <w:tcW w:w="1440" w:type="dxa"/>
            <w:vAlign w:val="bottom"/>
            <w:shd w:val="clear" w:color="auto" w:fill="3E5C7C"/>
          </w:tcPr>
          <w:p>
            <w:pPr>
              <w:spacing w:after="0"/>
              <w:rPr>
                <w:sz w:val="4"/>
                <w:szCs w:val="4"/>
                <w:color w:val="auto"/>
              </w:rPr>
            </w:pPr>
          </w:p>
        </w:tc>
        <w:tc>
          <w:tcPr>
            <w:tcW w:w="9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98BDE2"/>
            </w:tcBorders>
            <w:shd w:val="clear" w:color="auto" w:fill="3E5C7C"/>
          </w:tcPr>
          <w:p>
            <w:pPr>
              <w:spacing w:after="0"/>
              <w:rPr>
                <w:sz w:val="7"/>
                <w:szCs w:val="7"/>
                <w:color w:val="auto"/>
              </w:rPr>
            </w:pPr>
          </w:p>
        </w:tc>
        <w:tc>
          <w:tcPr>
            <w:tcW w:w="1440" w:type="dxa"/>
            <w:vAlign w:val="bottom"/>
            <w:tcBorders>
              <w:bottom w:val="single" w:sz="8" w:color="98BDE2"/>
            </w:tcBorders>
            <w:shd w:val="clear" w:color="auto" w:fill="3E5C7C"/>
          </w:tcPr>
          <w:p>
            <w:pPr>
              <w:spacing w:after="0"/>
              <w:rPr>
                <w:sz w:val="7"/>
                <w:szCs w:val="7"/>
                <w:color w:val="auto"/>
              </w:rPr>
            </w:pPr>
          </w:p>
        </w:tc>
        <w:tc>
          <w:tcPr>
            <w:tcW w:w="972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80" w:type="dxa"/>
            <w:vAlign w:val="bottom"/>
            <w:shd w:val="clear" w:color="auto" w:fill="3E5C7C"/>
          </w:tcPr>
          <w:p>
            <w:pPr>
              <w:spacing w:after="0"/>
              <w:rPr>
                <w:sz w:val="19"/>
                <w:szCs w:val="19"/>
                <w:color w:val="auto"/>
              </w:rPr>
            </w:pPr>
          </w:p>
        </w:tc>
        <w:tc>
          <w:tcPr>
            <w:tcW w:w="1440" w:type="dxa"/>
            <w:vAlign w:val="bottom"/>
            <w:vMerge w:val="restart"/>
            <w:shd w:val="clear" w:color="auto" w:fill="3E5C7C"/>
          </w:tcPr>
          <w:p>
            <w:pPr>
              <w:ind w:left="20"/>
              <w:spacing w:after="0"/>
              <w:rPr>
                <w:sz w:val="20"/>
                <w:szCs w:val="20"/>
                <w:color w:val="auto"/>
              </w:rPr>
            </w:pPr>
            <w:r>
              <w:rPr>
                <w:rFonts w:ascii="Arial" w:cs="Arial" w:eastAsia="Arial" w:hAnsi="Arial"/>
                <w:sz w:val="16"/>
                <w:szCs w:val="16"/>
                <w:b w:val="1"/>
                <w:bCs w:val="1"/>
                <w:color w:val="FBF7F0"/>
              </w:rPr>
              <w:t>DRIVE VALUE</w:t>
            </w:r>
          </w:p>
        </w:tc>
        <w:tc>
          <w:tcPr>
            <w:tcW w:w="9720" w:type="dxa"/>
            <w:vAlign w:val="bottom"/>
          </w:tcPr>
          <w:p>
            <w:pPr>
              <w:ind w:left="280"/>
              <w:spacing w:after="0"/>
              <w:rPr>
                <w:sz w:val="20"/>
                <w:szCs w:val="20"/>
                <w:color w:val="auto"/>
              </w:rPr>
            </w:pPr>
            <w:r>
              <w:rPr>
                <w:rFonts w:ascii="Arial" w:cs="Arial" w:eastAsia="Arial" w:hAnsi="Arial"/>
                <w:sz w:val="16"/>
                <w:szCs w:val="16"/>
                <w:color w:val="032E5C"/>
              </w:rPr>
              <w:t>Fuel business growth and guest loyalty through guest experience and continued innovation.</w:t>
            </w:r>
          </w:p>
        </w:tc>
        <w:tc>
          <w:tcPr>
            <w:tcW w:w="0" w:type="dxa"/>
            <w:vAlign w:val="bottom"/>
          </w:tcPr>
          <w:p>
            <w:pPr>
              <w:spacing w:after="0"/>
              <w:rPr>
                <w:sz w:val="1"/>
                <w:szCs w:val="1"/>
                <w:color w:val="auto"/>
              </w:rPr>
            </w:pPr>
          </w:p>
        </w:tc>
      </w:tr>
      <w:tr>
        <w:trPr>
          <w:trHeight w:val="89"/>
        </w:trPr>
        <w:tc>
          <w:tcPr>
            <w:tcW w:w="80" w:type="dxa"/>
            <w:vAlign w:val="bottom"/>
            <w:shd w:val="clear" w:color="auto" w:fill="3E5C7C"/>
          </w:tcPr>
          <w:p>
            <w:pPr>
              <w:spacing w:after="0"/>
              <w:rPr>
                <w:sz w:val="7"/>
                <w:szCs w:val="7"/>
                <w:color w:val="auto"/>
              </w:rPr>
            </w:pPr>
          </w:p>
        </w:tc>
        <w:tc>
          <w:tcPr>
            <w:tcW w:w="1440" w:type="dxa"/>
            <w:vAlign w:val="bottom"/>
            <w:vMerge w:val="continue"/>
            <w:shd w:val="clear" w:color="auto" w:fill="3E5C7C"/>
          </w:tcPr>
          <w:p>
            <w:pPr>
              <w:spacing w:after="0"/>
              <w:rPr>
                <w:sz w:val="7"/>
                <w:szCs w:val="7"/>
                <w:color w:val="auto"/>
              </w:rPr>
            </w:pPr>
          </w:p>
        </w:tc>
        <w:tc>
          <w:tcPr>
            <w:tcW w:w="9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0" w:type="dxa"/>
            <w:vAlign w:val="bottom"/>
            <w:tcBorders>
              <w:bottom w:val="single" w:sz="8" w:color="3E5C7C"/>
            </w:tcBorders>
            <w:shd w:val="clear" w:color="auto" w:fill="3E5C7C"/>
          </w:tcPr>
          <w:p>
            <w:pPr>
              <w:spacing w:after="0"/>
              <w:rPr>
                <w:sz w:val="8"/>
                <w:szCs w:val="8"/>
                <w:color w:val="auto"/>
              </w:rPr>
            </w:pPr>
          </w:p>
        </w:tc>
        <w:tc>
          <w:tcPr>
            <w:tcW w:w="1440" w:type="dxa"/>
            <w:vAlign w:val="bottom"/>
            <w:tcBorders>
              <w:bottom w:val="single" w:sz="8" w:color="3E5C7C"/>
            </w:tcBorders>
            <w:shd w:val="clear" w:color="auto" w:fill="3E5C7C"/>
          </w:tcPr>
          <w:p>
            <w:pPr>
              <w:spacing w:after="0"/>
              <w:rPr>
                <w:sz w:val="8"/>
                <w:szCs w:val="8"/>
                <w:color w:val="auto"/>
              </w:rPr>
            </w:pPr>
          </w:p>
        </w:tc>
        <w:tc>
          <w:tcPr>
            <w:tcW w:w="9720" w:type="dxa"/>
            <w:vAlign w:val="bottom"/>
            <w:tcBorders>
              <w:bottom w:val="single" w:sz="8" w:color="3E5C7C"/>
            </w:tcBorders>
          </w:tcPr>
          <w:p>
            <w:pPr>
              <w:spacing w:after="0"/>
              <w:rPr>
                <w:sz w:val="8"/>
                <w:szCs w:val="8"/>
                <w:color w:val="auto"/>
              </w:rPr>
            </w:pPr>
          </w:p>
        </w:tc>
        <w:tc>
          <w:tcPr>
            <w:tcW w:w="0" w:type="dxa"/>
            <w:vAlign w:val="bottom"/>
          </w:tcPr>
          <w:p>
            <w:pPr>
              <w:spacing w:after="0"/>
              <w:rPr>
                <w:sz w:val="1"/>
                <w:szCs w:val="1"/>
                <w:color w:val="auto"/>
              </w:rPr>
            </w:pPr>
          </w:p>
        </w:tc>
      </w:tr>
      <w:tr>
        <w:trPr>
          <w:trHeight w:val="858"/>
        </w:trPr>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50"/>
          <w:szCs w:val="50"/>
          <w:b w:val="1"/>
          <w:bCs w:val="1"/>
          <w:color w:val="032E5C"/>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29292B"/>
        </w:rPr>
        <w:t>This summary contains highlights about Vail Resorts, Inc. (“we,” “us,” “Vail Resorts,” or the “Company”) and the 2024 Annual Meeting of Stockholders. This summary does not contain all of the information that you should consider in advance of the annual meeting, and we encourage you to read the entire proxy statement and our 2024 Annual Report on Form 10-K filed with the Securities and Exchange Commission ("SEC") on September 26, 2024 (the “Annual Report”) carefully before voting. Page references are provided to help you find further information in this proxy statement. For information concerning the annual meeting and voting on the proposals discussed in more detail in this proxy statement, please see “The Annual Meeting and Voting – Questions and Answers” beginning on pag</w:t>
      </w:r>
      <w:r>
        <w:rPr>
          <w:rFonts w:ascii="Arial" w:cs="Arial" w:eastAsia="Arial" w:hAnsi="Arial"/>
          <w:sz w:val="16"/>
          <w:szCs w:val="16"/>
          <w:color w:val="000000"/>
        </w:rPr>
        <w:t>e</w:t>
      </w:r>
      <w:r>
        <w:rPr>
          <w:rFonts w:ascii="Arial" w:cs="Arial" w:eastAsia="Arial" w:hAnsi="Arial"/>
          <w:sz w:val="16"/>
          <w:szCs w:val="16"/>
          <w:color w:val="29292B"/>
        </w:rPr>
        <w:t xml:space="preserve"> 93. Information on websites provided in this proxy statement are furnished and not filed with the SEC.</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Meeting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 w:type="dxa"/>
            <w:vAlign w:val="bottom"/>
            <w:tcBorders>
              <w:top w:val="single" w:sz="8" w:color="98BDE2"/>
            </w:tcBorders>
            <w:shd w:val="clear" w:color="auto" w:fill="F3EFE9"/>
          </w:tcPr>
          <w:p>
            <w:pPr>
              <w:spacing w:after="0"/>
              <w:rPr>
                <w:sz w:val="20"/>
                <w:szCs w:val="20"/>
                <w:color w:val="auto"/>
              </w:rPr>
            </w:pPr>
          </w:p>
        </w:tc>
        <w:tc>
          <w:tcPr>
            <w:tcW w:w="1360" w:type="dxa"/>
            <w:vAlign w:val="bottom"/>
            <w:tcBorders>
              <w:top w:val="single" w:sz="8" w:color="98BDE2"/>
            </w:tcBorders>
            <w:vMerge w:val="restart"/>
            <w:shd w:val="clear" w:color="auto" w:fill="F3EFE9"/>
          </w:tcPr>
          <w:p>
            <w:pPr>
              <w:ind w:left="20"/>
              <w:spacing w:after="0"/>
              <w:rPr>
                <w:sz w:val="20"/>
                <w:szCs w:val="20"/>
                <w:color w:val="auto"/>
              </w:rPr>
            </w:pPr>
            <w:r>
              <w:rPr>
                <w:rFonts w:ascii="Arial" w:cs="Arial" w:eastAsia="Arial" w:hAnsi="Arial"/>
                <w:sz w:val="16"/>
                <w:szCs w:val="16"/>
                <w:b w:val="1"/>
                <w:bCs w:val="1"/>
                <w:color w:val="032E5C"/>
              </w:rPr>
              <w:t>DATE &amp; TIME</w:t>
            </w:r>
          </w:p>
        </w:tc>
        <w:tc>
          <w:tcPr>
            <w:tcW w:w="9720" w:type="dxa"/>
            <w:vAlign w:val="bottom"/>
            <w:tcBorders>
              <w:top w:val="single" w:sz="8" w:color="98BDE2"/>
            </w:tcBorders>
            <w:gridSpan w:val="2"/>
          </w:tcPr>
          <w:p>
            <w:pPr>
              <w:ind w:left="280"/>
              <w:spacing w:after="0"/>
              <w:rPr>
                <w:sz w:val="20"/>
                <w:szCs w:val="20"/>
                <w:color w:val="auto"/>
              </w:rPr>
            </w:pPr>
            <w:r>
              <w:rPr>
                <w:rFonts w:ascii="Arial" w:cs="Arial" w:eastAsia="Arial" w:hAnsi="Arial"/>
                <w:sz w:val="16"/>
                <w:szCs w:val="16"/>
                <w:color w:val="032E5C"/>
              </w:rPr>
              <w:t>December 5, 2024, 9:00 a.m. Mountain Time</w:t>
            </w:r>
          </w:p>
        </w:tc>
        <w:tc>
          <w:tcPr>
            <w:tcW w:w="0" w:type="dxa"/>
            <w:vAlign w:val="bottom"/>
          </w:tcPr>
          <w:p>
            <w:pPr>
              <w:spacing w:after="0"/>
              <w:rPr>
                <w:sz w:val="1"/>
                <w:szCs w:val="1"/>
                <w:color w:val="auto"/>
              </w:rPr>
            </w:pPr>
          </w:p>
        </w:tc>
      </w:tr>
      <w:tr>
        <w:trPr>
          <w:trHeight w:val="89"/>
        </w:trPr>
        <w:tc>
          <w:tcPr>
            <w:tcW w:w="80" w:type="dxa"/>
            <w:vAlign w:val="bottom"/>
            <w:shd w:val="clear" w:color="auto" w:fill="F3EFE9"/>
          </w:tcPr>
          <w:p>
            <w:pPr>
              <w:spacing w:after="0"/>
              <w:rPr>
                <w:sz w:val="7"/>
                <w:szCs w:val="7"/>
                <w:color w:val="auto"/>
              </w:rPr>
            </w:pPr>
          </w:p>
        </w:tc>
        <w:tc>
          <w:tcPr>
            <w:tcW w:w="1360" w:type="dxa"/>
            <w:vAlign w:val="bottom"/>
            <w:vMerge w:val="continue"/>
            <w:shd w:val="clear" w:color="auto" w:fill="F3EFE9"/>
          </w:tcPr>
          <w:p>
            <w:pPr>
              <w:spacing w:after="0"/>
              <w:rPr>
                <w:sz w:val="7"/>
                <w:szCs w:val="7"/>
                <w:color w:val="auto"/>
              </w:rPr>
            </w:pPr>
          </w:p>
        </w:tc>
        <w:tc>
          <w:tcPr>
            <w:tcW w:w="9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98BDE2"/>
            </w:tcBorders>
            <w:shd w:val="clear" w:color="auto" w:fill="F3EFE9"/>
          </w:tcPr>
          <w:p>
            <w:pPr>
              <w:spacing w:after="0"/>
              <w:rPr>
                <w:sz w:val="7"/>
                <w:szCs w:val="7"/>
                <w:color w:val="auto"/>
              </w:rPr>
            </w:pPr>
          </w:p>
        </w:tc>
        <w:tc>
          <w:tcPr>
            <w:tcW w:w="1360" w:type="dxa"/>
            <w:vAlign w:val="bottom"/>
            <w:tcBorders>
              <w:bottom w:val="single" w:sz="8" w:color="98BDE2"/>
            </w:tcBorders>
            <w:shd w:val="clear" w:color="auto" w:fill="F3EFE9"/>
          </w:tcPr>
          <w:p>
            <w:pPr>
              <w:spacing w:after="0"/>
              <w:rPr>
                <w:sz w:val="7"/>
                <w:szCs w:val="7"/>
                <w:color w:val="auto"/>
              </w:rPr>
            </w:pPr>
          </w:p>
        </w:tc>
        <w:tc>
          <w:tcPr>
            <w:tcW w:w="9620" w:type="dxa"/>
            <w:vAlign w:val="bottom"/>
            <w:tcBorders>
              <w:bottom w:val="single" w:sz="8" w:color="98BDE2"/>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80" w:type="dxa"/>
            <w:vAlign w:val="bottom"/>
            <w:shd w:val="clear" w:color="auto" w:fill="F3EFE9"/>
          </w:tcPr>
          <w:p>
            <w:pPr>
              <w:spacing w:after="0"/>
              <w:rPr>
                <w:sz w:val="19"/>
                <w:szCs w:val="19"/>
                <w:color w:val="auto"/>
              </w:rPr>
            </w:pPr>
          </w:p>
        </w:tc>
        <w:tc>
          <w:tcPr>
            <w:tcW w:w="1360" w:type="dxa"/>
            <w:vAlign w:val="bottom"/>
            <w:vMerge w:val="restart"/>
            <w:shd w:val="clear" w:color="auto" w:fill="F3EFE9"/>
          </w:tcPr>
          <w:p>
            <w:pPr>
              <w:ind w:left="20"/>
              <w:spacing w:after="0"/>
              <w:rPr>
                <w:sz w:val="20"/>
                <w:szCs w:val="20"/>
                <w:color w:val="auto"/>
              </w:rPr>
            </w:pPr>
            <w:r>
              <w:rPr>
                <w:rFonts w:ascii="Arial" w:cs="Arial" w:eastAsia="Arial" w:hAnsi="Arial"/>
                <w:sz w:val="16"/>
                <w:szCs w:val="16"/>
                <w:b w:val="1"/>
                <w:bCs w:val="1"/>
                <w:color w:val="032E5C"/>
              </w:rPr>
              <w:t>WEBSITE</w:t>
            </w:r>
          </w:p>
        </w:tc>
        <w:tc>
          <w:tcPr>
            <w:tcW w:w="9720" w:type="dxa"/>
            <w:vAlign w:val="bottom"/>
            <w:gridSpan w:val="2"/>
          </w:tcPr>
          <w:p>
            <w:pPr>
              <w:ind w:left="280"/>
              <w:spacing w:after="0"/>
              <w:rPr>
                <w:sz w:val="20"/>
                <w:szCs w:val="20"/>
                <w:color w:val="auto"/>
              </w:rPr>
            </w:pPr>
            <w:r>
              <w:rPr>
                <w:rFonts w:ascii="Arial" w:cs="Arial" w:eastAsia="Arial" w:hAnsi="Arial"/>
                <w:sz w:val="16"/>
                <w:szCs w:val="16"/>
                <w:color w:val="032E5C"/>
              </w:rPr>
              <w:t>www.virtualshareholdermeeting.com/MTN2024</w:t>
            </w:r>
          </w:p>
        </w:tc>
        <w:tc>
          <w:tcPr>
            <w:tcW w:w="0" w:type="dxa"/>
            <w:vAlign w:val="bottom"/>
          </w:tcPr>
          <w:p>
            <w:pPr>
              <w:spacing w:after="0"/>
              <w:rPr>
                <w:sz w:val="1"/>
                <w:szCs w:val="1"/>
                <w:color w:val="auto"/>
              </w:rPr>
            </w:pPr>
          </w:p>
        </w:tc>
      </w:tr>
      <w:tr>
        <w:trPr>
          <w:trHeight w:val="89"/>
        </w:trPr>
        <w:tc>
          <w:tcPr>
            <w:tcW w:w="80" w:type="dxa"/>
            <w:vAlign w:val="bottom"/>
            <w:shd w:val="clear" w:color="auto" w:fill="F3EFE9"/>
          </w:tcPr>
          <w:p>
            <w:pPr>
              <w:spacing w:after="0"/>
              <w:rPr>
                <w:sz w:val="7"/>
                <w:szCs w:val="7"/>
                <w:color w:val="auto"/>
              </w:rPr>
            </w:pPr>
          </w:p>
        </w:tc>
        <w:tc>
          <w:tcPr>
            <w:tcW w:w="1360" w:type="dxa"/>
            <w:vAlign w:val="bottom"/>
            <w:vMerge w:val="continue"/>
            <w:shd w:val="clear" w:color="auto" w:fill="F3EFE9"/>
          </w:tcPr>
          <w:p>
            <w:pPr>
              <w:spacing w:after="0"/>
              <w:rPr>
                <w:sz w:val="7"/>
                <w:szCs w:val="7"/>
                <w:color w:val="auto"/>
              </w:rPr>
            </w:pPr>
          </w:p>
        </w:tc>
        <w:tc>
          <w:tcPr>
            <w:tcW w:w="9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98BDE2"/>
            </w:tcBorders>
            <w:shd w:val="clear" w:color="auto" w:fill="F3EFE9"/>
          </w:tcPr>
          <w:p>
            <w:pPr>
              <w:spacing w:after="0"/>
              <w:rPr>
                <w:sz w:val="7"/>
                <w:szCs w:val="7"/>
                <w:color w:val="auto"/>
              </w:rPr>
            </w:pPr>
          </w:p>
        </w:tc>
        <w:tc>
          <w:tcPr>
            <w:tcW w:w="1360" w:type="dxa"/>
            <w:vAlign w:val="bottom"/>
            <w:tcBorders>
              <w:bottom w:val="single" w:sz="8" w:color="98BDE2"/>
            </w:tcBorders>
            <w:shd w:val="clear" w:color="auto" w:fill="F3EFE9"/>
          </w:tcPr>
          <w:p>
            <w:pPr>
              <w:spacing w:after="0"/>
              <w:rPr>
                <w:sz w:val="7"/>
                <w:szCs w:val="7"/>
                <w:color w:val="auto"/>
              </w:rPr>
            </w:pPr>
          </w:p>
        </w:tc>
        <w:tc>
          <w:tcPr>
            <w:tcW w:w="9620" w:type="dxa"/>
            <w:vAlign w:val="bottom"/>
            <w:tcBorders>
              <w:bottom w:val="single" w:sz="8" w:color="98BDE2"/>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80" w:type="dxa"/>
            <w:vAlign w:val="bottom"/>
            <w:shd w:val="clear" w:color="auto" w:fill="F3EFE9"/>
          </w:tcPr>
          <w:p>
            <w:pPr>
              <w:spacing w:after="0"/>
              <w:rPr>
                <w:sz w:val="19"/>
                <w:szCs w:val="19"/>
                <w:color w:val="auto"/>
              </w:rPr>
            </w:pPr>
          </w:p>
        </w:tc>
        <w:tc>
          <w:tcPr>
            <w:tcW w:w="1360" w:type="dxa"/>
            <w:vAlign w:val="bottom"/>
            <w:vMerge w:val="restart"/>
            <w:shd w:val="clear" w:color="auto" w:fill="F3EFE9"/>
          </w:tcPr>
          <w:p>
            <w:pPr>
              <w:ind w:left="20"/>
              <w:spacing w:after="0"/>
              <w:rPr>
                <w:sz w:val="20"/>
                <w:szCs w:val="20"/>
                <w:color w:val="auto"/>
              </w:rPr>
            </w:pPr>
            <w:r>
              <w:rPr>
                <w:rFonts w:ascii="Arial" w:cs="Arial" w:eastAsia="Arial" w:hAnsi="Arial"/>
                <w:sz w:val="16"/>
                <w:szCs w:val="16"/>
                <w:b w:val="1"/>
                <w:bCs w:val="1"/>
                <w:color w:val="032E5C"/>
              </w:rPr>
              <w:t>RECORD DATE</w:t>
            </w:r>
          </w:p>
        </w:tc>
        <w:tc>
          <w:tcPr>
            <w:tcW w:w="9720" w:type="dxa"/>
            <w:vAlign w:val="bottom"/>
            <w:gridSpan w:val="2"/>
          </w:tcPr>
          <w:p>
            <w:pPr>
              <w:ind w:left="280"/>
              <w:spacing w:after="0"/>
              <w:rPr>
                <w:sz w:val="20"/>
                <w:szCs w:val="20"/>
                <w:color w:val="auto"/>
              </w:rPr>
            </w:pPr>
            <w:r>
              <w:rPr>
                <w:rFonts w:ascii="Arial" w:cs="Arial" w:eastAsia="Arial" w:hAnsi="Arial"/>
                <w:sz w:val="16"/>
                <w:szCs w:val="16"/>
                <w:color w:val="032E5C"/>
              </w:rPr>
              <w:t>October 8, 2024</w:t>
            </w:r>
          </w:p>
        </w:tc>
        <w:tc>
          <w:tcPr>
            <w:tcW w:w="0" w:type="dxa"/>
            <w:vAlign w:val="bottom"/>
          </w:tcPr>
          <w:p>
            <w:pPr>
              <w:spacing w:after="0"/>
              <w:rPr>
                <w:sz w:val="1"/>
                <w:szCs w:val="1"/>
                <w:color w:val="auto"/>
              </w:rPr>
            </w:pPr>
          </w:p>
        </w:tc>
      </w:tr>
      <w:tr>
        <w:trPr>
          <w:trHeight w:val="89"/>
        </w:trPr>
        <w:tc>
          <w:tcPr>
            <w:tcW w:w="80" w:type="dxa"/>
            <w:vAlign w:val="bottom"/>
            <w:shd w:val="clear" w:color="auto" w:fill="F3EFE9"/>
          </w:tcPr>
          <w:p>
            <w:pPr>
              <w:spacing w:after="0"/>
              <w:rPr>
                <w:sz w:val="7"/>
                <w:szCs w:val="7"/>
                <w:color w:val="auto"/>
              </w:rPr>
            </w:pPr>
          </w:p>
        </w:tc>
        <w:tc>
          <w:tcPr>
            <w:tcW w:w="1360" w:type="dxa"/>
            <w:vAlign w:val="bottom"/>
            <w:vMerge w:val="continue"/>
            <w:shd w:val="clear" w:color="auto" w:fill="F3EFE9"/>
          </w:tcPr>
          <w:p>
            <w:pPr>
              <w:spacing w:after="0"/>
              <w:rPr>
                <w:sz w:val="7"/>
                <w:szCs w:val="7"/>
                <w:color w:val="auto"/>
              </w:rPr>
            </w:pPr>
          </w:p>
        </w:tc>
        <w:tc>
          <w:tcPr>
            <w:tcW w:w="9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98BDE2"/>
            </w:tcBorders>
            <w:shd w:val="clear" w:color="auto" w:fill="F3EFE9"/>
          </w:tcPr>
          <w:p>
            <w:pPr>
              <w:spacing w:after="0"/>
              <w:rPr>
                <w:sz w:val="7"/>
                <w:szCs w:val="7"/>
                <w:color w:val="auto"/>
              </w:rPr>
            </w:pPr>
          </w:p>
        </w:tc>
        <w:tc>
          <w:tcPr>
            <w:tcW w:w="1360" w:type="dxa"/>
            <w:vAlign w:val="bottom"/>
            <w:tcBorders>
              <w:bottom w:val="single" w:sz="8" w:color="98BDE2"/>
            </w:tcBorders>
            <w:shd w:val="clear" w:color="auto" w:fill="F3EFE9"/>
          </w:tcPr>
          <w:p>
            <w:pPr>
              <w:spacing w:after="0"/>
              <w:rPr>
                <w:sz w:val="7"/>
                <w:szCs w:val="7"/>
                <w:color w:val="auto"/>
              </w:rPr>
            </w:pPr>
          </w:p>
        </w:tc>
        <w:tc>
          <w:tcPr>
            <w:tcW w:w="9620" w:type="dxa"/>
            <w:vAlign w:val="bottom"/>
            <w:tcBorders>
              <w:bottom w:val="single" w:sz="8" w:color="98BDE2"/>
            </w:tcBorders>
          </w:tcPr>
          <w:p>
            <w:pPr>
              <w:spacing w:after="0"/>
              <w:rPr>
                <w:sz w:val="7"/>
                <w:szCs w:val="7"/>
                <w:color w:val="auto"/>
              </w:rPr>
            </w:pPr>
          </w:p>
        </w:tc>
        <w:tc>
          <w:tcPr>
            <w:tcW w:w="10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80" w:type="dxa"/>
            <w:vAlign w:val="bottom"/>
            <w:shd w:val="clear" w:color="auto" w:fill="F3EFE9"/>
          </w:tcPr>
          <w:p>
            <w:pPr>
              <w:spacing w:after="0"/>
              <w:rPr>
                <w:sz w:val="19"/>
                <w:szCs w:val="19"/>
                <w:color w:val="auto"/>
              </w:rPr>
            </w:pPr>
          </w:p>
        </w:tc>
        <w:tc>
          <w:tcPr>
            <w:tcW w:w="1360" w:type="dxa"/>
            <w:vAlign w:val="bottom"/>
            <w:vMerge w:val="restart"/>
            <w:shd w:val="clear" w:color="auto" w:fill="F3EFE9"/>
          </w:tcPr>
          <w:p>
            <w:pPr>
              <w:ind w:left="20"/>
              <w:spacing w:after="0"/>
              <w:rPr>
                <w:sz w:val="20"/>
                <w:szCs w:val="20"/>
                <w:color w:val="auto"/>
              </w:rPr>
            </w:pPr>
            <w:r>
              <w:rPr>
                <w:rFonts w:ascii="Arial" w:cs="Arial" w:eastAsia="Arial" w:hAnsi="Arial"/>
                <w:sz w:val="16"/>
                <w:szCs w:val="16"/>
                <w:b w:val="1"/>
                <w:bCs w:val="1"/>
                <w:color w:val="032E5C"/>
              </w:rPr>
              <w:t>VOTING</w:t>
            </w:r>
          </w:p>
        </w:tc>
        <w:tc>
          <w:tcPr>
            <w:tcW w:w="9720" w:type="dxa"/>
            <w:vAlign w:val="bottom"/>
            <w:gridSpan w:val="2"/>
          </w:tcPr>
          <w:p>
            <w:pPr>
              <w:ind w:left="280"/>
              <w:spacing w:after="0"/>
              <w:rPr>
                <w:sz w:val="20"/>
                <w:szCs w:val="20"/>
                <w:color w:val="auto"/>
              </w:rPr>
            </w:pPr>
            <w:r>
              <w:rPr>
                <w:rFonts w:ascii="Arial" w:cs="Arial" w:eastAsia="Arial" w:hAnsi="Arial"/>
                <w:sz w:val="16"/>
                <w:szCs w:val="16"/>
                <w:color w:val="032E5C"/>
              </w:rPr>
              <w:t>Stockholders at the close of business on the record date may vote at the Annual Meeting of Stockholders. Each share is entitled</w:t>
            </w:r>
          </w:p>
        </w:tc>
        <w:tc>
          <w:tcPr>
            <w:tcW w:w="0" w:type="dxa"/>
            <w:vAlign w:val="bottom"/>
          </w:tcPr>
          <w:p>
            <w:pPr>
              <w:spacing w:after="0"/>
              <w:rPr>
                <w:sz w:val="1"/>
                <w:szCs w:val="1"/>
                <w:color w:val="auto"/>
              </w:rPr>
            </w:pPr>
          </w:p>
        </w:tc>
      </w:tr>
      <w:tr>
        <w:trPr>
          <w:trHeight w:val="216"/>
        </w:trPr>
        <w:tc>
          <w:tcPr>
            <w:tcW w:w="80" w:type="dxa"/>
            <w:vAlign w:val="bottom"/>
            <w:shd w:val="clear" w:color="auto" w:fill="F3EFE9"/>
          </w:tcPr>
          <w:p>
            <w:pPr>
              <w:spacing w:after="0"/>
              <w:rPr>
                <w:sz w:val="18"/>
                <w:szCs w:val="18"/>
                <w:color w:val="auto"/>
              </w:rPr>
            </w:pPr>
          </w:p>
        </w:tc>
        <w:tc>
          <w:tcPr>
            <w:tcW w:w="1360" w:type="dxa"/>
            <w:vAlign w:val="bottom"/>
            <w:vMerge w:val="continue"/>
            <w:shd w:val="clear" w:color="auto" w:fill="F3EFE9"/>
          </w:tcPr>
          <w:p>
            <w:pPr>
              <w:spacing w:after="0"/>
              <w:rPr>
                <w:sz w:val="18"/>
                <w:szCs w:val="18"/>
                <w:color w:val="auto"/>
              </w:rPr>
            </w:pPr>
          </w:p>
        </w:tc>
        <w:tc>
          <w:tcPr>
            <w:tcW w:w="9720" w:type="dxa"/>
            <w:vAlign w:val="bottom"/>
            <w:gridSpan w:val="2"/>
          </w:tcPr>
          <w:p>
            <w:pPr>
              <w:ind w:left="280"/>
              <w:spacing w:after="0"/>
              <w:rPr>
                <w:sz w:val="20"/>
                <w:szCs w:val="20"/>
                <w:color w:val="auto"/>
              </w:rPr>
            </w:pPr>
            <w:r>
              <w:rPr>
                <w:rFonts w:ascii="Arial" w:cs="Arial" w:eastAsia="Arial" w:hAnsi="Arial"/>
                <w:sz w:val="16"/>
                <w:szCs w:val="16"/>
                <w:color w:val="032E5C"/>
              </w:rPr>
              <w:t>to one vote on each matter to be voted upon.</w:t>
            </w:r>
          </w:p>
        </w:tc>
        <w:tc>
          <w:tcPr>
            <w:tcW w:w="0" w:type="dxa"/>
            <w:vAlign w:val="bottom"/>
          </w:tcPr>
          <w:p>
            <w:pPr>
              <w:spacing w:after="0"/>
              <w:rPr>
                <w:sz w:val="1"/>
                <w:szCs w:val="1"/>
                <w:color w:val="auto"/>
              </w:rPr>
            </w:pPr>
          </w:p>
        </w:tc>
      </w:tr>
      <w:tr>
        <w:trPr>
          <w:trHeight w:val="171"/>
        </w:trPr>
        <w:tc>
          <w:tcPr>
            <w:tcW w:w="80" w:type="dxa"/>
            <w:vAlign w:val="bottom"/>
            <w:tcBorders>
              <w:bottom w:val="single" w:sz="8" w:color="3E5C7C"/>
            </w:tcBorders>
            <w:shd w:val="clear" w:color="auto" w:fill="F3EFE9"/>
          </w:tcPr>
          <w:p>
            <w:pPr>
              <w:spacing w:after="0"/>
              <w:rPr>
                <w:sz w:val="14"/>
                <w:szCs w:val="14"/>
                <w:color w:val="auto"/>
              </w:rPr>
            </w:pPr>
          </w:p>
        </w:tc>
        <w:tc>
          <w:tcPr>
            <w:tcW w:w="1360" w:type="dxa"/>
            <w:vAlign w:val="bottom"/>
            <w:tcBorders>
              <w:bottom w:val="single" w:sz="8" w:color="3E5C7C"/>
            </w:tcBorders>
            <w:shd w:val="clear" w:color="auto" w:fill="F3EFE9"/>
          </w:tcPr>
          <w:p>
            <w:pPr>
              <w:spacing w:after="0"/>
              <w:rPr>
                <w:sz w:val="14"/>
                <w:szCs w:val="14"/>
                <w:color w:val="auto"/>
              </w:rPr>
            </w:pPr>
          </w:p>
        </w:tc>
        <w:tc>
          <w:tcPr>
            <w:tcW w:w="9620" w:type="dxa"/>
            <w:vAlign w:val="bottom"/>
            <w:tcBorders>
              <w:bottom w:val="single" w:sz="8" w:color="3E5C7C"/>
            </w:tcBorders>
          </w:tcPr>
          <w:p>
            <w:pPr>
              <w:spacing w:after="0"/>
              <w:rPr>
                <w:sz w:val="14"/>
                <w:szCs w:val="14"/>
                <w:color w:val="auto"/>
              </w:rPr>
            </w:pPr>
          </w:p>
        </w:tc>
        <w:tc>
          <w:tcPr>
            <w:tcW w:w="100" w:type="dxa"/>
            <w:vAlign w:val="bottom"/>
            <w:tcBorders>
              <w:bottom w:val="single" w:sz="8" w:color="3E5C7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Voting Matters and Board Recommendation</w:t>
      </w:r>
    </w:p>
    <w:p>
      <w:pPr>
        <w:spacing w:after="0" w:line="195" w:lineRule="exact"/>
        <w:rPr>
          <w:sz w:val="20"/>
          <w:szCs w:val="20"/>
          <w:color w:val="auto"/>
        </w:rPr>
      </w:pPr>
    </w:p>
    <w:p>
      <w:pPr>
        <w:ind w:right="1140"/>
        <w:spacing w:after="0" w:line="339" w:lineRule="auto"/>
        <w:rPr>
          <w:sz w:val="20"/>
          <w:szCs w:val="20"/>
          <w:color w:val="auto"/>
        </w:rPr>
      </w:pPr>
      <w:r>
        <w:rPr>
          <w:rFonts w:ascii="Arial" w:cs="Arial" w:eastAsia="Arial" w:hAnsi="Arial"/>
          <w:sz w:val="16"/>
          <w:szCs w:val="16"/>
          <w:color w:val="29292B"/>
        </w:rPr>
        <w:t>The following table summarizes the proposals to be considered at the annual meeting and the Company's Board of Directors ("Board") voting recommendation with respect to each proposal.</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shd w:val="clear" w:color="auto" w:fill="98BDE2"/>
          </w:tcPr>
          <w:p>
            <w:pPr>
              <w:spacing w:after="0"/>
              <w:rPr>
                <w:sz w:val="15"/>
                <w:szCs w:val="15"/>
                <w:color w:val="auto"/>
              </w:rPr>
            </w:pPr>
          </w:p>
        </w:tc>
        <w:tc>
          <w:tcPr>
            <w:tcW w:w="7440" w:type="dxa"/>
            <w:vAlign w:val="bottom"/>
            <w:shd w:val="clear" w:color="auto" w:fill="98BDE2"/>
          </w:tcPr>
          <w:p>
            <w:pPr>
              <w:spacing w:after="0"/>
              <w:rPr>
                <w:sz w:val="15"/>
                <w:szCs w:val="15"/>
                <w:color w:val="auto"/>
              </w:rPr>
            </w:pPr>
          </w:p>
        </w:tc>
        <w:tc>
          <w:tcPr>
            <w:tcW w:w="18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w w:val="99"/>
              </w:rPr>
              <w:t>Board Vote</w:t>
            </w:r>
          </w:p>
        </w:tc>
        <w:tc>
          <w:tcPr>
            <w:tcW w:w="140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Page</w:t>
            </w:r>
          </w:p>
        </w:tc>
        <w:tc>
          <w:tcPr>
            <w:tcW w:w="0" w:type="dxa"/>
            <w:vAlign w:val="bottom"/>
          </w:tcPr>
          <w:p>
            <w:pPr>
              <w:spacing w:after="0"/>
              <w:rPr>
                <w:sz w:val="1"/>
                <w:szCs w:val="1"/>
                <w:color w:val="auto"/>
              </w:rPr>
            </w:pPr>
          </w:p>
        </w:tc>
      </w:tr>
      <w:tr>
        <w:trPr>
          <w:trHeight w:val="210"/>
        </w:trPr>
        <w:tc>
          <w:tcPr>
            <w:tcW w:w="8020" w:type="dxa"/>
            <w:vAlign w:val="bottom"/>
            <w:gridSpan w:val="2"/>
            <w:shd w:val="clear" w:color="auto" w:fill="98BDE2"/>
          </w:tcPr>
          <w:p>
            <w:pPr>
              <w:ind w:left="100"/>
              <w:spacing w:after="0"/>
              <w:rPr>
                <w:sz w:val="20"/>
                <w:szCs w:val="20"/>
                <w:color w:val="auto"/>
              </w:rPr>
            </w:pPr>
            <w:r>
              <w:rPr>
                <w:rFonts w:ascii="Arial" w:cs="Arial" w:eastAsia="Arial" w:hAnsi="Arial"/>
                <w:sz w:val="14"/>
                <w:szCs w:val="14"/>
                <w:b w:val="1"/>
                <w:bCs w:val="1"/>
                <w:color w:val="032E5C"/>
              </w:rPr>
              <w:t>Management Proposals</w:t>
            </w:r>
          </w:p>
        </w:tc>
        <w:tc>
          <w:tcPr>
            <w:tcW w:w="18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Recommendation</w:t>
            </w:r>
          </w:p>
        </w:tc>
        <w:tc>
          <w:tcPr>
            <w:tcW w:w="140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Reference</w:t>
            </w:r>
          </w:p>
        </w:tc>
        <w:tc>
          <w:tcPr>
            <w:tcW w:w="0" w:type="dxa"/>
            <w:vAlign w:val="bottom"/>
          </w:tcPr>
          <w:p>
            <w:pPr>
              <w:spacing w:after="0"/>
              <w:rPr>
                <w:sz w:val="1"/>
                <w:szCs w:val="1"/>
                <w:color w:val="auto"/>
              </w:rPr>
            </w:pPr>
          </w:p>
        </w:tc>
      </w:tr>
      <w:tr>
        <w:trPr>
          <w:trHeight w:val="70"/>
        </w:trPr>
        <w:tc>
          <w:tcPr>
            <w:tcW w:w="580" w:type="dxa"/>
            <w:vAlign w:val="bottom"/>
            <w:shd w:val="clear" w:color="auto" w:fill="98BDE2"/>
          </w:tcPr>
          <w:p>
            <w:pPr>
              <w:spacing w:after="0"/>
              <w:rPr>
                <w:sz w:val="6"/>
                <w:szCs w:val="6"/>
                <w:color w:val="auto"/>
              </w:rPr>
            </w:pPr>
          </w:p>
        </w:tc>
        <w:tc>
          <w:tcPr>
            <w:tcW w:w="7440" w:type="dxa"/>
            <w:vAlign w:val="bottom"/>
            <w:shd w:val="clear" w:color="auto" w:fill="98BDE2"/>
          </w:tcPr>
          <w:p>
            <w:pPr>
              <w:spacing w:after="0"/>
              <w:rPr>
                <w:sz w:val="6"/>
                <w:szCs w:val="6"/>
                <w:color w:val="auto"/>
              </w:rPr>
            </w:pPr>
          </w:p>
        </w:tc>
        <w:tc>
          <w:tcPr>
            <w:tcW w:w="1820" w:type="dxa"/>
            <w:vAlign w:val="bottom"/>
            <w:shd w:val="clear" w:color="auto" w:fill="98BDE2"/>
          </w:tcPr>
          <w:p>
            <w:pPr>
              <w:spacing w:after="0"/>
              <w:rPr>
                <w:sz w:val="6"/>
                <w:szCs w:val="6"/>
                <w:color w:val="auto"/>
              </w:rPr>
            </w:pPr>
          </w:p>
        </w:tc>
        <w:tc>
          <w:tcPr>
            <w:tcW w:w="140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80" w:type="dxa"/>
            <w:vAlign w:val="bottom"/>
            <w:vMerge w:val="restart"/>
          </w:tcPr>
          <w:p>
            <w:pPr>
              <w:jc w:val="right"/>
              <w:ind w:right="10"/>
              <w:spacing w:after="0"/>
              <w:rPr>
                <w:sz w:val="20"/>
                <w:szCs w:val="20"/>
                <w:color w:val="auto"/>
              </w:rPr>
            </w:pPr>
            <w:r>
              <w:rPr>
                <w:rFonts w:ascii="Arial" w:cs="Arial" w:eastAsia="Arial" w:hAnsi="Arial"/>
                <w:sz w:val="29"/>
                <w:szCs w:val="29"/>
                <w:b w:val="1"/>
                <w:bCs w:val="1"/>
                <w:color w:val="032E5C"/>
              </w:rPr>
              <w:t>1</w:t>
            </w:r>
          </w:p>
        </w:tc>
        <w:tc>
          <w:tcPr>
            <w:tcW w:w="7440" w:type="dxa"/>
            <w:vAlign w:val="bottom"/>
          </w:tcPr>
          <w:p>
            <w:pPr>
              <w:ind w:left="140"/>
              <w:spacing w:after="0"/>
              <w:rPr>
                <w:sz w:val="20"/>
                <w:szCs w:val="20"/>
                <w:color w:val="auto"/>
              </w:rPr>
            </w:pPr>
            <w:r>
              <w:rPr>
                <w:rFonts w:ascii="Arial" w:cs="Arial" w:eastAsia="Arial" w:hAnsi="Arial"/>
                <w:sz w:val="16"/>
                <w:szCs w:val="16"/>
                <w:color w:val="032E5C"/>
              </w:rPr>
              <w:t>Election of the twelve directors named in this proxy statement, each for a one-year term expiring in</w:t>
            </w:r>
          </w:p>
        </w:tc>
        <w:tc>
          <w:tcPr>
            <w:tcW w:w="1820" w:type="dxa"/>
            <w:vAlign w:val="bottom"/>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FOR EACH</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032E5C"/>
                <w:w w:val="89"/>
              </w:rPr>
              <w:t>11</w:t>
            </w: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color w:val="032E5C"/>
              </w:rPr>
              <w:t>2025</w:t>
            </w:r>
          </w:p>
        </w:tc>
        <w:tc>
          <w:tcPr>
            <w:tcW w:w="1820" w:type="dxa"/>
            <w:vAlign w:val="bottom"/>
            <w:vMerge w:val="continue"/>
            <w:shd w:val="clear" w:color="auto" w:fill="F3EFE9"/>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7440" w:type="dxa"/>
            <w:vAlign w:val="bottom"/>
            <w:vMerge w:val="continue"/>
          </w:tcPr>
          <w:p>
            <w:pPr>
              <w:spacing w:after="0"/>
              <w:rPr>
                <w:sz w:val="19"/>
                <w:szCs w:val="19"/>
                <w:color w:val="auto"/>
              </w:rPr>
            </w:pPr>
          </w:p>
        </w:tc>
        <w:tc>
          <w:tcPr>
            <w:tcW w:w="1820" w:type="dxa"/>
            <w:vAlign w:val="bottom"/>
            <w:shd w:val="clear" w:color="auto" w:fill="F3EFE9"/>
          </w:tcPr>
          <w:p>
            <w:pPr>
              <w:jc w:val="center"/>
              <w:spacing w:after="0"/>
              <w:rPr>
                <w:sz w:val="20"/>
                <w:szCs w:val="20"/>
                <w:color w:val="auto"/>
              </w:rPr>
            </w:pPr>
            <w:r>
              <w:rPr>
                <w:rFonts w:ascii="Arial" w:cs="Arial" w:eastAsia="Arial" w:hAnsi="Arial"/>
                <w:sz w:val="16"/>
                <w:szCs w:val="16"/>
                <w:b w:val="1"/>
                <w:bCs w:val="1"/>
                <w:color w:val="032E5C"/>
                <w:w w:val="99"/>
              </w:rPr>
              <w:t>NOMINEE</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8BDE2"/>
            </w:tcBorders>
          </w:tcPr>
          <w:p>
            <w:pPr>
              <w:spacing w:after="0"/>
              <w:rPr>
                <w:sz w:val="8"/>
                <w:szCs w:val="8"/>
                <w:color w:val="auto"/>
              </w:rPr>
            </w:pPr>
          </w:p>
        </w:tc>
        <w:tc>
          <w:tcPr>
            <w:tcW w:w="7440" w:type="dxa"/>
            <w:vAlign w:val="bottom"/>
            <w:tcBorders>
              <w:bottom w:val="single" w:sz="8" w:color="98BDE2"/>
            </w:tcBorders>
          </w:tcPr>
          <w:p>
            <w:pPr>
              <w:spacing w:after="0"/>
              <w:rPr>
                <w:sz w:val="8"/>
                <w:szCs w:val="8"/>
                <w:color w:val="auto"/>
              </w:rPr>
            </w:pPr>
          </w:p>
        </w:tc>
        <w:tc>
          <w:tcPr>
            <w:tcW w:w="1820" w:type="dxa"/>
            <w:vAlign w:val="bottom"/>
            <w:tcBorders>
              <w:bottom w:val="single" w:sz="8" w:color="98BDE2"/>
            </w:tcBorders>
            <w:shd w:val="clear" w:color="auto" w:fill="F3EFE9"/>
          </w:tcPr>
          <w:p>
            <w:pPr>
              <w:spacing w:after="0"/>
              <w:rPr>
                <w:sz w:val="8"/>
                <w:szCs w:val="8"/>
                <w:color w:val="auto"/>
              </w:rPr>
            </w:pPr>
          </w:p>
        </w:tc>
        <w:tc>
          <w:tcPr>
            <w:tcW w:w="1400" w:type="dxa"/>
            <w:vAlign w:val="bottom"/>
            <w:tcBorders>
              <w:bottom w:val="single" w:sz="8" w:color="98BDE2"/>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80" w:type="dxa"/>
            <w:vAlign w:val="bottom"/>
            <w:vMerge w:val="restart"/>
          </w:tcPr>
          <w:p>
            <w:pPr>
              <w:jc w:val="right"/>
              <w:ind w:right="10"/>
              <w:spacing w:after="0"/>
              <w:rPr>
                <w:sz w:val="20"/>
                <w:szCs w:val="20"/>
                <w:color w:val="auto"/>
              </w:rPr>
            </w:pPr>
            <w:r>
              <w:rPr>
                <w:rFonts w:ascii="Arial" w:cs="Arial" w:eastAsia="Arial" w:hAnsi="Arial"/>
                <w:sz w:val="29"/>
                <w:szCs w:val="29"/>
                <w:b w:val="1"/>
                <w:bCs w:val="1"/>
                <w:color w:val="032E5C"/>
              </w:rPr>
              <w:t>2</w:t>
            </w:r>
          </w:p>
        </w:tc>
        <w:tc>
          <w:tcPr>
            <w:tcW w:w="7440" w:type="dxa"/>
            <w:vAlign w:val="bottom"/>
          </w:tcPr>
          <w:p>
            <w:pPr>
              <w:ind w:left="140"/>
              <w:spacing w:after="0"/>
              <w:rPr>
                <w:sz w:val="20"/>
                <w:szCs w:val="20"/>
                <w:color w:val="auto"/>
              </w:rPr>
            </w:pPr>
            <w:r>
              <w:rPr>
                <w:rFonts w:ascii="Arial" w:cs="Arial" w:eastAsia="Arial" w:hAnsi="Arial"/>
                <w:sz w:val="16"/>
                <w:szCs w:val="16"/>
                <w:color w:val="032E5C"/>
              </w:rPr>
              <w:t>Ratification of PricewaterhouseCoopers LLP as independent registered public accounting firm for</w:t>
            </w:r>
          </w:p>
        </w:tc>
        <w:tc>
          <w:tcPr>
            <w:tcW w:w="1820" w:type="dxa"/>
            <w:vAlign w:val="bottom"/>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FOR</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032E5C"/>
              </w:rPr>
              <w:t>80</w:t>
            </w:r>
          </w:p>
        </w:tc>
        <w:tc>
          <w:tcPr>
            <w:tcW w:w="0" w:type="dxa"/>
            <w:vAlign w:val="bottom"/>
          </w:tcPr>
          <w:p>
            <w:pPr>
              <w:spacing w:after="0"/>
              <w:rPr>
                <w:sz w:val="1"/>
                <w:szCs w:val="1"/>
                <w:color w:val="auto"/>
              </w:rPr>
            </w:pPr>
          </w:p>
        </w:tc>
      </w:tr>
      <w:tr>
        <w:trPr>
          <w:trHeight w:val="107"/>
        </w:trPr>
        <w:tc>
          <w:tcPr>
            <w:tcW w:w="580" w:type="dxa"/>
            <w:vAlign w:val="bottom"/>
            <w:vMerge w:val="continue"/>
          </w:tcPr>
          <w:p>
            <w:pPr>
              <w:spacing w:after="0"/>
              <w:rPr>
                <w:sz w:val="9"/>
                <w:szCs w:val="9"/>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color w:val="032E5C"/>
              </w:rPr>
              <w:t>fiscal 2025</w:t>
            </w:r>
          </w:p>
        </w:tc>
        <w:tc>
          <w:tcPr>
            <w:tcW w:w="1820" w:type="dxa"/>
            <w:vAlign w:val="bottom"/>
            <w:vMerge w:val="continue"/>
            <w:shd w:val="clear" w:color="auto" w:fill="F3EFE9"/>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80" w:type="dxa"/>
            <w:vAlign w:val="bottom"/>
            <w:vMerge w:val="continue"/>
          </w:tcPr>
          <w:p>
            <w:pPr>
              <w:spacing w:after="0"/>
              <w:rPr>
                <w:sz w:val="14"/>
                <w:szCs w:val="14"/>
                <w:color w:val="auto"/>
              </w:rPr>
            </w:pPr>
          </w:p>
        </w:tc>
        <w:tc>
          <w:tcPr>
            <w:tcW w:w="7440" w:type="dxa"/>
            <w:vAlign w:val="bottom"/>
            <w:vMerge w:val="continue"/>
          </w:tcPr>
          <w:p>
            <w:pPr>
              <w:spacing w:after="0"/>
              <w:rPr>
                <w:sz w:val="14"/>
                <w:szCs w:val="14"/>
                <w:color w:val="auto"/>
              </w:rPr>
            </w:pPr>
          </w:p>
        </w:tc>
        <w:tc>
          <w:tcPr>
            <w:tcW w:w="1820" w:type="dxa"/>
            <w:vAlign w:val="bottom"/>
            <w:vMerge w:val="continue"/>
            <w:shd w:val="clear" w:color="auto" w:fill="F3EFE9"/>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80" w:type="dxa"/>
            <w:vAlign w:val="bottom"/>
            <w:tcBorders>
              <w:bottom w:val="single" w:sz="8" w:color="98BDE2"/>
            </w:tcBorders>
          </w:tcPr>
          <w:p>
            <w:pPr>
              <w:spacing w:after="0"/>
              <w:rPr>
                <w:sz w:val="10"/>
                <w:szCs w:val="10"/>
                <w:color w:val="auto"/>
              </w:rPr>
            </w:pPr>
          </w:p>
        </w:tc>
        <w:tc>
          <w:tcPr>
            <w:tcW w:w="7440" w:type="dxa"/>
            <w:vAlign w:val="bottom"/>
            <w:tcBorders>
              <w:bottom w:val="single" w:sz="8" w:color="98BDE2"/>
            </w:tcBorders>
          </w:tcPr>
          <w:p>
            <w:pPr>
              <w:spacing w:after="0"/>
              <w:rPr>
                <w:sz w:val="10"/>
                <w:szCs w:val="10"/>
                <w:color w:val="auto"/>
              </w:rPr>
            </w:pPr>
          </w:p>
        </w:tc>
        <w:tc>
          <w:tcPr>
            <w:tcW w:w="1820" w:type="dxa"/>
            <w:vAlign w:val="bottom"/>
            <w:tcBorders>
              <w:bottom w:val="single" w:sz="8" w:color="98BDE2"/>
            </w:tcBorders>
            <w:shd w:val="clear" w:color="auto" w:fill="F3EFE9"/>
          </w:tcPr>
          <w:p>
            <w:pPr>
              <w:spacing w:after="0"/>
              <w:rPr>
                <w:sz w:val="10"/>
                <w:szCs w:val="10"/>
                <w:color w:val="auto"/>
              </w:rPr>
            </w:pPr>
          </w:p>
        </w:tc>
        <w:tc>
          <w:tcPr>
            <w:tcW w:w="1400" w:type="dxa"/>
            <w:vAlign w:val="bottom"/>
            <w:tcBorders>
              <w:bottom w:val="single" w:sz="8" w:color="98BDE2"/>
            </w:tcBorders>
          </w:tcPr>
          <w:p>
            <w:pPr>
              <w:spacing w:after="0"/>
              <w:rPr>
                <w:sz w:val="10"/>
                <w:szCs w:val="10"/>
                <w:color w:val="auto"/>
              </w:rPr>
            </w:pPr>
          </w:p>
        </w:tc>
        <w:tc>
          <w:tcPr>
            <w:tcW w:w="0" w:type="dxa"/>
            <w:vAlign w:val="bottom"/>
          </w:tcPr>
          <w:p>
            <w:pPr>
              <w:spacing w:after="0"/>
              <w:rPr>
                <w:sz w:val="1"/>
                <w:szCs w:val="1"/>
                <w:color w:val="auto"/>
              </w:rPr>
            </w:pPr>
          </w:p>
        </w:tc>
      </w:tr>
      <w:tr>
        <w:trPr>
          <w:trHeight w:val="394"/>
        </w:trPr>
        <w:tc>
          <w:tcPr>
            <w:tcW w:w="580" w:type="dxa"/>
            <w:vAlign w:val="bottom"/>
            <w:tcBorders>
              <w:bottom w:val="single" w:sz="8" w:color="98BDE2"/>
            </w:tcBorders>
          </w:tcPr>
          <w:p>
            <w:pPr>
              <w:jc w:val="right"/>
              <w:ind w:right="10"/>
              <w:spacing w:after="0"/>
              <w:rPr>
                <w:sz w:val="20"/>
                <w:szCs w:val="20"/>
                <w:color w:val="auto"/>
              </w:rPr>
            </w:pPr>
            <w:r>
              <w:rPr>
                <w:rFonts w:ascii="Arial" w:cs="Arial" w:eastAsia="Arial" w:hAnsi="Arial"/>
                <w:sz w:val="29"/>
                <w:szCs w:val="29"/>
                <w:b w:val="1"/>
                <w:bCs w:val="1"/>
                <w:color w:val="032E5C"/>
              </w:rPr>
              <w:t>3</w:t>
            </w:r>
          </w:p>
        </w:tc>
        <w:tc>
          <w:tcPr>
            <w:tcW w:w="7440" w:type="dxa"/>
            <w:vAlign w:val="bottom"/>
            <w:tcBorders>
              <w:bottom w:val="single" w:sz="8" w:color="98BDE2"/>
            </w:tcBorders>
          </w:tcPr>
          <w:p>
            <w:pPr>
              <w:ind w:left="140"/>
              <w:spacing w:after="0"/>
              <w:rPr>
                <w:sz w:val="20"/>
                <w:szCs w:val="20"/>
                <w:color w:val="auto"/>
              </w:rPr>
            </w:pPr>
            <w:r>
              <w:rPr>
                <w:rFonts w:ascii="Arial" w:cs="Arial" w:eastAsia="Arial" w:hAnsi="Arial"/>
                <w:sz w:val="16"/>
                <w:szCs w:val="16"/>
                <w:color w:val="032E5C"/>
              </w:rPr>
              <w:t>Advisory vote to approve executive compensation</w:t>
            </w:r>
          </w:p>
        </w:tc>
        <w:tc>
          <w:tcPr>
            <w:tcW w:w="1820" w:type="dxa"/>
            <w:vAlign w:val="bottom"/>
            <w:tcBorders>
              <w:bottom w:val="single" w:sz="8" w:color="98BDE2"/>
            </w:tcBorders>
            <w:shd w:val="clear" w:color="auto" w:fill="F3EFE9"/>
          </w:tcPr>
          <w:p>
            <w:pPr>
              <w:jc w:val="center"/>
              <w:spacing w:after="0"/>
              <w:rPr>
                <w:sz w:val="20"/>
                <w:szCs w:val="20"/>
                <w:color w:val="auto"/>
              </w:rPr>
            </w:pPr>
            <w:r>
              <w:rPr>
                <w:rFonts w:ascii="Arial" w:cs="Arial" w:eastAsia="Arial" w:hAnsi="Arial"/>
                <w:sz w:val="16"/>
                <w:szCs w:val="16"/>
                <w:b w:val="1"/>
                <w:bCs w:val="1"/>
                <w:color w:val="032E5C"/>
              </w:rPr>
              <w:t>FOR</w:t>
            </w:r>
          </w:p>
        </w:tc>
        <w:tc>
          <w:tcPr>
            <w:tcW w:w="1400" w:type="dxa"/>
            <w:vAlign w:val="bottom"/>
            <w:tcBorders>
              <w:bottom w:val="single" w:sz="8" w:color="98BDE2"/>
            </w:tcBorders>
          </w:tcPr>
          <w:p>
            <w:pPr>
              <w:jc w:val="center"/>
              <w:spacing w:after="0"/>
              <w:rPr>
                <w:sz w:val="20"/>
                <w:szCs w:val="20"/>
                <w:color w:val="auto"/>
              </w:rPr>
            </w:pPr>
            <w:r>
              <w:rPr>
                <w:rFonts w:ascii="Arial" w:cs="Arial" w:eastAsia="Arial" w:hAnsi="Arial"/>
                <w:sz w:val="16"/>
                <w:szCs w:val="16"/>
                <w:color w:val="032E5C"/>
              </w:rPr>
              <w:t>82</w:t>
            </w:r>
          </w:p>
        </w:tc>
        <w:tc>
          <w:tcPr>
            <w:tcW w:w="0" w:type="dxa"/>
            <w:vAlign w:val="bottom"/>
          </w:tcPr>
          <w:p>
            <w:pPr>
              <w:spacing w:after="0"/>
              <w:rPr>
                <w:sz w:val="1"/>
                <w:szCs w:val="1"/>
                <w:color w:val="auto"/>
              </w:rPr>
            </w:pPr>
          </w:p>
        </w:tc>
      </w:tr>
      <w:tr>
        <w:trPr>
          <w:trHeight w:val="410"/>
        </w:trPr>
        <w:tc>
          <w:tcPr>
            <w:tcW w:w="580" w:type="dxa"/>
            <w:vAlign w:val="bottom"/>
            <w:tcBorders>
              <w:bottom w:val="single" w:sz="8" w:color="3E5C7C"/>
            </w:tcBorders>
          </w:tcPr>
          <w:p>
            <w:pPr>
              <w:jc w:val="right"/>
              <w:ind w:right="10"/>
              <w:spacing w:after="0"/>
              <w:rPr>
                <w:sz w:val="20"/>
                <w:szCs w:val="20"/>
                <w:color w:val="auto"/>
              </w:rPr>
            </w:pPr>
            <w:r>
              <w:rPr>
                <w:rFonts w:ascii="Arial" w:cs="Arial" w:eastAsia="Arial" w:hAnsi="Arial"/>
                <w:sz w:val="29"/>
                <w:szCs w:val="29"/>
                <w:b w:val="1"/>
                <w:bCs w:val="1"/>
                <w:color w:val="032E5C"/>
              </w:rPr>
              <w:t>4</w:t>
            </w:r>
          </w:p>
        </w:tc>
        <w:tc>
          <w:tcPr>
            <w:tcW w:w="7440" w:type="dxa"/>
            <w:vAlign w:val="bottom"/>
            <w:tcBorders>
              <w:bottom w:val="single" w:sz="8" w:color="3E5C7C"/>
            </w:tcBorders>
          </w:tcPr>
          <w:p>
            <w:pPr>
              <w:ind w:left="140"/>
              <w:spacing w:after="0"/>
              <w:rPr>
                <w:sz w:val="20"/>
                <w:szCs w:val="20"/>
                <w:color w:val="auto"/>
              </w:rPr>
            </w:pPr>
            <w:r>
              <w:rPr>
                <w:rFonts w:ascii="Arial" w:cs="Arial" w:eastAsia="Arial" w:hAnsi="Arial"/>
                <w:sz w:val="16"/>
                <w:szCs w:val="16"/>
                <w:color w:val="032E5C"/>
              </w:rPr>
              <w:t>Vote to approve the Vail Resorts, Inc. 2024 Omnibus Incentive Plan</w:t>
            </w:r>
          </w:p>
        </w:tc>
        <w:tc>
          <w:tcPr>
            <w:tcW w:w="1820" w:type="dxa"/>
            <w:vAlign w:val="bottom"/>
            <w:tcBorders>
              <w:bottom w:val="single" w:sz="8" w:color="3E5C7C"/>
            </w:tcBorders>
            <w:shd w:val="clear" w:color="auto" w:fill="F3EFE9"/>
          </w:tcPr>
          <w:p>
            <w:pPr>
              <w:jc w:val="center"/>
              <w:spacing w:after="0"/>
              <w:rPr>
                <w:sz w:val="20"/>
                <w:szCs w:val="20"/>
                <w:color w:val="auto"/>
              </w:rPr>
            </w:pPr>
            <w:r>
              <w:rPr>
                <w:rFonts w:ascii="Arial" w:cs="Arial" w:eastAsia="Arial" w:hAnsi="Arial"/>
                <w:sz w:val="16"/>
                <w:szCs w:val="16"/>
                <w:b w:val="1"/>
                <w:bCs w:val="1"/>
                <w:color w:val="032E5C"/>
              </w:rPr>
              <w:t>FOR</w:t>
            </w:r>
          </w:p>
        </w:tc>
        <w:tc>
          <w:tcPr>
            <w:tcW w:w="1400" w:type="dxa"/>
            <w:vAlign w:val="bottom"/>
            <w:tcBorders>
              <w:bottom w:val="single" w:sz="8" w:color="3E5C7C"/>
            </w:tcBorders>
          </w:tcPr>
          <w:p>
            <w:pPr>
              <w:jc w:val="center"/>
              <w:spacing w:after="0"/>
              <w:rPr>
                <w:sz w:val="20"/>
                <w:szCs w:val="20"/>
                <w:color w:val="auto"/>
              </w:rPr>
            </w:pPr>
            <w:r>
              <w:rPr>
                <w:rFonts w:ascii="Arial" w:cs="Arial" w:eastAsia="Arial" w:hAnsi="Arial"/>
                <w:sz w:val="16"/>
                <w:szCs w:val="16"/>
                <w:color w:val="032E5C"/>
              </w:rPr>
              <w:t>83</w:t>
            </w:r>
          </w:p>
        </w:tc>
        <w:tc>
          <w:tcPr>
            <w:tcW w:w="0" w:type="dxa"/>
            <w:vAlign w:val="bottom"/>
          </w:tcPr>
          <w:p>
            <w:pPr>
              <w:spacing w:after="0"/>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8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460" w:type="dxa"/>
            <w:vAlign w:val="bottom"/>
          </w:tcPr>
          <w:p>
            <w:pPr>
              <w:jc w:val="right"/>
              <w:spacing w:after="0"/>
              <w:rPr>
                <w:sz w:val="20"/>
                <w:szCs w:val="20"/>
                <w:color w:val="auto"/>
              </w:rPr>
            </w:pPr>
            <w:r>
              <w:rPr>
                <w:rFonts w:ascii="Arial" w:cs="Arial" w:eastAsia="Arial" w:hAnsi="Arial"/>
                <w:sz w:val="16"/>
                <w:szCs w:val="16"/>
                <w:b w:val="1"/>
                <w:bCs w:val="1"/>
                <w:color w:val="032E5C"/>
              </w:rPr>
              <w:t>1</w:t>
            </w:r>
          </w:p>
        </w:tc>
        <w:tc>
          <w:tcPr>
            <w:tcW w:w="0" w:type="dxa"/>
            <w:vAlign w:val="bottom"/>
          </w:tcPr>
          <w:p>
            <w:pPr>
              <w:spacing w:after="0"/>
              <w:rPr>
                <w:sz w:val="1"/>
                <w:szCs w:val="1"/>
                <w:color w:val="auto"/>
              </w:rPr>
            </w:pPr>
          </w:p>
        </w:tc>
      </w:tr>
      <w:tr>
        <w:trPr>
          <w:trHeight w:val="60"/>
        </w:trPr>
        <w:tc>
          <w:tcPr>
            <w:tcW w:w="8780" w:type="dxa"/>
            <w:vAlign w:val="bottom"/>
            <w:vMerge w:val="continue"/>
          </w:tcPr>
          <w:p>
            <w:pPr>
              <w:spacing w:after="0"/>
              <w:rPr>
                <w:sz w:val="5"/>
                <w:szCs w:val="5"/>
                <w:color w:val="auto"/>
              </w:rPr>
            </w:pP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0"/>
        </w:trPr>
        <w:tc>
          <w:tcPr>
            <w:tcW w:w="1480" w:type="dxa"/>
            <w:vAlign w:val="bottom"/>
            <w:vMerge w:val="restart"/>
            <w:shd w:val="clear" w:color="auto" w:fill="98BDE2"/>
          </w:tcPr>
          <w:p>
            <w:pPr>
              <w:ind w:left="180"/>
              <w:spacing w:after="0"/>
              <w:rPr>
                <w:sz w:val="20"/>
                <w:szCs w:val="20"/>
                <w:color w:val="auto"/>
              </w:rPr>
            </w:pPr>
            <w:r>
              <w:rPr>
                <w:rFonts w:ascii="Arial" w:cs="Arial" w:eastAsia="Arial" w:hAnsi="Arial"/>
                <w:sz w:val="13"/>
                <w:szCs w:val="13"/>
                <w:b w:val="1"/>
                <w:bCs w:val="1"/>
                <w:color w:val="032E5C"/>
              </w:rPr>
              <w:t>PROXY SUMMARY</w:t>
            </w:r>
          </w:p>
        </w:tc>
        <w:tc>
          <w:tcPr>
            <w:tcW w:w="9740" w:type="dxa"/>
            <w:vAlign w:val="bottom"/>
          </w:tcPr>
          <w:p>
            <w:pPr>
              <w:ind w:left="86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480" w:type="dxa"/>
            <w:vAlign w:val="bottom"/>
            <w:vMerge w:val="continue"/>
            <w:shd w:val="clear" w:color="auto" w:fill="98BDE2"/>
          </w:tcPr>
          <w:p>
            <w:pPr>
              <w:spacing w:after="0"/>
              <w:rPr>
                <w:sz w:val="4"/>
                <w:szCs w:val="4"/>
                <w:color w:val="auto"/>
              </w:rPr>
            </w:pPr>
          </w:p>
        </w:tc>
        <w:tc>
          <w:tcPr>
            <w:tcW w:w="9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480" w:type="dxa"/>
            <w:vAlign w:val="bottom"/>
            <w:shd w:val="clear" w:color="auto" w:fill="98BDE2"/>
          </w:tcPr>
          <w:p>
            <w:pPr>
              <w:spacing w:after="0"/>
              <w:rPr>
                <w:sz w:val="10"/>
                <w:szCs w:val="10"/>
                <w:color w:val="auto"/>
              </w:rPr>
            </w:pPr>
          </w:p>
        </w:tc>
        <w:tc>
          <w:tcPr>
            <w:tcW w:w="9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Environmental, Social, &amp; Governance Highlights</w:t>
      </w:r>
    </w:p>
    <w:p>
      <w:pPr>
        <w:spacing w:after="0" w:line="20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29292B"/>
        </w:rPr>
        <w:t>As a company rooted in the great outdoors, we have a responsibility to protect and preserve the incredible environments in which we operate. Through our corporate sustainability and social responsibility program, EpicPromise, we focus on climate change mitigation and adaptation, resource conservation, building stronger local communities through contributions to local non-profit organizations, and making snowsports more accessible and inclusive. Our EpicPromise is comprised of four pillars that guide our actions.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The Pillars of Our Promise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80645</wp:posOffset>
            </wp:positionV>
            <wp:extent cx="5966460" cy="3617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646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29292B"/>
        </w:rPr>
        <w:t xml:space="preserve">Our environmental, social, and governance ("ESG") activities, including </w:t>
      </w:r>
      <w:r>
        <w:rPr>
          <w:rFonts w:ascii="Arial" w:cs="Arial" w:eastAsia="Arial" w:hAnsi="Arial"/>
          <w:sz w:val="16"/>
          <w:szCs w:val="16"/>
          <w:i w:val="1"/>
          <w:iCs w:val="1"/>
          <w:color w:val="29292B"/>
        </w:rPr>
        <w:t>EpicPromise</w:t>
      </w:r>
      <w:r>
        <w:rPr>
          <w:rFonts w:ascii="Arial" w:cs="Arial" w:eastAsia="Arial" w:hAnsi="Arial"/>
          <w:sz w:val="16"/>
          <w:szCs w:val="16"/>
          <w:color w:val="29292B"/>
        </w:rPr>
        <w:t>, are overseen by the Company's Nominating &amp; Governance Committee of the Board. For more details on the Company's governance, see page 30.</w:t>
      </w:r>
    </w:p>
    <w:p>
      <w:pPr>
        <w:spacing w:after="0" w:line="142" w:lineRule="exact"/>
        <w:rPr>
          <w:sz w:val="20"/>
          <w:szCs w:val="20"/>
          <w:color w:val="auto"/>
        </w:rPr>
      </w:pPr>
    </w:p>
    <w:p>
      <w:pPr>
        <w:jc w:val="both"/>
        <w:ind w:right="200"/>
        <w:spacing w:after="0" w:line="319" w:lineRule="auto"/>
        <w:rPr>
          <w:sz w:val="20"/>
          <w:szCs w:val="20"/>
          <w:color w:val="auto"/>
        </w:rPr>
      </w:pPr>
      <w:r>
        <w:rPr>
          <w:rFonts w:ascii="Arial" w:cs="Arial" w:eastAsia="Arial" w:hAnsi="Arial"/>
          <w:sz w:val="16"/>
          <w:szCs w:val="16"/>
          <w:color w:val="29292B"/>
        </w:rPr>
        <w:t xml:space="preserve">Since 2018, we have issued annual progress reports, which are available at </w:t>
      </w:r>
      <w:r>
        <w:rPr>
          <w:rFonts w:ascii="Arial" w:cs="Arial" w:eastAsia="Arial" w:hAnsi="Arial"/>
          <w:sz w:val="16"/>
          <w:szCs w:val="16"/>
          <w:i w:val="1"/>
          <w:iCs w:val="1"/>
          <w:color w:val="29292B"/>
        </w:rPr>
        <w:t>epicpromise.com.</w:t>
      </w:r>
      <w:r>
        <w:rPr>
          <w:rFonts w:ascii="Arial" w:cs="Arial" w:eastAsia="Arial" w:hAnsi="Arial"/>
          <w:sz w:val="16"/>
          <w:szCs w:val="16"/>
          <w:color w:val="29292B"/>
        </w:rPr>
        <w:t xml:space="preserve"> These reports demonstrate advancement against our goals and deliver updates across each of our four pillars. Described below are highlights of our continued commitment to our </w:t>
      </w:r>
      <w:r>
        <w:rPr>
          <w:rFonts w:ascii="Arial" w:cs="Arial" w:eastAsia="Arial" w:hAnsi="Arial"/>
          <w:sz w:val="16"/>
          <w:szCs w:val="16"/>
          <w:i w:val="1"/>
          <w:iCs w:val="1"/>
          <w:color w:val="29292B"/>
        </w:rPr>
        <w:t>EpicPromise</w:t>
      </w:r>
      <w:r>
        <w:rPr>
          <w:rFonts w:ascii="Arial" w:cs="Arial" w:eastAsia="Arial" w:hAnsi="Arial"/>
          <w:sz w:val="16"/>
          <w:szCs w:val="16"/>
          <w:color w:val="29292B"/>
        </w:rPr>
        <w:t xml:space="preserve"> during the 2024 fiscal year.</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Environment</w:t>
      </w:r>
    </w:p>
    <w:p>
      <w:pPr>
        <w:spacing w:after="0" w:line="18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29292B"/>
        </w:rPr>
        <w:t>Our Commitment to Zero is our goal to achieve a zero net operating footprint by 2030. This commitment includes (i) achieving zero net emissions by finding operational energy efficiencies, investing in renewable energy, and investing in other emissions reduction projects, (ii) zero waste to landfill, and (iii) zero net operating impact to forests and habitat by restoring an acre of forest for every acre displaced by our operations. Our commitment to sustainability is deeply integrated into our business strategy and operations. We have set interim targets to ensure we stay on track to meet our 2030 goal.</w:t>
      </w: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40" w:type="dxa"/>
            <w:vAlign w:val="bottom"/>
          </w:tcPr>
          <w:p>
            <w:pPr>
              <w:jc w:val="right"/>
              <w:ind w:right="2259"/>
              <w:spacing w:after="0"/>
              <w:rPr>
                <w:sz w:val="20"/>
                <w:szCs w:val="20"/>
                <w:color w:val="auto"/>
              </w:rPr>
            </w:pPr>
            <w:r>
              <w:rPr>
                <w:rFonts w:ascii="Arial" w:cs="Arial" w:eastAsia="Arial" w:hAnsi="Arial"/>
                <w:sz w:val="16"/>
                <w:szCs w:val="16"/>
                <w:b w:val="1"/>
                <w:bCs w:val="1"/>
                <w:color w:val="032E5C"/>
                <w:w w:val="89"/>
              </w:rPr>
              <w:t>2</w:t>
            </w:r>
          </w:p>
        </w:tc>
        <w:tc>
          <w:tcPr>
            <w:tcW w:w="3960" w:type="dxa"/>
            <w:vAlign w:val="bottom"/>
            <w:vMerge w:val="restart"/>
          </w:tcPr>
          <w:p>
            <w:pPr>
              <w:ind w:left="234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40" w:type="dxa"/>
            <w:vAlign w:val="bottom"/>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190"/>
        </w:trPr>
        <w:tc>
          <w:tcPr>
            <w:tcW w:w="5520" w:type="dxa"/>
            <w:vAlign w:val="bottom"/>
          </w:tcPr>
          <w:p>
            <w:pPr>
              <w:spacing w:after="0"/>
              <w:rPr>
                <w:sz w:val="20"/>
                <w:szCs w:val="20"/>
                <w:color w:val="auto"/>
              </w:rPr>
            </w:pPr>
            <w:r>
              <w:rPr>
                <w:rFonts w:ascii="Arial" w:cs="Arial" w:eastAsia="Arial" w:hAnsi="Arial"/>
                <w:sz w:val="14"/>
                <w:szCs w:val="14"/>
                <w:color w:val="032E5C"/>
              </w:rPr>
              <w:t>Table of Contents</w:t>
            </w:r>
          </w:p>
        </w:tc>
        <w:tc>
          <w:tcPr>
            <w:tcW w:w="5500" w:type="dxa"/>
            <w:vAlign w:val="bottom"/>
            <w:vMerge w:val="restart"/>
          </w:tcPr>
          <w:p>
            <w:pPr>
              <w:ind w:left="4380"/>
              <w:spacing w:after="0"/>
              <w:rPr>
                <w:sz w:val="20"/>
                <w:szCs w:val="20"/>
                <w:color w:val="auto"/>
              </w:rPr>
            </w:pPr>
            <w:r>
              <w:rPr>
                <w:rFonts w:ascii="Arial" w:cs="Arial" w:eastAsia="Arial" w:hAnsi="Arial"/>
                <w:sz w:val="13"/>
                <w:szCs w:val="13"/>
                <w:b w:val="1"/>
                <w:bCs w:val="1"/>
                <w:color w:val="032E5C"/>
                <w:w w:val="94"/>
              </w:rPr>
              <w:t>PROXY SUMMARY</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5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6380480</wp:posOffset>
            </wp:positionH>
            <wp:positionV relativeFrom="page">
              <wp:posOffset>106045</wp:posOffset>
            </wp:positionV>
            <wp:extent cx="96012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120"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29292B"/>
        </w:rPr>
        <w:t>Highlights of our commitments to the environment include: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2120" w:type="dxa"/>
            <w:vAlign w:val="bottom"/>
            <w:tcBorders>
              <w:top w:val="single" w:sz="8" w:color="F3EFE9"/>
            </w:tcBorders>
            <w:shd w:val="clear" w:color="auto" w:fill="F3EFE9"/>
          </w:tcPr>
          <w:p>
            <w:pPr>
              <w:ind w:left="100"/>
              <w:spacing w:after="0"/>
              <w:rPr>
                <w:sz w:val="20"/>
                <w:szCs w:val="20"/>
                <w:color w:val="auto"/>
              </w:rPr>
            </w:pPr>
            <w:r>
              <w:rPr>
                <w:rFonts w:ascii="Arial" w:cs="Arial" w:eastAsia="Arial" w:hAnsi="Arial"/>
                <w:sz w:val="16"/>
                <w:szCs w:val="16"/>
                <w:b w:val="1"/>
                <w:bCs w:val="1"/>
                <w:color w:val="032E5C"/>
              </w:rPr>
              <w:t>ZERO WASTE TO</w:t>
            </w:r>
          </w:p>
        </w:tc>
        <w:tc>
          <w:tcPr>
            <w:tcW w:w="9120" w:type="dxa"/>
            <w:vAlign w:val="bottom"/>
            <w:tcBorders>
              <w:top w:val="single" w:sz="8" w:color="98BDE2"/>
            </w:tcBorders>
          </w:tcPr>
          <w:p>
            <w:pPr>
              <w:ind w:left="240"/>
              <w:spacing w:after="0"/>
              <w:rPr>
                <w:sz w:val="20"/>
                <w:szCs w:val="20"/>
                <w:color w:val="auto"/>
              </w:rPr>
            </w:pPr>
            <w:r>
              <w:rPr>
                <w:rFonts w:ascii="Arial" w:cs="Arial" w:eastAsia="Arial" w:hAnsi="Arial"/>
                <w:sz w:val="16"/>
                <w:szCs w:val="16"/>
                <w:color w:val="032E5C"/>
              </w:rPr>
              <w:t>The Company continues to invest in operational improvements to reduce landfill waste at resorts and drive education and</w:t>
            </w:r>
          </w:p>
        </w:tc>
      </w:tr>
      <w:tr>
        <w:trPr>
          <w:trHeight w:val="216"/>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LANDFILL</w:t>
            </w:r>
          </w:p>
        </w:tc>
        <w:tc>
          <w:tcPr>
            <w:tcW w:w="9120" w:type="dxa"/>
            <w:vAlign w:val="bottom"/>
          </w:tcPr>
          <w:p>
            <w:pPr>
              <w:ind w:left="240"/>
              <w:spacing w:after="0"/>
              <w:rPr>
                <w:sz w:val="20"/>
                <w:szCs w:val="20"/>
                <w:color w:val="auto"/>
              </w:rPr>
            </w:pPr>
            <w:r>
              <w:rPr>
                <w:rFonts w:ascii="Arial" w:cs="Arial" w:eastAsia="Arial" w:hAnsi="Arial"/>
                <w:sz w:val="16"/>
                <w:szCs w:val="16"/>
                <w:color w:val="032E5C"/>
              </w:rPr>
              <w:t>positive engagement with guests, employees, and communities regarding the Company’s recycling, composting, and</w:t>
            </w:r>
          </w:p>
        </w:tc>
      </w:tr>
      <w:tr>
        <w:trPr>
          <w:trHeight w:val="215"/>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other waste reduction programs.</w:t>
            </w:r>
          </w:p>
        </w:tc>
      </w:tr>
      <w:tr>
        <w:trPr>
          <w:trHeight w:val="286"/>
        </w:trPr>
        <w:tc>
          <w:tcPr>
            <w:tcW w:w="2120" w:type="dxa"/>
            <w:vAlign w:val="bottom"/>
            <w:tcBorders>
              <w:bottom w:val="single" w:sz="8" w:color="98BDE2"/>
            </w:tcBorders>
            <w:shd w:val="clear" w:color="auto" w:fill="F3EFE9"/>
          </w:tcPr>
          <w:p>
            <w:pPr>
              <w:spacing w:after="0"/>
              <w:rPr>
                <w:sz w:val="24"/>
                <w:szCs w:val="24"/>
                <w:color w:val="auto"/>
              </w:rPr>
            </w:pPr>
          </w:p>
        </w:tc>
        <w:tc>
          <w:tcPr>
            <w:tcW w:w="9120" w:type="dxa"/>
            <w:vAlign w:val="bottom"/>
            <w:tcBorders>
              <w:bottom w:val="single" w:sz="8" w:color="98BDE2"/>
            </w:tcBorders>
          </w:tcPr>
          <w:p>
            <w:pPr>
              <w:spacing w:after="0"/>
              <w:rPr>
                <w:sz w:val="24"/>
                <w:szCs w:val="24"/>
                <w:color w:val="auto"/>
              </w:rPr>
            </w:pPr>
          </w:p>
        </w:tc>
      </w:tr>
      <w:tr>
        <w:trPr>
          <w:trHeight w:val="317"/>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ZERO NET EMISSIONS</w:t>
            </w:r>
          </w:p>
        </w:tc>
        <w:tc>
          <w:tcPr>
            <w:tcW w:w="9120" w:type="dxa"/>
            <w:vAlign w:val="bottom"/>
          </w:tcPr>
          <w:p>
            <w:pPr>
              <w:ind w:left="240"/>
              <w:spacing w:after="0"/>
              <w:rPr>
                <w:sz w:val="20"/>
                <w:szCs w:val="20"/>
                <w:color w:val="auto"/>
              </w:rPr>
            </w:pPr>
            <w:r>
              <w:rPr>
                <w:rFonts w:ascii="Arial" w:cs="Arial" w:eastAsia="Arial" w:hAnsi="Arial"/>
                <w:sz w:val="16"/>
                <w:szCs w:val="16"/>
                <w:color w:val="032E5C"/>
              </w:rPr>
              <w:t>The Company partnered in the Elektron Solar Project, which is located 100 miles west of Park City Mountain and began</w:t>
            </w:r>
          </w:p>
        </w:tc>
      </w:tr>
      <w:tr>
        <w:trPr>
          <w:trHeight w:val="203"/>
        </w:trPr>
        <w:tc>
          <w:tcPr>
            <w:tcW w:w="2120" w:type="dxa"/>
            <w:vAlign w:val="bottom"/>
            <w:shd w:val="clear" w:color="auto" w:fill="F3EFE9"/>
          </w:tcPr>
          <w:p>
            <w:pPr>
              <w:spacing w:after="0"/>
              <w:rPr>
                <w:sz w:val="17"/>
                <w:szCs w:val="17"/>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operation in May 2024. The completion of the Elektron Solar Project in Utah means that Park City Mountain’s electricity</w:t>
            </w:r>
          </w:p>
        </w:tc>
      </w:tr>
      <w:tr>
        <w:trPr>
          <w:trHeight w:val="215"/>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will be 100% solar-powered directly through the local grid, adding to the Company’s overall mix of renewable energy and</w:t>
            </w:r>
          </w:p>
        </w:tc>
      </w:tr>
      <w:tr>
        <w:trPr>
          <w:trHeight w:val="216"/>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increasing the resilience of our network-wide commitment to sustainable operations.</w:t>
            </w:r>
          </w:p>
        </w:tc>
      </w:tr>
      <w:tr>
        <w:trPr>
          <w:trHeight w:val="272"/>
        </w:trPr>
        <w:tc>
          <w:tcPr>
            <w:tcW w:w="2120" w:type="dxa"/>
            <w:vAlign w:val="bottom"/>
            <w:tcBorders>
              <w:bottom w:val="single" w:sz="8" w:color="98BDE2"/>
            </w:tcBorders>
            <w:shd w:val="clear" w:color="auto" w:fill="F3EFE9"/>
          </w:tcPr>
          <w:p>
            <w:pPr>
              <w:spacing w:after="0"/>
              <w:rPr>
                <w:sz w:val="23"/>
                <w:szCs w:val="23"/>
                <w:color w:val="auto"/>
              </w:rPr>
            </w:pPr>
          </w:p>
        </w:tc>
        <w:tc>
          <w:tcPr>
            <w:tcW w:w="9120" w:type="dxa"/>
            <w:vAlign w:val="bottom"/>
            <w:tcBorders>
              <w:bottom w:val="single" w:sz="8" w:color="98BDE2"/>
            </w:tcBorders>
          </w:tcPr>
          <w:p>
            <w:pPr>
              <w:spacing w:after="0"/>
              <w:rPr>
                <w:sz w:val="23"/>
                <w:szCs w:val="23"/>
                <w:color w:val="auto"/>
              </w:rPr>
            </w:pPr>
          </w:p>
        </w:tc>
      </w:tr>
      <w:tr>
        <w:trPr>
          <w:trHeight w:val="303"/>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ZERO NET OPERATING</w:t>
            </w:r>
          </w:p>
        </w:tc>
        <w:tc>
          <w:tcPr>
            <w:tcW w:w="9120" w:type="dxa"/>
            <w:vAlign w:val="bottom"/>
          </w:tcPr>
          <w:p>
            <w:pPr>
              <w:ind w:left="240"/>
              <w:spacing w:after="0"/>
              <w:rPr>
                <w:sz w:val="20"/>
                <w:szCs w:val="20"/>
                <w:color w:val="auto"/>
              </w:rPr>
            </w:pPr>
            <w:r>
              <w:rPr>
                <w:rFonts w:ascii="Arial" w:cs="Arial" w:eastAsia="Arial" w:hAnsi="Arial"/>
                <w:sz w:val="16"/>
                <w:szCs w:val="16"/>
                <w:color w:val="032E5C"/>
              </w:rPr>
              <w:t>We sponsored the reforestation of 10 acres in California and Minnesota that were previously impacted by wildfire or in</w:t>
            </w:r>
          </w:p>
        </w:tc>
      </w:tr>
      <w:tr>
        <w:trPr>
          <w:trHeight w:val="189"/>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IMPACT ON FORESTS</w:t>
            </w:r>
          </w:p>
        </w:tc>
        <w:tc>
          <w:tcPr>
            <w:tcW w:w="9120" w:type="dxa"/>
            <w:vAlign w:val="bottom"/>
          </w:tcPr>
          <w:p>
            <w:pPr>
              <w:ind w:left="240"/>
              <w:spacing w:after="0"/>
              <w:rPr>
                <w:sz w:val="20"/>
                <w:szCs w:val="20"/>
                <w:color w:val="auto"/>
              </w:rPr>
            </w:pPr>
            <w:r>
              <w:rPr>
                <w:rFonts w:ascii="Arial" w:cs="Arial" w:eastAsia="Arial" w:hAnsi="Arial"/>
                <w:sz w:val="16"/>
                <w:szCs w:val="16"/>
                <w:color w:val="032E5C"/>
              </w:rPr>
              <w:t>need of native habitat restoration and forest resilience. This restored an acre of forest for every acre displaced by our</w:t>
            </w:r>
          </w:p>
        </w:tc>
      </w:tr>
      <w:tr>
        <w:trPr>
          <w:trHeight w:val="242"/>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AND HABITAT</w:t>
            </w:r>
          </w:p>
        </w:tc>
        <w:tc>
          <w:tcPr>
            <w:tcW w:w="9120" w:type="dxa"/>
            <w:vAlign w:val="bottom"/>
          </w:tcPr>
          <w:p>
            <w:pPr>
              <w:ind w:left="240"/>
              <w:spacing w:after="0"/>
              <w:rPr>
                <w:sz w:val="20"/>
                <w:szCs w:val="20"/>
                <w:color w:val="auto"/>
              </w:rPr>
            </w:pPr>
            <w:r>
              <w:rPr>
                <w:rFonts w:ascii="Arial" w:cs="Arial" w:eastAsia="Arial" w:hAnsi="Arial"/>
                <w:sz w:val="16"/>
                <w:szCs w:val="16"/>
                <w:color w:val="032E5C"/>
              </w:rPr>
              <w:t>fiscal 2024 operations.</w:t>
            </w:r>
          </w:p>
        </w:tc>
      </w:tr>
      <w:tr>
        <w:trPr>
          <w:trHeight w:val="286"/>
        </w:trPr>
        <w:tc>
          <w:tcPr>
            <w:tcW w:w="2120" w:type="dxa"/>
            <w:vAlign w:val="bottom"/>
            <w:tcBorders>
              <w:bottom w:val="single" w:sz="8" w:color="98BDE2"/>
            </w:tcBorders>
            <w:shd w:val="clear" w:color="auto" w:fill="F3EFE9"/>
          </w:tcPr>
          <w:p>
            <w:pPr>
              <w:spacing w:after="0"/>
              <w:rPr>
                <w:sz w:val="24"/>
                <w:szCs w:val="24"/>
                <w:color w:val="auto"/>
              </w:rPr>
            </w:pPr>
          </w:p>
        </w:tc>
        <w:tc>
          <w:tcPr>
            <w:tcW w:w="9120" w:type="dxa"/>
            <w:vAlign w:val="bottom"/>
            <w:tcBorders>
              <w:bottom w:val="single" w:sz="8" w:color="98BDE2"/>
            </w:tcBorders>
          </w:tcPr>
          <w:p>
            <w:pPr>
              <w:spacing w:after="0"/>
              <w:rPr>
                <w:sz w:val="24"/>
                <w:szCs w:val="24"/>
                <w:color w:val="auto"/>
              </w:rPr>
            </w:pPr>
          </w:p>
        </w:tc>
      </w:tr>
      <w:tr>
        <w:trPr>
          <w:trHeight w:val="317"/>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ADVOCACY</w:t>
            </w:r>
          </w:p>
        </w:tc>
        <w:tc>
          <w:tcPr>
            <w:tcW w:w="9120" w:type="dxa"/>
            <w:vAlign w:val="bottom"/>
          </w:tcPr>
          <w:p>
            <w:pPr>
              <w:ind w:left="240"/>
              <w:spacing w:after="0"/>
              <w:rPr>
                <w:sz w:val="20"/>
                <w:szCs w:val="20"/>
                <w:color w:val="auto"/>
              </w:rPr>
            </w:pPr>
            <w:r>
              <w:rPr>
                <w:rFonts w:ascii="Arial" w:cs="Arial" w:eastAsia="Arial" w:hAnsi="Arial"/>
                <w:sz w:val="16"/>
                <w:szCs w:val="16"/>
                <w:color w:val="032E5C"/>
              </w:rPr>
              <w:t>Vail Resorts is committed to fighting climate change and we believe amplifying climate advocacy beyond our company and</w:t>
            </w:r>
          </w:p>
        </w:tc>
      </w:tr>
      <w:tr>
        <w:trPr>
          <w:trHeight w:val="203"/>
        </w:trPr>
        <w:tc>
          <w:tcPr>
            <w:tcW w:w="2120" w:type="dxa"/>
            <w:vAlign w:val="bottom"/>
            <w:shd w:val="clear" w:color="auto" w:fill="F3EFE9"/>
          </w:tcPr>
          <w:p>
            <w:pPr>
              <w:spacing w:after="0"/>
              <w:rPr>
                <w:sz w:val="17"/>
                <w:szCs w:val="17"/>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industry is crucial. Our ongoing advocacy involves many public, private, and nonprofit partners, and is a critical part of our</w:t>
            </w:r>
          </w:p>
        </w:tc>
      </w:tr>
      <w:tr>
        <w:trPr>
          <w:trHeight w:val="215"/>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sustainability efforts. We advocate at local, regional, and national levels through our participation in groups, including the</w:t>
            </w:r>
          </w:p>
        </w:tc>
      </w:tr>
      <w:tr>
        <w:trPr>
          <w:trHeight w:val="216"/>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Outdoor Industry Business Climate Partnership, Ceres, RE100, and the Mountain Collaborative for Climate Action. There</w:t>
            </w:r>
          </w:p>
        </w:tc>
      </w:tr>
      <w:tr>
        <w:trPr>
          <w:trHeight w:val="216"/>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is power in numbers, and together, we are committed to affecting positive change.</w:t>
            </w:r>
          </w:p>
        </w:tc>
      </w:tr>
      <w:tr>
        <w:trPr>
          <w:trHeight w:val="272"/>
        </w:trPr>
        <w:tc>
          <w:tcPr>
            <w:tcW w:w="2120" w:type="dxa"/>
            <w:vAlign w:val="bottom"/>
            <w:tcBorders>
              <w:bottom w:val="single" w:sz="8" w:color="98BDE2"/>
            </w:tcBorders>
            <w:shd w:val="clear" w:color="auto" w:fill="F3EFE9"/>
          </w:tcPr>
          <w:p>
            <w:pPr>
              <w:spacing w:after="0"/>
              <w:rPr>
                <w:sz w:val="23"/>
                <w:szCs w:val="23"/>
                <w:color w:val="auto"/>
              </w:rPr>
            </w:pPr>
          </w:p>
        </w:tc>
        <w:tc>
          <w:tcPr>
            <w:tcW w:w="9120" w:type="dxa"/>
            <w:vAlign w:val="bottom"/>
            <w:tcBorders>
              <w:bottom w:val="single" w:sz="8" w:color="98BDE2"/>
            </w:tcBorders>
          </w:tcPr>
          <w:p>
            <w:pPr>
              <w:spacing w:after="0"/>
              <w:rPr>
                <w:sz w:val="23"/>
                <w:szCs w:val="23"/>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Social</w:t>
      </w:r>
    </w:p>
    <w:p>
      <w:pPr>
        <w:spacing w:after="0" w:line="126"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29292B"/>
        </w:rPr>
        <w:t>Our mission at Vail Resorts is to create the Experience of a Lifetime for our employees, so they can, in turn, create the Experience of a Lifetime for our guests. We take to heart and are committed to our responsibility to support the people who live, work, and play in the communities we serve. We also hold ourselves accountable as Vail Resorts team members to living our values Serve Others, Do Good, Have Fun, Be Safe, Do Right, Be Inclusive, and Drive Value every day and in everything we do. These values drive our daily operations and our long-term vision, and continually enrich the local communities in which we operate.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29292B"/>
        </w:rPr>
        <w:t>Highlights of our commitments to social responsibility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2254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254250"/>
                    </a:xfrm>
                    <a:prstGeom prst="rect">
                      <a:avLst/>
                    </a:prstGeom>
                    <a:noFill/>
                  </pic:spPr>
                </pic:pic>
              </a:graphicData>
            </a:graphic>
          </wp:anchor>
        </w:drawing>
      </w:r>
    </w:p>
    <w:p>
      <w:pPr>
        <w:spacing w:after="0" w:line="309" w:lineRule="exact"/>
        <w:rPr>
          <w:sz w:val="20"/>
          <w:szCs w:val="20"/>
          <w:color w:val="auto"/>
        </w:rPr>
      </w:pPr>
    </w:p>
    <w:p>
      <w:pPr>
        <w:ind w:left="100"/>
        <w:spacing w:after="0"/>
        <w:tabs>
          <w:tab w:leader="none" w:pos="2360" w:val="left"/>
        </w:tabs>
        <w:rPr>
          <w:sz w:val="20"/>
          <w:szCs w:val="20"/>
          <w:color w:val="auto"/>
        </w:rPr>
      </w:pPr>
      <w:r>
        <w:rPr>
          <w:rFonts w:ascii="Arial" w:cs="Arial" w:eastAsia="Arial" w:hAnsi="Arial"/>
          <w:sz w:val="16"/>
          <w:szCs w:val="16"/>
          <w:b w:val="1"/>
          <w:bCs w:val="1"/>
          <w:color w:val="032E5C"/>
        </w:rPr>
        <w:t>DIVERSITY, EQUITY &amp;</w:t>
      </w:r>
      <w:r>
        <w:rPr>
          <w:sz w:val="20"/>
          <w:szCs w:val="20"/>
          <w:color w:val="auto"/>
        </w:rPr>
        <w:tab/>
      </w:r>
      <w:r>
        <w:rPr>
          <w:rFonts w:ascii="Arial" w:cs="Arial" w:eastAsia="Arial" w:hAnsi="Arial"/>
          <w:sz w:val="16"/>
          <w:szCs w:val="16"/>
          <w:color w:val="032E5C"/>
        </w:rPr>
        <w:t>At Vail Resorts, we believe the future of the sport is inclusion. One of our core values is “Be Inclusive,” which means that</w:t>
      </w:r>
    </w:p>
    <w:p>
      <w:pPr>
        <w:spacing w:after="0" w:line="21" w:lineRule="exact"/>
        <w:rPr>
          <w:sz w:val="20"/>
          <w:szCs w:val="20"/>
          <w:color w:val="auto"/>
        </w:rPr>
      </w:pPr>
    </w:p>
    <w:p>
      <w:pPr>
        <w:ind w:left="2380" w:right="240" w:hanging="2267"/>
        <w:spacing w:after="0" w:line="282" w:lineRule="auto"/>
        <w:tabs>
          <w:tab w:leader="none" w:pos="2360" w:val="left"/>
        </w:tabs>
        <w:rPr>
          <w:sz w:val="20"/>
          <w:szCs w:val="20"/>
          <w:color w:val="auto"/>
        </w:rPr>
      </w:pPr>
      <w:r>
        <w:rPr>
          <w:rFonts w:ascii="Arial" w:cs="Arial" w:eastAsia="Arial" w:hAnsi="Arial"/>
          <w:sz w:val="16"/>
          <w:szCs w:val="16"/>
          <w:b w:val="1"/>
          <w:bCs w:val="1"/>
          <w:color w:val="032E5C"/>
        </w:rPr>
        <w:t>INCLUSION ("DEI")</w:t>
      </w:r>
      <w:r>
        <w:rPr>
          <w:sz w:val="20"/>
          <w:szCs w:val="20"/>
          <w:color w:val="auto"/>
        </w:rPr>
        <w:tab/>
      </w:r>
      <w:r>
        <w:rPr>
          <w:rFonts w:ascii="Arial" w:cs="Arial" w:eastAsia="Arial" w:hAnsi="Arial"/>
          <w:sz w:val="16"/>
          <w:szCs w:val="16"/>
          <w:color w:val="032E5C"/>
        </w:rPr>
        <w:t>we expect everyone at our company to be welcoming to others, including all races, gender identities, sexual orientations, abilities, and other differences. We strive to create an experience that values diversity, builds a sense of belonging, celebrates people’s unique traits, and offers a platform for all voices to be heard. We also engage with external partners and stakeholders to drive broader change in our industry and communities. In addition, we have a specific leadership competency, “Elevate,” which requires that all our leaders are self-aware of their own inclusive behavior so they can intentionally build diverse representation, bring equity to our business practices, and create inclusive communities in which all people can thrive.</w:t>
      </w:r>
    </w:p>
    <w:p>
      <w:pPr>
        <w:spacing w:after="0" w:line="374" w:lineRule="exact"/>
        <w:rPr>
          <w:sz w:val="20"/>
          <w:szCs w:val="20"/>
          <w:color w:val="auto"/>
        </w:rPr>
      </w:pPr>
    </w:p>
    <w:p>
      <w:pPr>
        <w:ind w:left="2380" w:right="200" w:hanging="2267"/>
        <w:spacing w:after="0" w:line="282" w:lineRule="auto"/>
        <w:tabs>
          <w:tab w:leader="none" w:pos="2360" w:val="left"/>
        </w:tabs>
        <w:rPr>
          <w:sz w:val="20"/>
          <w:szCs w:val="20"/>
          <w:color w:val="auto"/>
        </w:rPr>
      </w:pPr>
      <w:r>
        <w:rPr>
          <w:rFonts w:ascii="Arial" w:cs="Arial" w:eastAsia="Arial" w:hAnsi="Arial"/>
          <w:sz w:val="16"/>
          <w:szCs w:val="16"/>
          <w:b w:val="1"/>
          <w:bCs w:val="1"/>
          <w:color w:val="032E5C"/>
        </w:rPr>
        <w:t>TALENT DEVELOPMENT</w:t>
      </w:r>
      <w:r>
        <w:rPr>
          <w:sz w:val="20"/>
          <w:szCs w:val="20"/>
          <w:color w:val="auto"/>
        </w:rPr>
        <w:tab/>
      </w:r>
      <w:r>
        <w:rPr>
          <w:rFonts w:ascii="Arial" w:cs="Arial" w:eastAsia="Arial" w:hAnsi="Arial"/>
          <w:sz w:val="16"/>
          <w:szCs w:val="16"/>
          <w:color w:val="032E5C"/>
        </w:rPr>
        <w:t>We are passionate about developing our talent and building the best teams. We offer a variety of leadership development programs for everyone from our entry level frontline employees to our most senior executives. To ensure we are building high performing teams, we encourage every employee at every level within the company to continuously grow their leadership by participating in ongoing events that build leadership capability and drive aligned leadership expectations to enable business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8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460" w:type="dxa"/>
            <w:vAlign w:val="bottom"/>
          </w:tcPr>
          <w:p>
            <w:pPr>
              <w:jc w:val="right"/>
              <w:spacing w:after="0"/>
              <w:rPr>
                <w:sz w:val="20"/>
                <w:szCs w:val="20"/>
                <w:color w:val="auto"/>
              </w:rPr>
            </w:pPr>
            <w:r>
              <w:rPr>
                <w:rFonts w:ascii="Arial" w:cs="Arial" w:eastAsia="Arial" w:hAnsi="Arial"/>
                <w:sz w:val="16"/>
                <w:szCs w:val="16"/>
                <w:b w:val="1"/>
                <w:bCs w:val="1"/>
                <w:color w:val="032E5C"/>
              </w:rPr>
              <w:t>3</w:t>
            </w:r>
          </w:p>
        </w:tc>
        <w:tc>
          <w:tcPr>
            <w:tcW w:w="0" w:type="dxa"/>
            <w:vAlign w:val="bottom"/>
          </w:tcPr>
          <w:p>
            <w:pPr>
              <w:spacing w:after="0"/>
              <w:rPr>
                <w:sz w:val="1"/>
                <w:szCs w:val="1"/>
                <w:color w:val="auto"/>
              </w:rPr>
            </w:pPr>
          </w:p>
        </w:tc>
      </w:tr>
      <w:tr>
        <w:trPr>
          <w:trHeight w:val="60"/>
        </w:trPr>
        <w:tc>
          <w:tcPr>
            <w:tcW w:w="8780" w:type="dxa"/>
            <w:vAlign w:val="bottom"/>
            <w:vMerge w:val="continue"/>
          </w:tcPr>
          <w:p>
            <w:pPr>
              <w:spacing w:after="0"/>
              <w:rPr>
                <w:sz w:val="5"/>
                <w:szCs w:val="5"/>
                <w:color w:val="auto"/>
              </w:rPr>
            </w:pP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1480" w:type="dxa"/>
            <w:vAlign w:val="bottom"/>
            <w:vMerge w:val="restart"/>
            <w:shd w:val="clear" w:color="auto" w:fill="98BDE2"/>
          </w:tcPr>
          <w:p>
            <w:pPr>
              <w:ind w:left="180"/>
              <w:spacing w:after="0"/>
              <w:rPr>
                <w:sz w:val="20"/>
                <w:szCs w:val="20"/>
                <w:color w:val="auto"/>
              </w:rPr>
            </w:pPr>
            <w:r>
              <w:rPr>
                <w:rFonts w:ascii="Arial" w:cs="Arial" w:eastAsia="Arial" w:hAnsi="Arial"/>
                <w:sz w:val="13"/>
                <w:szCs w:val="13"/>
                <w:b w:val="1"/>
                <w:bCs w:val="1"/>
                <w:color w:val="032E5C"/>
              </w:rPr>
              <w:t>PROXY SUMMARY</w:t>
            </w:r>
          </w:p>
        </w:tc>
        <w:tc>
          <w:tcPr>
            <w:tcW w:w="9740" w:type="dxa"/>
            <w:vAlign w:val="bottom"/>
          </w:tcPr>
          <w:p>
            <w:pPr>
              <w:ind w:left="86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480" w:type="dxa"/>
            <w:vAlign w:val="bottom"/>
            <w:vMerge w:val="continue"/>
            <w:shd w:val="clear" w:color="auto" w:fill="98BDE2"/>
          </w:tcPr>
          <w:p>
            <w:pPr>
              <w:spacing w:after="0"/>
              <w:rPr>
                <w:sz w:val="4"/>
                <w:szCs w:val="4"/>
                <w:color w:val="auto"/>
              </w:rPr>
            </w:pPr>
          </w:p>
        </w:tc>
        <w:tc>
          <w:tcPr>
            <w:tcW w:w="9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480" w:type="dxa"/>
            <w:vAlign w:val="bottom"/>
            <w:shd w:val="clear" w:color="auto" w:fill="98BDE2"/>
          </w:tcPr>
          <w:p>
            <w:pPr>
              <w:spacing w:after="0"/>
              <w:rPr>
                <w:sz w:val="10"/>
                <w:szCs w:val="10"/>
                <w:color w:val="auto"/>
              </w:rPr>
            </w:pPr>
          </w:p>
        </w:tc>
        <w:tc>
          <w:tcPr>
            <w:tcW w:w="9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2120" w:type="dxa"/>
            <w:vAlign w:val="bottom"/>
            <w:tcBorders>
              <w:top w:val="single" w:sz="8" w:color="F3EFE9"/>
            </w:tcBorders>
            <w:shd w:val="clear" w:color="auto" w:fill="F3EFE9"/>
          </w:tcPr>
          <w:p>
            <w:pPr>
              <w:ind w:left="100"/>
              <w:spacing w:after="0"/>
              <w:rPr>
                <w:sz w:val="20"/>
                <w:szCs w:val="20"/>
                <w:color w:val="auto"/>
              </w:rPr>
            </w:pPr>
            <w:r>
              <w:rPr>
                <w:rFonts w:ascii="Arial" w:cs="Arial" w:eastAsia="Arial" w:hAnsi="Arial"/>
                <w:sz w:val="16"/>
                <w:szCs w:val="16"/>
                <w:b w:val="1"/>
                <w:bCs w:val="1"/>
                <w:color w:val="032E5C"/>
              </w:rPr>
              <w:t>EPICPROMISE</w:t>
            </w:r>
          </w:p>
        </w:tc>
        <w:tc>
          <w:tcPr>
            <w:tcW w:w="9120" w:type="dxa"/>
            <w:vAlign w:val="bottom"/>
            <w:tcBorders>
              <w:top w:val="single" w:sz="8" w:color="98BDE2"/>
            </w:tcBorders>
          </w:tcPr>
          <w:p>
            <w:pPr>
              <w:ind w:left="240"/>
              <w:spacing w:after="0"/>
              <w:rPr>
                <w:sz w:val="20"/>
                <w:szCs w:val="20"/>
                <w:color w:val="auto"/>
              </w:rPr>
            </w:pPr>
            <w:r>
              <w:rPr>
                <w:rFonts w:ascii="Arial" w:cs="Arial" w:eastAsia="Arial" w:hAnsi="Arial"/>
                <w:sz w:val="16"/>
                <w:szCs w:val="16"/>
                <w:color w:val="032E5C"/>
              </w:rPr>
              <w:t xml:space="preserve">Our </w:t>
            </w:r>
            <w:r>
              <w:rPr>
                <w:rFonts w:ascii="Arial" w:cs="Arial" w:eastAsia="Arial" w:hAnsi="Arial"/>
                <w:sz w:val="16"/>
                <w:szCs w:val="16"/>
                <w:i w:val="1"/>
                <w:iCs w:val="1"/>
                <w:color w:val="032E5C"/>
              </w:rPr>
              <w:t>EpicPromise Employee Foundation</w:t>
            </w:r>
            <w:r>
              <w:rPr>
                <w:rFonts w:ascii="Arial" w:cs="Arial" w:eastAsia="Arial" w:hAnsi="Arial"/>
                <w:sz w:val="16"/>
                <w:szCs w:val="16"/>
                <w:color w:val="032E5C"/>
              </w:rPr>
              <w:t xml:space="preserve"> supports Vail Resorts’ employees and their families via grants for emergency</w:t>
            </w:r>
          </w:p>
        </w:tc>
      </w:tr>
      <w:tr>
        <w:trPr>
          <w:trHeight w:val="189"/>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EMPLOYEE</w:t>
            </w:r>
          </w:p>
        </w:tc>
        <w:tc>
          <w:tcPr>
            <w:tcW w:w="9120" w:type="dxa"/>
            <w:vAlign w:val="bottom"/>
          </w:tcPr>
          <w:p>
            <w:pPr>
              <w:ind w:left="240"/>
              <w:spacing w:after="0"/>
              <w:rPr>
                <w:sz w:val="20"/>
                <w:szCs w:val="20"/>
                <w:color w:val="auto"/>
              </w:rPr>
            </w:pPr>
            <w:r>
              <w:rPr>
                <w:rFonts w:ascii="Arial" w:cs="Arial" w:eastAsia="Arial" w:hAnsi="Arial"/>
                <w:sz w:val="16"/>
                <w:szCs w:val="16"/>
                <w:color w:val="032E5C"/>
              </w:rPr>
              <w:t>relief and scholarships. Annually more than $1 million in grants and scholarships are provided to help employees in times</w:t>
            </w:r>
          </w:p>
        </w:tc>
      </w:tr>
      <w:tr>
        <w:trPr>
          <w:trHeight w:val="255"/>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FOUNDATION</w:t>
            </w:r>
          </w:p>
        </w:tc>
        <w:tc>
          <w:tcPr>
            <w:tcW w:w="9120" w:type="dxa"/>
            <w:vAlign w:val="bottom"/>
          </w:tcPr>
          <w:p>
            <w:pPr>
              <w:ind w:left="240"/>
              <w:spacing w:after="0"/>
              <w:rPr>
                <w:sz w:val="20"/>
                <w:szCs w:val="20"/>
                <w:color w:val="auto"/>
              </w:rPr>
            </w:pPr>
            <w:r>
              <w:rPr>
                <w:rFonts w:ascii="Arial" w:cs="Arial" w:eastAsia="Arial" w:hAnsi="Arial"/>
                <w:sz w:val="16"/>
                <w:szCs w:val="16"/>
                <w:color w:val="032E5C"/>
              </w:rPr>
              <w:t>of need or to pursue educational opportunities.</w:t>
            </w:r>
          </w:p>
        </w:tc>
      </w:tr>
      <w:tr>
        <w:trPr>
          <w:trHeight w:val="259"/>
        </w:trPr>
        <w:tc>
          <w:tcPr>
            <w:tcW w:w="2120" w:type="dxa"/>
            <w:vAlign w:val="bottom"/>
            <w:tcBorders>
              <w:bottom w:val="single" w:sz="8" w:color="98BDE2"/>
            </w:tcBorders>
            <w:shd w:val="clear" w:color="auto" w:fill="F3EFE9"/>
          </w:tcPr>
          <w:p>
            <w:pPr>
              <w:spacing w:after="0"/>
              <w:rPr>
                <w:sz w:val="22"/>
                <w:szCs w:val="22"/>
                <w:color w:val="auto"/>
              </w:rPr>
            </w:pPr>
          </w:p>
        </w:tc>
        <w:tc>
          <w:tcPr>
            <w:tcW w:w="9120" w:type="dxa"/>
            <w:vAlign w:val="bottom"/>
            <w:tcBorders>
              <w:bottom w:val="single" w:sz="8" w:color="98BDE2"/>
            </w:tcBorders>
          </w:tcPr>
          <w:p>
            <w:pPr>
              <w:spacing w:after="0"/>
              <w:rPr>
                <w:sz w:val="22"/>
                <w:szCs w:val="22"/>
                <w:color w:val="auto"/>
              </w:rPr>
            </w:pPr>
          </w:p>
        </w:tc>
      </w:tr>
      <w:tr>
        <w:trPr>
          <w:trHeight w:val="317"/>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MOUNTAIN SAFETY</w:t>
            </w:r>
          </w:p>
        </w:tc>
        <w:tc>
          <w:tcPr>
            <w:tcW w:w="9120" w:type="dxa"/>
            <w:vAlign w:val="bottom"/>
          </w:tcPr>
          <w:p>
            <w:pPr>
              <w:ind w:left="240"/>
              <w:spacing w:after="0"/>
              <w:rPr>
                <w:sz w:val="20"/>
                <w:szCs w:val="20"/>
                <w:color w:val="auto"/>
              </w:rPr>
            </w:pPr>
            <w:r>
              <w:rPr>
                <w:rFonts w:ascii="Arial" w:cs="Arial" w:eastAsia="Arial" w:hAnsi="Arial"/>
                <w:sz w:val="16"/>
                <w:szCs w:val="16"/>
                <w:color w:val="032E5C"/>
              </w:rPr>
              <w:t>Our value of “Be Safe” and the health, safety, and security of our employees and guests are fundamental to our</w:t>
            </w:r>
          </w:p>
        </w:tc>
      </w:tr>
      <w:tr>
        <w:trPr>
          <w:trHeight w:val="215"/>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operations. All employees are trained on working safely and are accountable for promoting a safe environment. As part of</w:t>
            </w:r>
          </w:p>
        </w:tc>
      </w:tr>
      <w:tr>
        <w:trPr>
          <w:trHeight w:val="204"/>
        </w:trPr>
        <w:tc>
          <w:tcPr>
            <w:tcW w:w="2120" w:type="dxa"/>
            <w:vAlign w:val="bottom"/>
            <w:shd w:val="clear" w:color="auto" w:fill="F3EFE9"/>
          </w:tcPr>
          <w:p>
            <w:pPr>
              <w:spacing w:after="0"/>
              <w:rPr>
                <w:sz w:val="17"/>
                <w:szCs w:val="17"/>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our “safety first” culture, we have a dedicated health and safety team that supports our resort operations, as well as highly</w:t>
            </w:r>
          </w:p>
        </w:tc>
      </w:tr>
      <w:tr>
        <w:trPr>
          <w:trHeight w:val="215"/>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trained ski patrol professionals on staff at each resort.</w:t>
            </w:r>
          </w:p>
        </w:tc>
      </w:tr>
      <w:tr>
        <w:trPr>
          <w:trHeight w:val="272"/>
        </w:trPr>
        <w:tc>
          <w:tcPr>
            <w:tcW w:w="2120" w:type="dxa"/>
            <w:vAlign w:val="bottom"/>
            <w:tcBorders>
              <w:bottom w:val="single" w:sz="8" w:color="98BDE2"/>
            </w:tcBorders>
            <w:shd w:val="clear" w:color="auto" w:fill="F3EFE9"/>
          </w:tcPr>
          <w:p>
            <w:pPr>
              <w:spacing w:after="0"/>
              <w:rPr>
                <w:sz w:val="23"/>
                <w:szCs w:val="23"/>
                <w:color w:val="auto"/>
              </w:rPr>
            </w:pPr>
          </w:p>
        </w:tc>
        <w:tc>
          <w:tcPr>
            <w:tcW w:w="9120" w:type="dxa"/>
            <w:vAlign w:val="bottom"/>
            <w:tcBorders>
              <w:bottom w:val="single" w:sz="8" w:color="98BDE2"/>
            </w:tcBorders>
          </w:tcPr>
          <w:p>
            <w:pPr>
              <w:spacing w:after="0"/>
              <w:rPr>
                <w:sz w:val="23"/>
                <w:szCs w:val="23"/>
                <w:color w:val="auto"/>
              </w:rPr>
            </w:pPr>
          </w:p>
        </w:tc>
      </w:tr>
      <w:tr>
        <w:trPr>
          <w:trHeight w:val="317"/>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COMPANY CULTURE</w:t>
            </w:r>
          </w:p>
        </w:tc>
        <w:tc>
          <w:tcPr>
            <w:tcW w:w="9120" w:type="dxa"/>
            <w:vAlign w:val="bottom"/>
          </w:tcPr>
          <w:p>
            <w:pPr>
              <w:ind w:left="240"/>
              <w:spacing w:after="0"/>
              <w:rPr>
                <w:sz w:val="20"/>
                <w:szCs w:val="20"/>
                <w:color w:val="auto"/>
              </w:rPr>
            </w:pPr>
            <w:r>
              <w:rPr>
                <w:rFonts w:ascii="Arial" w:cs="Arial" w:eastAsia="Arial" w:hAnsi="Arial"/>
                <w:sz w:val="16"/>
                <w:szCs w:val="16"/>
                <w:color w:val="032E5C"/>
              </w:rPr>
              <w:t xml:space="preserve">Core to our mission is to create an </w:t>
            </w:r>
            <w:r>
              <w:rPr>
                <w:rFonts w:ascii="Arial" w:cs="Arial" w:eastAsia="Arial" w:hAnsi="Arial"/>
                <w:sz w:val="16"/>
                <w:szCs w:val="16"/>
                <w:i w:val="1"/>
                <w:iCs w:val="1"/>
                <w:color w:val="032E5C"/>
              </w:rPr>
              <w:t>Experience of a Lifetime</w:t>
            </w:r>
            <w:r>
              <w:rPr>
                <w:rFonts w:ascii="Arial" w:cs="Arial" w:eastAsia="Arial" w:hAnsi="Arial"/>
                <w:sz w:val="16"/>
                <w:szCs w:val="16"/>
                <w:color w:val="032E5C"/>
              </w:rPr>
              <w:t xml:space="preserve"> for our employees, so they can in turn provide an </w:t>
            </w:r>
            <w:r>
              <w:rPr>
                <w:rFonts w:ascii="Arial" w:cs="Arial" w:eastAsia="Arial" w:hAnsi="Arial"/>
                <w:sz w:val="16"/>
                <w:szCs w:val="16"/>
                <w:i w:val="1"/>
                <w:iCs w:val="1"/>
                <w:color w:val="032E5C"/>
              </w:rPr>
              <w:t>Experience</w:t>
            </w:r>
          </w:p>
        </w:tc>
      </w:tr>
      <w:tr>
        <w:trPr>
          <w:trHeight w:val="215"/>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i w:val="1"/>
                <w:iCs w:val="1"/>
                <w:color w:val="032E5C"/>
              </w:rPr>
              <w:t xml:space="preserve">of a Lifetime </w:t>
            </w:r>
            <w:r>
              <w:rPr>
                <w:rFonts w:ascii="Arial" w:cs="Arial" w:eastAsia="Arial" w:hAnsi="Arial"/>
                <w:sz w:val="16"/>
                <w:szCs w:val="16"/>
                <w:color w:val="032E5C"/>
              </w:rPr>
              <w:t>to our guests. We have a values-based leadership culture that places a premium on leader transparency,</w:t>
            </w:r>
          </w:p>
        </w:tc>
      </w:tr>
      <w:tr>
        <w:trPr>
          <w:trHeight w:val="216"/>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vulnerability, and authenticity.</w:t>
            </w:r>
          </w:p>
        </w:tc>
      </w:tr>
      <w:tr>
        <w:trPr>
          <w:trHeight w:val="272"/>
        </w:trPr>
        <w:tc>
          <w:tcPr>
            <w:tcW w:w="2120" w:type="dxa"/>
            <w:vAlign w:val="bottom"/>
            <w:tcBorders>
              <w:bottom w:val="single" w:sz="8" w:color="98BDE2"/>
            </w:tcBorders>
            <w:shd w:val="clear" w:color="auto" w:fill="F3EFE9"/>
          </w:tcPr>
          <w:p>
            <w:pPr>
              <w:spacing w:after="0"/>
              <w:rPr>
                <w:sz w:val="23"/>
                <w:szCs w:val="23"/>
                <w:color w:val="auto"/>
              </w:rPr>
            </w:pPr>
          </w:p>
        </w:tc>
        <w:tc>
          <w:tcPr>
            <w:tcW w:w="9120" w:type="dxa"/>
            <w:vAlign w:val="bottom"/>
            <w:tcBorders>
              <w:bottom w:val="single" w:sz="8" w:color="98BDE2"/>
            </w:tcBorders>
          </w:tcPr>
          <w:p>
            <w:pPr>
              <w:spacing w:after="0"/>
              <w:rPr>
                <w:sz w:val="23"/>
                <w:szCs w:val="23"/>
                <w:color w:val="auto"/>
              </w:rPr>
            </w:pPr>
          </w:p>
        </w:tc>
      </w:tr>
      <w:tr>
        <w:trPr>
          <w:trHeight w:val="303"/>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YOUTH ACCESS</w:t>
            </w:r>
          </w:p>
        </w:tc>
        <w:tc>
          <w:tcPr>
            <w:tcW w:w="9120" w:type="dxa"/>
            <w:vAlign w:val="bottom"/>
          </w:tcPr>
          <w:p>
            <w:pPr>
              <w:ind w:left="240"/>
              <w:spacing w:after="0"/>
              <w:rPr>
                <w:sz w:val="20"/>
                <w:szCs w:val="20"/>
                <w:color w:val="auto"/>
              </w:rPr>
            </w:pPr>
            <w:r>
              <w:rPr>
                <w:rFonts w:ascii="Arial" w:cs="Arial" w:eastAsia="Arial" w:hAnsi="Arial"/>
                <w:sz w:val="16"/>
                <w:szCs w:val="16"/>
                <w:color w:val="032E5C"/>
              </w:rPr>
              <w:t xml:space="preserve">In the third year of our </w:t>
            </w:r>
            <w:r>
              <w:rPr>
                <w:rFonts w:ascii="Arial" w:cs="Arial" w:eastAsia="Arial" w:hAnsi="Arial"/>
                <w:sz w:val="16"/>
                <w:szCs w:val="16"/>
                <w:i w:val="1"/>
                <w:iCs w:val="1"/>
                <w:color w:val="032E5C"/>
              </w:rPr>
              <w:t>Epic for Everyone Youth Access</w:t>
            </w:r>
            <w:r>
              <w:rPr>
                <w:rFonts w:ascii="Arial" w:cs="Arial" w:eastAsia="Arial" w:hAnsi="Arial"/>
                <w:sz w:val="16"/>
                <w:szCs w:val="16"/>
                <w:color w:val="032E5C"/>
              </w:rPr>
              <w:t xml:space="preserve"> in partnership with the Katz Amsterdam Foundation, we hosted</w:t>
            </w:r>
          </w:p>
        </w:tc>
      </w:tr>
      <w:tr>
        <w:trPr>
          <w:trHeight w:val="228"/>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PROGRAMS</w:t>
            </w:r>
          </w:p>
        </w:tc>
        <w:tc>
          <w:tcPr>
            <w:tcW w:w="9120" w:type="dxa"/>
            <w:vAlign w:val="bottom"/>
          </w:tcPr>
          <w:p>
            <w:pPr>
              <w:ind w:left="240"/>
              <w:spacing w:after="0"/>
              <w:rPr>
                <w:sz w:val="20"/>
                <w:szCs w:val="20"/>
                <w:color w:val="auto"/>
              </w:rPr>
            </w:pPr>
            <w:r>
              <w:rPr>
                <w:rFonts w:ascii="Arial" w:cs="Arial" w:eastAsia="Arial" w:hAnsi="Arial"/>
                <w:sz w:val="16"/>
                <w:szCs w:val="16"/>
                <w:color w:val="032E5C"/>
              </w:rPr>
              <w:t>2,584 urban youth to attend a 5-day snowsports program. We also continued our legacy access program with more than</w:t>
            </w:r>
          </w:p>
        </w:tc>
      </w:tr>
      <w:tr>
        <w:trPr>
          <w:trHeight w:val="204"/>
        </w:trPr>
        <w:tc>
          <w:tcPr>
            <w:tcW w:w="2120" w:type="dxa"/>
            <w:vAlign w:val="bottom"/>
            <w:shd w:val="clear" w:color="auto" w:fill="F3EFE9"/>
          </w:tcPr>
          <w:p>
            <w:pPr>
              <w:spacing w:after="0"/>
              <w:rPr>
                <w:sz w:val="17"/>
                <w:szCs w:val="17"/>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12,000 youth participating in multi-day programs focused on mentorship, leadership, and the impact of outdoor time on</w:t>
            </w:r>
          </w:p>
        </w:tc>
      </w:tr>
      <w:tr>
        <w:trPr>
          <w:trHeight w:val="215"/>
        </w:trPr>
        <w:tc>
          <w:tcPr>
            <w:tcW w:w="2120" w:type="dxa"/>
            <w:vAlign w:val="bottom"/>
            <w:shd w:val="clear" w:color="auto" w:fill="F3EFE9"/>
          </w:tcPr>
          <w:p>
            <w:pPr>
              <w:spacing w:after="0"/>
              <w:rPr>
                <w:sz w:val="18"/>
                <w:szCs w:val="18"/>
                <w:color w:val="auto"/>
              </w:rPr>
            </w:pPr>
          </w:p>
        </w:tc>
        <w:tc>
          <w:tcPr>
            <w:tcW w:w="9120" w:type="dxa"/>
            <w:vAlign w:val="bottom"/>
          </w:tcPr>
          <w:p>
            <w:pPr>
              <w:ind w:left="240"/>
              <w:spacing w:after="0"/>
              <w:rPr>
                <w:sz w:val="20"/>
                <w:szCs w:val="20"/>
                <w:color w:val="auto"/>
              </w:rPr>
            </w:pPr>
            <w:r>
              <w:rPr>
                <w:rFonts w:ascii="Arial" w:cs="Arial" w:eastAsia="Arial" w:hAnsi="Arial"/>
                <w:sz w:val="16"/>
                <w:szCs w:val="16"/>
                <w:color w:val="032E5C"/>
              </w:rPr>
              <w:t>mental health.</w:t>
            </w:r>
          </w:p>
        </w:tc>
      </w:tr>
      <w:tr>
        <w:trPr>
          <w:trHeight w:val="266"/>
        </w:trPr>
        <w:tc>
          <w:tcPr>
            <w:tcW w:w="2120" w:type="dxa"/>
            <w:vAlign w:val="bottom"/>
            <w:tcBorders>
              <w:bottom w:val="single" w:sz="8" w:color="3E5C7C"/>
            </w:tcBorders>
            <w:shd w:val="clear" w:color="auto" w:fill="F3EFE9"/>
          </w:tcPr>
          <w:p>
            <w:pPr>
              <w:spacing w:after="0"/>
              <w:rPr>
                <w:sz w:val="23"/>
                <w:szCs w:val="23"/>
                <w:color w:val="auto"/>
              </w:rPr>
            </w:pPr>
          </w:p>
        </w:tc>
        <w:tc>
          <w:tcPr>
            <w:tcW w:w="9120" w:type="dxa"/>
            <w:vAlign w:val="bottom"/>
            <w:tcBorders>
              <w:bottom w:val="single" w:sz="8" w:color="3E5C7C"/>
            </w:tcBorders>
          </w:tcPr>
          <w:p>
            <w:pPr>
              <w:spacing w:after="0"/>
              <w:rPr>
                <w:sz w:val="23"/>
                <w:szCs w:val="23"/>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Governance</w:t>
      </w:r>
    </w:p>
    <w:p>
      <w:pPr>
        <w:spacing w:after="0" w:line="126"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29292B"/>
        </w:rPr>
        <w:t>We believe good governance is integral to achieving long-term stockholder value. We are committed to governance policies and practices that serve the interests of the Company and its stockholders. The Board monitors developments in governance best practices to assure that it continues to meet its commitment to thoughtful and independent representation of stockholder interests.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9292B"/>
        </w:rPr>
        <w:t>Highlights of our corporate governance include: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120" w:type="dxa"/>
            <w:vAlign w:val="bottom"/>
            <w:tcBorders>
              <w:top w:val="single" w:sz="8" w:color="F3EFE9"/>
            </w:tcBorders>
            <w:shd w:val="clear" w:color="auto" w:fill="F3EFE9"/>
          </w:tcPr>
          <w:p>
            <w:pPr>
              <w:ind w:left="100"/>
              <w:spacing w:after="0"/>
              <w:rPr>
                <w:sz w:val="20"/>
                <w:szCs w:val="20"/>
                <w:color w:val="auto"/>
              </w:rPr>
            </w:pPr>
            <w:r>
              <w:rPr>
                <w:rFonts w:ascii="Arial" w:cs="Arial" w:eastAsia="Arial" w:hAnsi="Arial"/>
                <w:sz w:val="16"/>
                <w:szCs w:val="16"/>
                <w:b w:val="1"/>
                <w:bCs w:val="1"/>
                <w:color w:val="032E5C"/>
              </w:rPr>
              <w:t>DIRECTOR ELECTIONS</w:t>
            </w:r>
          </w:p>
        </w:tc>
        <w:tc>
          <w:tcPr>
            <w:tcW w:w="9120" w:type="dxa"/>
            <w:vAlign w:val="bottom"/>
            <w:tcBorders>
              <w:top w:val="single" w:sz="8" w:color="98BDE2"/>
            </w:tcBorders>
          </w:tcPr>
          <w:p>
            <w:pPr>
              <w:ind w:left="260"/>
              <w:spacing w:after="0"/>
              <w:rPr>
                <w:sz w:val="20"/>
                <w:szCs w:val="20"/>
                <w:color w:val="auto"/>
              </w:rPr>
            </w:pPr>
            <w:r>
              <w:rPr>
                <w:rFonts w:ascii="Arial" w:cs="Arial" w:eastAsia="Arial" w:hAnsi="Arial"/>
                <w:sz w:val="16"/>
                <w:szCs w:val="16"/>
                <w:color w:val="032E5C"/>
              </w:rPr>
              <w:t>We hold an annual election of all directors. We also have a majority voting standard and a director resignation policy in</w:t>
            </w:r>
          </w:p>
        </w:tc>
        <w:tc>
          <w:tcPr>
            <w:tcW w:w="0" w:type="dxa"/>
            <w:vAlign w:val="bottom"/>
          </w:tcPr>
          <w:p>
            <w:pPr>
              <w:spacing w:after="0"/>
              <w:rPr>
                <w:sz w:val="1"/>
                <w:szCs w:val="1"/>
                <w:color w:val="auto"/>
              </w:rPr>
            </w:pPr>
          </w:p>
        </w:tc>
      </w:tr>
      <w:tr>
        <w:trPr>
          <w:trHeight w:val="215"/>
        </w:trPr>
        <w:tc>
          <w:tcPr>
            <w:tcW w:w="2120" w:type="dxa"/>
            <w:vAlign w:val="bottom"/>
            <w:shd w:val="clear" w:color="auto" w:fill="F3EFE9"/>
          </w:tcPr>
          <w:p>
            <w:pPr>
              <w:spacing w:after="0"/>
              <w:rPr>
                <w:sz w:val="18"/>
                <w:szCs w:val="18"/>
                <w:color w:val="auto"/>
              </w:rPr>
            </w:pPr>
          </w:p>
        </w:tc>
        <w:tc>
          <w:tcPr>
            <w:tcW w:w="9120" w:type="dxa"/>
            <w:vAlign w:val="bottom"/>
          </w:tcPr>
          <w:p>
            <w:pPr>
              <w:ind w:left="260"/>
              <w:spacing w:after="0"/>
              <w:rPr>
                <w:sz w:val="20"/>
                <w:szCs w:val="20"/>
                <w:color w:val="auto"/>
              </w:rPr>
            </w:pPr>
            <w:r>
              <w:rPr>
                <w:rFonts w:ascii="Arial" w:cs="Arial" w:eastAsia="Arial" w:hAnsi="Arial"/>
                <w:sz w:val="16"/>
                <w:szCs w:val="16"/>
                <w:color w:val="032E5C"/>
              </w:rPr>
              <w:t>uncontested director elections.</w:t>
            </w:r>
          </w:p>
        </w:tc>
        <w:tc>
          <w:tcPr>
            <w:tcW w:w="0" w:type="dxa"/>
            <w:vAlign w:val="bottom"/>
          </w:tcPr>
          <w:p>
            <w:pPr>
              <w:spacing w:after="0"/>
              <w:rPr>
                <w:sz w:val="1"/>
                <w:szCs w:val="1"/>
                <w:color w:val="auto"/>
              </w:rPr>
            </w:pPr>
          </w:p>
        </w:tc>
      </w:tr>
      <w:tr>
        <w:trPr>
          <w:trHeight w:val="272"/>
        </w:trPr>
        <w:tc>
          <w:tcPr>
            <w:tcW w:w="2120" w:type="dxa"/>
            <w:vAlign w:val="bottom"/>
            <w:tcBorders>
              <w:bottom w:val="single" w:sz="8" w:color="98BDE2"/>
            </w:tcBorders>
            <w:shd w:val="clear" w:color="auto" w:fill="F3EFE9"/>
          </w:tcPr>
          <w:p>
            <w:pPr>
              <w:spacing w:after="0"/>
              <w:rPr>
                <w:sz w:val="23"/>
                <w:szCs w:val="23"/>
                <w:color w:val="auto"/>
              </w:rPr>
            </w:pPr>
          </w:p>
        </w:tc>
        <w:tc>
          <w:tcPr>
            <w:tcW w:w="9120" w:type="dxa"/>
            <w:vAlign w:val="bottom"/>
            <w:tcBorders>
              <w:bottom w:val="single" w:sz="8" w:color="98BDE2"/>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STOCKHOLDER</w:t>
            </w:r>
          </w:p>
        </w:tc>
        <w:tc>
          <w:tcPr>
            <w:tcW w:w="9120" w:type="dxa"/>
            <w:vAlign w:val="bottom"/>
          </w:tcPr>
          <w:p>
            <w:pPr>
              <w:ind w:left="260"/>
              <w:spacing w:after="0"/>
              <w:rPr>
                <w:sz w:val="20"/>
                <w:szCs w:val="20"/>
                <w:color w:val="auto"/>
              </w:rPr>
            </w:pPr>
            <w:r>
              <w:rPr>
                <w:rFonts w:ascii="Arial" w:cs="Arial" w:eastAsia="Arial" w:hAnsi="Arial"/>
                <w:sz w:val="16"/>
                <w:szCs w:val="16"/>
                <w:color w:val="032E5C"/>
              </w:rPr>
              <w:t>We value multiple touchpoints with our stockholders by engaging with them and soliciting their feedback regularly</w:t>
            </w:r>
          </w:p>
        </w:tc>
        <w:tc>
          <w:tcPr>
            <w:tcW w:w="0" w:type="dxa"/>
            <w:vAlign w:val="bottom"/>
          </w:tcPr>
          <w:p>
            <w:pPr>
              <w:spacing w:after="0"/>
              <w:rPr>
                <w:sz w:val="1"/>
                <w:szCs w:val="1"/>
                <w:color w:val="auto"/>
              </w:rPr>
            </w:pPr>
          </w:p>
        </w:tc>
      </w:tr>
      <w:tr>
        <w:trPr>
          <w:trHeight w:val="228"/>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ENGAGEMENT</w:t>
            </w:r>
          </w:p>
        </w:tc>
        <w:tc>
          <w:tcPr>
            <w:tcW w:w="9120" w:type="dxa"/>
            <w:vAlign w:val="bottom"/>
          </w:tcPr>
          <w:p>
            <w:pPr>
              <w:ind w:left="260"/>
              <w:spacing w:after="0"/>
              <w:rPr>
                <w:sz w:val="20"/>
                <w:szCs w:val="20"/>
                <w:color w:val="auto"/>
              </w:rPr>
            </w:pPr>
            <w:r>
              <w:rPr>
                <w:rFonts w:ascii="Arial" w:cs="Arial" w:eastAsia="Arial" w:hAnsi="Arial"/>
                <w:sz w:val="16"/>
                <w:szCs w:val="16"/>
                <w:color w:val="032E5C"/>
              </w:rPr>
              <w:t>throughout the year. We are dedicated to maintaining open communication with our shareholders and believe regular and</w:t>
            </w:r>
          </w:p>
        </w:tc>
        <w:tc>
          <w:tcPr>
            <w:tcW w:w="0" w:type="dxa"/>
            <w:vAlign w:val="bottom"/>
          </w:tcPr>
          <w:p>
            <w:pPr>
              <w:spacing w:after="0"/>
              <w:rPr>
                <w:sz w:val="1"/>
                <w:szCs w:val="1"/>
                <w:color w:val="auto"/>
              </w:rPr>
            </w:pPr>
          </w:p>
        </w:tc>
      </w:tr>
      <w:tr>
        <w:trPr>
          <w:trHeight w:val="204"/>
        </w:trPr>
        <w:tc>
          <w:tcPr>
            <w:tcW w:w="2120" w:type="dxa"/>
            <w:vAlign w:val="bottom"/>
            <w:shd w:val="clear" w:color="auto" w:fill="F3EFE9"/>
          </w:tcPr>
          <w:p>
            <w:pPr>
              <w:spacing w:after="0"/>
              <w:rPr>
                <w:sz w:val="17"/>
                <w:szCs w:val="17"/>
                <w:color w:val="auto"/>
              </w:rPr>
            </w:pPr>
          </w:p>
        </w:tc>
        <w:tc>
          <w:tcPr>
            <w:tcW w:w="9120" w:type="dxa"/>
            <w:vAlign w:val="bottom"/>
          </w:tcPr>
          <w:p>
            <w:pPr>
              <w:ind w:left="260"/>
              <w:spacing w:after="0"/>
              <w:rPr>
                <w:sz w:val="20"/>
                <w:szCs w:val="20"/>
                <w:color w:val="auto"/>
              </w:rPr>
            </w:pPr>
            <w:r>
              <w:rPr>
                <w:rFonts w:ascii="Arial" w:cs="Arial" w:eastAsia="Arial" w:hAnsi="Arial"/>
                <w:sz w:val="16"/>
                <w:szCs w:val="16"/>
                <w:color w:val="032E5C"/>
              </w:rPr>
              <w:t>proactive engagement is essential to understanding their perspectives and addressing their concerns. In 2024, the</w:t>
            </w:r>
          </w:p>
        </w:tc>
        <w:tc>
          <w:tcPr>
            <w:tcW w:w="0" w:type="dxa"/>
            <w:vAlign w:val="bottom"/>
          </w:tcPr>
          <w:p>
            <w:pPr>
              <w:spacing w:after="0"/>
              <w:rPr>
                <w:sz w:val="1"/>
                <w:szCs w:val="1"/>
                <w:color w:val="auto"/>
              </w:rPr>
            </w:pPr>
          </w:p>
        </w:tc>
      </w:tr>
      <w:tr>
        <w:trPr>
          <w:trHeight w:val="215"/>
        </w:trPr>
        <w:tc>
          <w:tcPr>
            <w:tcW w:w="2120" w:type="dxa"/>
            <w:vAlign w:val="bottom"/>
            <w:shd w:val="clear" w:color="auto" w:fill="F3EFE9"/>
          </w:tcPr>
          <w:p>
            <w:pPr>
              <w:spacing w:after="0"/>
              <w:rPr>
                <w:sz w:val="18"/>
                <w:szCs w:val="18"/>
                <w:color w:val="auto"/>
              </w:rPr>
            </w:pPr>
          </w:p>
        </w:tc>
        <w:tc>
          <w:tcPr>
            <w:tcW w:w="9120" w:type="dxa"/>
            <w:vAlign w:val="bottom"/>
          </w:tcPr>
          <w:p>
            <w:pPr>
              <w:ind w:left="260"/>
              <w:spacing w:after="0"/>
              <w:rPr>
                <w:sz w:val="20"/>
                <w:szCs w:val="20"/>
                <w:color w:val="auto"/>
              </w:rPr>
            </w:pPr>
            <w:r>
              <w:rPr>
                <w:rFonts w:ascii="Arial" w:cs="Arial" w:eastAsia="Arial" w:hAnsi="Arial"/>
                <w:sz w:val="16"/>
                <w:szCs w:val="16"/>
                <w:color w:val="032E5C"/>
              </w:rPr>
              <w:t>Company engaged with shareholders representing approximately 75% of our outstanding shares. In addition, we</w:t>
            </w:r>
          </w:p>
        </w:tc>
        <w:tc>
          <w:tcPr>
            <w:tcW w:w="0" w:type="dxa"/>
            <w:vAlign w:val="bottom"/>
          </w:tcPr>
          <w:p>
            <w:pPr>
              <w:spacing w:after="0"/>
              <w:rPr>
                <w:sz w:val="1"/>
                <w:szCs w:val="1"/>
                <w:color w:val="auto"/>
              </w:rPr>
            </w:pPr>
          </w:p>
        </w:tc>
      </w:tr>
      <w:tr>
        <w:trPr>
          <w:trHeight w:val="204"/>
        </w:trPr>
        <w:tc>
          <w:tcPr>
            <w:tcW w:w="2120" w:type="dxa"/>
            <w:vAlign w:val="bottom"/>
            <w:shd w:val="clear" w:color="auto" w:fill="F3EFE9"/>
          </w:tcPr>
          <w:p>
            <w:pPr>
              <w:spacing w:after="0"/>
              <w:rPr>
                <w:sz w:val="17"/>
                <w:szCs w:val="17"/>
                <w:color w:val="auto"/>
              </w:rPr>
            </w:pPr>
          </w:p>
        </w:tc>
        <w:tc>
          <w:tcPr>
            <w:tcW w:w="9120" w:type="dxa"/>
            <w:vAlign w:val="bottom"/>
          </w:tcPr>
          <w:p>
            <w:pPr>
              <w:ind w:left="260"/>
              <w:spacing w:after="0"/>
              <w:rPr>
                <w:sz w:val="20"/>
                <w:szCs w:val="20"/>
                <w:color w:val="auto"/>
              </w:rPr>
            </w:pPr>
            <w:r>
              <w:rPr>
                <w:rFonts w:ascii="Arial" w:cs="Arial" w:eastAsia="Arial" w:hAnsi="Arial"/>
                <w:sz w:val="16"/>
                <w:szCs w:val="16"/>
                <w:color w:val="032E5C"/>
              </w:rPr>
              <w:t>consistently host annual investor events and issue press releases disclosing our season-to-date performance metrics to</w:t>
            </w:r>
          </w:p>
        </w:tc>
        <w:tc>
          <w:tcPr>
            <w:tcW w:w="0" w:type="dxa"/>
            <w:vAlign w:val="bottom"/>
          </w:tcPr>
          <w:p>
            <w:pPr>
              <w:spacing w:after="0"/>
              <w:rPr>
                <w:sz w:val="1"/>
                <w:szCs w:val="1"/>
                <w:color w:val="auto"/>
              </w:rPr>
            </w:pPr>
          </w:p>
        </w:tc>
      </w:tr>
      <w:tr>
        <w:trPr>
          <w:trHeight w:val="215"/>
        </w:trPr>
        <w:tc>
          <w:tcPr>
            <w:tcW w:w="2120" w:type="dxa"/>
            <w:vAlign w:val="bottom"/>
            <w:shd w:val="clear" w:color="auto" w:fill="F3EFE9"/>
          </w:tcPr>
          <w:p>
            <w:pPr>
              <w:spacing w:after="0"/>
              <w:rPr>
                <w:sz w:val="18"/>
                <w:szCs w:val="18"/>
                <w:color w:val="auto"/>
              </w:rPr>
            </w:pPr>
          </w:p>
        </w:tc>
        <w:tc>
          <w:tcPr>
            <w:tcW w:w="9120" w:type="dxa"/>
            <w:vAlign w:val="bottom"/>
          </w:tcPr>
          <w:p>
            <w:pPr>
              <w:ind w:left="260"/>
              <w:spacing w:after="0"/>
              <w:rPr>
                <w:sz w:val="20"/>
                <w:szCs w:val="20"/>
                <w:color w:val="auto"/>
              </w:rPr>
            </w:pPr>
            <w:r>
              <w:rPr>
                <w:rFonts w:ascii="Arial" w:cs="Arial" w:eastAsia="Arial" w:hAnsi="Arial"/>
                <w:sz w:val="16"/>
                <w:szCs w:val="16"/>
                <w:color w:val="032E5C"/>
              </w:rPr>
              <w:t>promote transparency and provide our stockholders with an ongoing pulse of our performance. We also include detailed</w:t>
            </w:r>
          </w:p>
        </w:tc>
        <w:tc>
          <w:tcPr>
            <w:tcW w:w="0" w:type="dxa"/>
            <w:vAlign w:val="bottom"/>
          </w:tcPr>
          <w:p>
            <w:pPr>
              <w:spacing w:after="0"/>
              <w:rPr>
                <w:sz w:val="1"/>
                <w:szCs w:val="1"/>
                <w:color w:val="auto"/>
              </w:rPr>
            </w:pPr>
          </w:p>
        </w:tc>
      </w:tr>
      <w:tr>
        <w:trPr>
          <w:trHeight w:val="216"/>
        </w:trPr>
        <w:tc>
          <w:tcPr>
            <w:tcW w:w="2120" w:type="dxa"/>
            <w:vAlign w:val="bottom"/>
            <w:shd w:val="clear" w:color="auto" w:fill="F3EFE9"/>
          </w:tcPr>
          <w:p>
            <w:pPr>
              <w:spacing w:after="0"/>
              <w:rPr>
                <w:sz w:val="18"/>
                <w:szCs w:val="18"/>
                <w:color w:val="auto"/>
              </w:rPr>
            </w:pPr>
          </w:p>
        </w:tc>
        <w:tc>
          <w:tcPr>
            <w:tcW w:w="9120" w:type="dxa"/>
            <w:vAlign w:val="bottom"/>
          </w:tcPr>
          <w:p>
            <w:pPr>
              <w:ind w:left="260"/>
              <w:spacing w:after="0"/>
              <w:rPr>
                <w:sz w:val="20"/>
                <w:szCs w:val="20"/>
                <w:color w:val="auto"/>
              </w:rPr>
            </w:pPr>
            <w:r>
              <w:rPr>
                <w:rFonts w:ascii="Arial" w:cs="Arial" w:eastAsia="Arial" w:hAnsi="Arial"/>
                <w:sz w:val="16"/>
                <w:szCs w:val="16"/>
                <w:color w:val="032E5C"/>
              </w:rPr>
              <w:t>public disclosures on our governance practices, executive compensation, and sustainability efforts, and provide regular</w:t>
            </w:r>
          </w:p>
        </w:tc>
        <w:tc>
          <w:tcPr>
            <w:tcW w:w="0" w:type="dxa"/>
            <w:vAlign w:val="bottom"/>
          </w:tcPr>
          <w:p>
            <w:pPr>
              <w:spacing w:after="0"/>
              <w:rPr>
                <w:sz w:val="1"/>
                <w:szCs w:val="1"/>
                <w:color w:val="auto"/>
              </w:rPr>
            </w:pPr>
          </w:p>
        </w:tc>
      </w:tr>
      <w:tr>
        <w:trPr>
          <w:trHeight w:val="216"/>
        </w:trPr>
        <w:tc>
          <w:tcPr>
            <w:tcW w:w="2120" w:type="dxa"/>
            <w:vAlign w:val="bottom"/>
            <w:shd w:val="clear" w:color="auto" w:fill="F3EFE9"/>
          </w:tcPr>
          <w:p>
            <w:pPr>
              <w:spacing w:after="0"/>
              <w:rPr>
                <w:sz w:val="18"/>
                <w:szCs w:val="18"/>
                <w:color w:val="auto"/>
              </w:rPr>
            </w:pPr>
          </w:p>
        </w:tc>
        <w:tc>
          <w:tcPr>
            <w:tcW w:w="9120" w:type="dxa"/>
            <w:vAlign w:val="bottom"/>
          </w:tcPr>
          <w:p>
            <w:pPr>
              <w:ind w:left="260"/>
              <w:spacing w:after="0"/>
              <w:rPr>
                <w:sz w:val="20"/>
                <w:szCs w:val="20"/>
                <w:color w:val="auto"/>
              </w:rPr>
            </w:pPr>
            <w:r>
              <w:rPr>
                <w:rFonts w:ascii="Arial" w:cs="Arial" w:eastAsia="Arial" w:hAnsi="Arial"/>
                <w:sz w:val="16"/>
                <w:szCs w:val="16"/>
                <w:color w:val="032E5C"/>
              </w:rPr>
              <w:t>updates on our website to ensure shareholders have access to timely and relevant information.</w:t>
            </w:r>
          </w:p>
        </w:tc>
        <w:tc>
          <w:tcPr>
            <w:tcW w:w="0" w:type="dxa"/>
            <w:vAlign w:val="bottom"/>
          </w:tcPr>
          <w:p>
            <w:pPr>
              <w:spacing w:after="0"/>
              <w:rPr>
                <w:sz w:val="1"/>
                <w:szCs w:val="1"/>
                <w:color w:val="auto"/>
              </w:rPr>
            </w:pPr>
          </w:p>
        </w:tc>
      </w:tr>
      <w:tr>
        <w:trPr>
          <w:trHeight w:val="272"/>
        </w:trPr>
        <w:tc>
          <w:tcPr>
            <w:tcW w:w="2120" w:type="dxa"/>
            <w:vAlign w:val="bottom"/>
            <w:tcBorders>
              <w:bottom w:val="single" w:sz="8" w:color="98BDE2"/>
            </w:tcBorders>
            <w:shd w:val="clear" w:color="auto" w:fill="F3EFE9"/>
          </w:tcPr>
          <w:p>
            <w:pPr>
              <w:spacing w:after="0"/>
              <w:rPr>
                <w:sz w:val="23"/>
                <w:szCs w:val="23"/>
                <w:color w:val="auto"/>
              </w:rPr>
            </w:pPr>
          </w:p>
        </w:tc>
        <w:tc>
          <w:tcPr>
            <w:tcW w:w="9120" w:type="dxa"/>
            <w:vAlign w:val="bottom"/>
            <w:tcBorders>
              <w:bottom w:val="single" w:sz="8" w:color="98BDE2"/>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CORPORATE</w:t>
            </w:r>
          </w:p>
        </w:tc>
        <w:tc>
          <w:tcPr>
            <w:tcW w:w="9120" w:type="dxa"/>
            <w:vAlign w:val="bottom"/>
          </w:tcPr>
          <w:p>
            <w:pPr>
              <w:ind w:left="260"/>
              <w:spacing w:after="0"/>
              <w:rPr>
                <w:sz w:val="20"/>
                <w:szCs w:val="20"/>
                <w:color w:val="auto"/>
              </w:rPr>
            </w:pPr>
            <w:r>
              <w:rPr>
                <w:rFonts w:ascii="Arial" w:cs="Arial" w:eastAsia="Arial" w:hAnsi="Arial"/>
                <w:sz w:val="16"/>
                <w:szCs w:val="16"/>
                <w:color w:val="032E5C"/>
              </w:rPr>
              <w:t>The Company has adopted meaningful policies, including stock ownership guidelines for non-employee directors and</w:t>
            </w:r>
          </w:p>
        </w:tc>
        <w:tc>
          <w:tcPr>
            <w:tcW w:w="0" w:type="dxa"/>
            <w:vAlign w:val="bottom"/>
          </w:tcPr>
          <w:p>
            <w:pPr>
              <w:spacing w:after="0"/>
              <w:rPr>
                <w:sz w:val="1"/>
                <w:szCs w:val="1"/>
                <w:color w:val="auto"/>
              </w:rPr>
            </w:pPr>
          </w:p>
        </w:tc>
      </w:tr>
      <w:tr>
        <w:trPr>
          <w:trHeight w:val="189"/>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GOVERNANCE</w:t>
            </w:r>
          </w:p>
        </w:tc>
        <w:tc>
          <w:tcPr>
            <w:tcW w:w="9120" w:type="dxa"/>
            <w:vAlign w:val="bottom"/>
          </w:tcPr>
          <w:p>
            <w:pPr>
              <w:ind w:left="260"/>
              <w:spacing w:after="0"/>
              <w:rPr>
                <w:sz w:val="20"/>
                <w:szCs w:val="20"/>
                <w:color w:val="auto"/>
              </w:rPr>
            </w:pPr>
            <w:r>
              <w:rPr>
                <w:rFonts w:ascii="Arial" w:cs="Arial" w:eastAsia="Arial" w:hAnsi="Arial"/>
                <w:sz w:val="16"/>
                <w:szCs w:val="16"/>
                <w:color w:val="032E5C"/>
              </w:rPr>
              <w:t>executive officers to help align their interests with those of our stockholders, an anti-hedging policy for all directors and</w:t>
            </w:r>
          </w:p>
        </w:tc>
        <w:tc>
          <w:tcPr>
            <w:tcW w:w="0" w:type="dxa"/>
            <w:vAlign w:val="bottom"/>
          </w:tcPr>
          <w:p>
            <w:pPr>
              <w:spacing w:after="0"/>
              <w:rPr>
                <w:sz w:val="1"/>
                <w:szCs w:val="1"/>
                <w:color w:val="auto"/>
              </w:rPr>
            </w:pPr>
          </w:p>
        </w:tc>
      </w:tr>
      <w:tr>
        <w:trPr>
          <w:trHeight w:val="255"/>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POLICIES</w:t>
            </w:r>
          </w:p>
        </w:tc>
        <w:tc>
          <w:tcPr>
            <w:tcW w:w="9120" w:type="dxa"/>
            <w:vAlign w:val="bottom"/>
          </w:tcPr>
          <w:p>
            <w:pPr>
              <w:ind w:left="260"/>
              <w:spacing w:after="0"/>
              <w:rPr>
                <w:sz w:val="20"/>
                <w:szCs w:val="20"/>
                <w:color w:val="auto"/>
              </w:rPr>
            </w:pPr>
            <w:r>
              <w:rPr>
                <w:rFonts w:ascii="Arial" w:cs="Arial" w:eastAsia="Arial" w:hAnsi="Arial"/>
                <w:sz w:val="16"/>
                <w:szCs w:val="16"/>
                <w:color w:val="032E5C"/>
              </w:rPr>
              <w:t>executive officers, and a clawback policy applicable to executive officers for both cash and equity-based incentive awards.</w:t>
            </w:r>
          </w:p>
        </w:tc>
        <w:tc>
          <w:tcPr>
            <w:tcW w:w="0" w:type="dxa"/>
            <w:vAlign w:val="bottom"/>
          </w:tcPr>
          <w:p>
            <w:pPr>
              <w:spacing w:after="0"/>
              <w:rPr>
                <w:sz w:val="1"/>
                <w:szCs w:val="1"/>
                <w:color w:val="auto"/>
              </w:rPr>
            </w:pPr>
          </w:p>
        </w:tc>
      </w:tr>
      <w:tr>
        <w:trPr>
          <w:trHeight w:val="272"/>
        </w:trPr>
        <w:tc>
          <w:tcPr>
            <w:tcW w:w="2120" w:type="dxa"/>
            <w:vAlign w:val="bottom"/>
            <w:tcBorders>
              <w:bottom w:val="single" w:sz="8" w:color="98BDE2"/>
            </w:tcBorders>
            <w:shd w:val="clear" w:color="auto" w:fill="F3EFE9"/>
          </w:tcPr>
          <w:p>
            <w:pPr>
              <w:spacing w:after="0"/>
              <w:rPr>
                <w:sz w:val="23"/>
                <w:szCs w:val="23"/>
                <w:color w:val="auto"/>
              </w:rPr>
            </w:pPr>
          </w:p>
        </w:tc>
        <w:tc>
          <w:tcPr>
            <w:tcW w:w="9120" w:type="dxa"/>
            <w:vAlign w:val="bottom"/>
            <w:tcBorders>
              <w:bottom w:val="single" w:sz="8" w:color="98BDE2"/>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DIRECTOR</w:t>
            </w:r>
          </w:p>
        </w:tc>
        <w:tc>
          <w:tcPr>
            <w:tcW w:w="9120" w:type="dxa"/>
            <w:vAlign w:val="bottom"/>
          </w:tcPr>
          <w:p>
            <w:pPr>
              <w:ind w:left="260"/>
              <w:spacing w:after="0"/>
              <w:rPr>
                <w:sz w:val="20"/>
                <w:szCs w:val="20"/>
                <w:color w:val="auto"/>
              </w:rPr>
            </w:pPr>
            <w:r>
              <w:rPr>
                <w:rFonts w:ascii="Arial" w:cs="Arial" w:eastAsia="Arial" w:hAnsi="Arial"/>
                <w:sz w:val="16"/>
                <w:szCs w:val="16"/>
                <w:color w:val="032E5C"/>
              </w:rPr>
              <w:t>All of our director nominees are independent except for Mr. Katz and Ms. Lynch and all of our Audit, Compensation, and</w:t>
            </w:r>
          </w:p>
        </w:tc>
        <w:tc>
          <w:tcPr>
            <w:tcW w:w="0" w:type="dxa"/>
            <w:vAlign w:val="bottom"/>
          </w:tcPr>
          <w:p>
            <w:pPr>
              <w:spacing w:after="0"/>
              <w:rPr>
                <w:sz w:val="1"/>
                <w:szCs w:val="1"/>
                <w:color w:val="auto"/>
              </w:rPr>
            </w:pPr>
          </w:p>
        </w:tc>
      </w:tr>
      <w:tr>
        <w:trPr>
          <w:trHeight w:val="228"/>
        </w:trPr>
        <w:tc>
          <w:tcPr>
            <w:tcW w:w="212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INDEPENDENCE</w:t>
            </w:r>
          </w:p>
        </w:tc>
        <w:tc>
          <w:tcPr>
            <w:tcW w:w="9120" w:type="dxa"/>
            <w:vAlign w:val="bottom"/>
          </w:tcPr>
          <w:p>
            <w:pPr>
              <w:ind w:left="260"/>
              <w:spacing w:after="0"/>
              <w:rPr>
                <w:sz w:val="20"/>
                <w:szCs w:val="20"/>
                <w:color w:val="auto"/>
              </w:rPr>
            </w:pPr>
            <w:r>
              <w:rPr>
                <w:rFonts w:ascii="Arial" w:cs="Arial" w:eastAsia="Arial" w:hAnsi="Arial"/>
                <w:sz w:val="16"/>
                <w:szCs w:val="16"/>
                <w:color w:val="032E5C"/>
              </w:rPr>
              <w:t>Nominating &amp; Governance Committee members are independent. Executive sessions of independent directors are held at</w:t>
            </w:r>
          </w:p>
        </w:tc>
        <w:tc>
          <w:tcPr>
            <w:tcW w:w="0" w:type="dxa"/>
            <w:vAlign w:val="bottom"/>
          </w:tcPr>
          <w:p>
            <w:pPr>
              <w:spacing w:after="0"/>
              <w:rPr>
                <w:sz w:val="1"/>
                <w:szCs w:val="1"/>
                <w:color w:val="auto"/>
              </w:rPr>
            </w:pPr>
          </w:p>
        </w:tc>
      </w:tr>
      <w:tr>
        <w:trPr>
          <w:trHeight w:val="216"/>
        </w:trPr>
        <w:tc>
          <w:tcPr>
            <w:tcW w:w="2120" w:type="dxa"/>
            <w:vAlign w:val="bottom"/>
            <w:shd w:val="clear" w:color="auto" w:fill="F3EFE9"/>
          </w:tcPr>
          <w:p>
            <w:pPr>
              <w:spacing w:after="0"/>
              <w:rPr>
                <w:sz w:val="18"/>
                <w:szCs w:val="18"/>
                <w:color w:val="auto"/>
              </w:rPr>
            </w:pPr>
          </w:p>
        </w:tc>
        <w:tc>
          <w:tcPr>
            <w:tcW w:w="9120" w:type="dxa"/>
            <w:vAlign w:val="bottom"/>
          </w:tcPr>
          <w:p>
            <w:pPr>
              <w:ind w:left="260"/>
              <w:spacing w:after="0"/>
              <w:rPr>
                <w:sz w:val="20"/>
                <w:szCs w:val="20"/>
                <w:color w:val="auto"/>
              </w:rPr>
            </w:pPr>
            <w:r>
              <w:rPr>
                <w:rFonts w:ascii="Arial" w:cs="Arial" w:eastAsia="Arial" w:hAnsi="Arial"/>
                <w:sz w:val="16"/>
                <w:szCs w:val="16"/>
                <w:color w:val="032E5C"/>
              </w:rPr>
              <w:t>regularly scheduled Board meetings, which are led by our Lead Independent Director.</w:t>
            </w:r>
          </w:p>
        </w:tc>
        <w:tc>
          <w:tcPr>
            <w:tcW w:w="0" w:type="dxa"/>
            <w:vAlign w:val="bottom"/>
          </w:tcPr>
          <w:p>
            <w:pPr>
              <w:spacing w:after="0"/>
              <w:rPr>
                <w:sz w:val="1"/>
                <w:szCs w:val="1"/>
                <w:color w:val="auto"/>
              </w:rPr>
            </w:pPr>
          </w:p>
        </w:tc>
      </w:tr>
      <w:tr>
        <w:trPr>
          <w:trHeight w:val="265"/>
        </w:trPr>
        <w:tc>
          <w:tcPr>
            <w:tcW w:w="2120" w:type="dxa"/>
            <w:vAlign w:val="bottom"/>
            <w:tcBorders>
              <w:bottom w:val="single" w:sz="8" w:color="3E5C7C"/>
            </w:tcBorders>
            <w:shd w:val="clear" w:color="auto" w:fill="F3EFE9"/>
          </w:tcPr>
          <w:p>
            <w:pPr>
              <w:spacing w:after="0"/>
              <w:rPr>
                <w:sz w:val="23"/>
                <w:szCs w:val="23"/>
                <w:color w:val="auto"/>
              </w:rPr>
            </w:pPr>
          </w:p>
        </w:tc>
        <w:tc>
          <w:tcPr>
            <w:tcW w:w="9120" w:type="dxa"/>
            <w:vAlign w:val="bottom"/>
            <w:tcBorders>
              <w:bottom w:val="single" w:sz="8" w:color="3E5C7C"/>
            </w:tcBorders>
          </w:tcPr>
          <w:p>
            <w:pPr>
              <w:spacing w:after="0"/>
              <w:rPr>
                <w:sz w:val="23"/>
                <w:szCs w:val="23"/>
                <w:color w:val="auto"/>
              </w:rPr>
            </w:pPr>
          </w:p>
        </w:tc>
        <w:tc>
          <w:tcPr>
            <w:tcW w:w="0" w:type="dxa"/>
            <w:vAlign w:val="bottom"/>
          </w:tcPr>
          <w:p>
            <w:pPr>
              <w:spacing w:after="0"/>
              <w:rPr>
                <w:sz w:val="1"/>
                <w:szCs w:val="1"/>
                <w:color w:val="auto"/>
              </w:rPr>
            </w:pPr>
          </w:p>
        </w:tc>
      </w:tr>
      <w:tr>
        <w:trPr>
          <w:trHeight w:val="478"/>
        </w:trPr>
        <w:tc>
          <w:tcPr>
            <w:tcW w:w="2120" w:type="dxa"/>
            <w:vAlign w:val="bottom"/>
          </w:tcPr>
          <w:p>
            <w:pPr>
              <w:ind w:left="20"/>
              <w:spacing w:after="0"/>
              <w:rPr>
                <w:sz w:val="20"/>
                <w:szCs w:val="20"/>
                <w:color w:val="auto"/>
              </w:rPr>
            </w:pPr>
            <w:r>
              <w:rPr>
                <w:rFonts w:ascii="Arial" w:cs="Arial" w:eastAsia="Arial" w:hAnsi="Arial"/>
                <w:sz w:val="16"/>
                <w:szCs w:val="16"/>
                <w:b w:val="1"/>
                <w:bCs w:val="1"/>
                <w:color w:val="032E5C"/>
              </w:rPr>
              <w:t>4</w:t>
            </w:r>
          </w:p>
        </w:tc>
        <w:tc>
          <w:tcPr>
            <w:tcW w:w="9120" w:type="dxa"/>
            <w:vAlign w:val="bottom"/>
            <w:vMerge w:val="restart"/>
          </w:tcPr>
          <w:p>
            <w:pPr>
              <w:ind w:left="268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9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212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-445135</wp:posOffset>
            </wp:positionV>
            <wp:extent cx="92583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190"/>
        </w:trPr>
        <w:tc>
          <w:tcPr>
            <w:tcW w:w="5520" w:type="dxa"/>
            <w:vAlign w:val="bottom"/>
          </w:tcPr>
          <w:p>
            <w:pPr>
              <w:spacing w:after="0"/>
              <w:rPr>
                <w:sz w:val="20"/>
                <w:szCs w:val="20"/>
                <w:color w:val="auto"/>
              </w:rPr>
            </w:pPr>
            <w:r>
              <w:rPr>
                <w:rFonts w:ascii="Arial" w:cs="Arial" w:eastAsia="Arial" w:hAnsi="Arial"/>
                <w:sz w:val="14"/>
                <w:szCs w:val="14"/>
                <w:color w:val="032E5C"/>
              </w:rPr>
              <w:t>Table of Contents</w:t>
            </w:r>
          </w:p>
        </w:tc>
        <w:tc>
          <w:tcPr>
            <w:tcW w:w="5500" w:type="dxa"/>
            <w:vAlign w:val="bottom"/>
            <w:vMerge w:val="restart"/>
          </w:tcPr>
          <w:p>
            <w:pPr>
              <w:ind w:left="4380"/>
              <w:spacing w:after="0"/>
              <w:rPr>
                <w:sz w:val="20"/>
                <w:szCs w:val="20"/>
                <w:color w:val="auto"/>
              </w:rPr>
            </w:pPr>
            <w:r>
              <w:rPr>
                <w:rFonts w:ascii="Arial" w:cs="Arial" w:eastAsia="Arial" w:hAnsi="Arial"/>
                <w:sz w:val="13"/>
                <w:szCs w:val="13"/>
                <w:b w:val="1"/>
                <w:bCs w:val="1"/>
                <w:color w:val="032E5C"/>
                <w:w w:val="94"/>
              </w:rPr>
              <w:t>PROXY SUMMARY</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5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6380480</wp:posOffset>
            </wp:positionH>
            <wp:positionV relativeFrom="page">
              <wp:posOffset>106045</wp:posOffset>
            </wp:positionV>
            <wp:extent cx="96012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0120" cy="24003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Awards and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174625</wp:posOffset>
            </wp:positionV>
            <wp:extent cx="574040" cy="848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040" cy="84899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234950</wp:posOffset>
            </wp:positionV>
            <wp:extent cx="625475" cy="737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5475" cy="73723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234950</wp:posOffset>
            </wp:positionV>
            <wp:extent cx="668655" cy="737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8655" cy="73723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191770</wp:posOffset>
            </wp:positionV>
            <wp:extent cx="822960" cy="822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2520" w:type="dxa"/>
            <w:vAlign w:val="bottom"/>
          </w:tcPr>
          <w:p>
            <w:pPr>
              <w:jc w:val="center"/>
              <w:ind w:right="139"/>
              <w:spacing w:after="0"/>
              <w:rPr>
                <w:sz w:val="20"/>
                <w:szCs w:val="20"/>
                <w:color w:val="auto"/>
              </w:rPr>
            </w:pPr>
            <w:r>
              <w:rPr>
                <w:rFonts w:ascii="Arial" w:cs="Arial" w:eastAsia="Arial" w:hAnsi="Arial"/>
                <w:sz w:val="16"/>
                <w:szCs w:val="16"/>
                <w:b w:val="1"/>
                <w:bCs w:val="1"/>
                <w:color w:val="032E5C"/>
              </w:rPr>
              <w:t>Newsweek</w:t>
            </w:r>
          </w:p>
        </w:tc>
        <w:tc>
          <w:tcPr>
            <w:tcW w:w="2780" w:type="dxa"/>
            <w:vAlign w:val="bottom"/>
          </w:tcPr>
          <w:p>
            <w:pPr>
              <w:jc w:val="center"/>
              <w:spacing w:after="0"/>
              <w:rPr>
                <w:sz w:val="20"/>
                <w:szCs w:val="20"/>
                <w:color w:val="auto"/>
              </w:rPr>
            </w:pPr>
            <w:r>
              <w:rPr>
                <w:rFonts w:ascii="Arial" w:cs="Arial" w:eastAsia="Arial" w:hAnsi="Arial"/>
                <w:sz w:val="16"/>
                <w:szCs w:val="16"/>
                <w:b w:val="1"/>
                <w:bCs w:val="1"/>
                <w:color w:val="032E5C"/>
              </w:rPr>
              <w:t>Newsweek</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032E5C"/>
              </w:rPr>
              <w:t>TIME Magazine -</w:t>
            </w:r>
          </w:p>
        </w:tc>
        <w:tc>
          <w:tcPr>
            <w:tcW w:w="2540" w:type="dxa"/>
            <w:vAlign w:val="bottom"/>
          </w:tcPr>
          <w:p>
            <w:pPr>
              <w:jc w:val="center"/>
              <w:ind w:left="79"/>
              <w:spacing w:after="0"/>
              <w:rPr>
                <w:sz w:val="20"/>
                <w:szCs w:val="20"/>
                <w:color w:val="auto"/>
              </w:rPr>
            </w:pPr>
            <w:r>
              <w:rPr>
                <w:rFonts w:ascii="Arial" w:cs="Arial" w:eastAsia="Arial" w:hAnsi="Arial"/>
                <w:sz w:val="16"/>
                <w:szCs w:val="16"/>
                <w:b w:val="1"/>
                <w:bCs w:val="1"/>
                <w:color w:val="032E5C"/>
              </w:rPr>
              <w:t>Fast Company Most</w:t>
            </w:r>
          </w:p>
        </w:tc>
      </w:tr>
      <w:tr>
        <w:trPr>
          <w:trHeight w:val="189"/>
        </w:trPr>
        <w:tc>
          <w:tcPr>
            <w:tcW w:w="2520" w:type="dxa"/>
            <w:vAlign w:val="bottom"/>
          </w:tcPr>
          <w:p>
            <w:pPr>
              <w:jc w:val="center"/>
              <w:ind w:right="99"/>
              <w:spacing w:after="0"/>
              <w:rPr>
                <w:sz w:val="20"/>
                <w:szCs w:val="20"/>
                <w:color w:val="auto"/>
              </w:rPr>
            </w:pPr>
            <w:r>
              <w:rPr>
                <w:rFonts w:ascii="Arial" w:cs="Arial" w:eastAsia="Arial" w:hAnsi="Arial"/>
                <w:sz w:val="16"/>
                <w:szCs w:val="16"/>
                <w:b w:val="1"/>
                <w:bCs w:val="1"/>
                <w:color w:val="032E5C"/>
              </w:rPr>
              <w:t>Most Admired Workplaces</w:t>
            </w:r>
          </w:p>
        </w:tc>
        <w:tc>
          <w:tcPr>
            <w:tcW w:w="2780" w:type="dxa"/>
            <w:vAlign w:val="bottom"/>
          </w:tcPr>
          <w:p>
            <w:pPr>
              <w:jc w:val="center"/>
              <w:spacing w:after="0"/>
              <w:rPr>
                <w:sz w:val="20"/>
                <w:szCs w:val="20"/>
                <w:color w:val="auto"/>
              </w:rPr>
            </w:pPr>
            <w:r>
              <w:rPr>
                <w:rFonts w:ascii="Arial" w:cs="Arial" w:eastAsia="Arial" w:hAnsi="Arial"/>
                <w:sz w:val="16"/>
                <w:szCs w:val="16"/>
                <w:b w:val="1"/>
                <w:bCs w:val="1"/>
                <w:color w:val="032E5C"/>
                <w:w w:val="99"/>
              </w:rPr>
              <w:t>Most Trustworthy</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032E5C"/>
              </w:rPr>
              <w:t>America's Best Midsize</w:t>
            </w:r>
          </w:p>
        </w:tc>
        <w:tc>
          <w:tcPr>
            <w:tcW w:w="2540" w:type="dxa"/>
            <w:vAlign w:val="bottom"/>
          </w:tcPr>
          <w:p>
            <w:pPr>
              <w:jc w:val="center"/>
              <w:ind w:left="79"/>
              <w:spacing w:after="0"/>
              <w:rPr>
                <w:sz w:val="20"/>
                <w:szCs w:val="20"/>
                <w:color w:val="auto"/>
              </w:rPr>
            </w:pPr>
            <w:r>
              <w:rPr>
                <w:rFonts w:ascii="Arial" w:cs="Arial" w:eastAsia="Arial" w:hAnsi="Arial"/>
                <w:sz w:val="16"/>
                <w:szCs w:val="16"/>
                <w:b w:val="1"/>
                <w:bCs w:val="1"/>
                <w:color w:val="032E5C"/>
              </w:rPr>
              <w:t>Innovative Companies -</w:t>
            </w:r>
          </w:p>
        </w:tc>
      </w:tr>
      <w:tr>
        <w:trPr>
          <w:trHeight w:val="223"/>
        </w:trPr>
        <w:tc>
          <w:tcPr>
            <w:tcW w:w="252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6"/>
                <w:szCs w:val="16"/>
                <w:b w:val="1"/>
                <w:bCs w:val="1"/>
                <w:color w:val="032E5C"/>
                <w:w w:val="99"/>
              </w:rPr>
              <w:t>Companies</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032E5C"/>
                <w:w w:val="99"/>
              </w:rPr>
              <w:t>Companies</w:t>
            </w:r>
          </w:p>
        </w:tc>
        <w:tc>
          <w:tcPr>
            <w:tcW w:w="2540" w:type="dxa"/>
            <w:vAlign w:val="bottom"/>
          </w:tcPr>
          <w:p>
            <w:pPr>
              <w:jc w:val="center"/>
              <w:ind w:left="119"/>
              <w:spacing w:after="0"/>
              <w:rPr>
                <w:sz w:val="20"/>
                <w:szCs w:val="20"/>
                <w:color w:val="auto"/>
              </w:rPr>
            </w:pPr>
            <w:r>
              <w:rPr>
                <w:rFonts w:ascii="Arial" w:cs="Arial" w:eastAsia="Arial" w:hAnsi="Arial"/>
                <w:sz w:val="16"/>
                <w:szCs w:val="16"/>
                <w:b w:val="1"/>
                <w:bCs w:val="1"/>
                <w:color w:val="032E5C"/>
              </w:rPr>
              <w:t>My Epic Gear</w:t>
            </w:r>
          </w:p>
        </w:tc>
      </w:tr>
      <w:tr>
        <w:trPr>
          <w:trHeight w:val="236"/>
        </w:trPr>
        <w:tc>
          <w:tcPr>
            <w:tcW w:w="2520" w:type="dxa"/>
            <w:vAlign w:val="bottom"/>
          </w:tcPr>
          <w:p>
            <w:pPr>
              <w:jc w:val="center"/>
              <w:ind w:right="99"/>
              <w:spacing w:after="0"/>
              <w:rPr>
                <w:sz w:val="20"/>
                <w:szCs w:val="20"/>
                <w:color w:val="auto"/>
              </w:rPr>
            </w:pPr>
            <w:r>
              <w:rPr>
                <w:rFonts w:ascii="Arial" w:cs="Arial" w:eastAsia="Arial" w:hAnsi="Arial"/>
                <w:sz w:val="16"/>
                <w:szCs w:val="16"/>
                <w:color w:val="032E5C"/>
              </w:rPr>
              <w:t>Vail Resorts has been named by</w:t>
            </w:r>
          </w:p>
        </w:tc>
        <w:tc>
          <w:tcPr>
            <w:tcW w:w="2780" w:type="dxa"/>
            <w:vAlign w:val="bottom"/>
          </w:tcPr>
          <w:p>
            <w:pPr>
              <w:jc w:val="center"/>
              <w:spacing w:after="0"/>
              <w:rPr>
                <w:sz w:val="20"/>
                <w:szCs w:val="20"/>
                <w:color w:val="auto"/>
              </w:rPr>
            </w:pPr>
            <w:r>
              <w:rPr>
                <w:rFonts w:ascii="Arial" w:cs="Arial" w:eastAsia="Arial" w:hAnsi="Arial"/>
                <w:sz w:val="16"/>
                <w:szCs w:val="16"/>
                <w:color w:val="032E5C"/>
              </w:rPr>
              <w:t>Ranked via an independent</w:t>
            </w:r>
          </w:p>
        </w:tc>
        <w:tc>
          <w:tcPr>
            <w:tcW w:w="2760" w:type="dxa"/>
            <w:vAlign w:val="bottom"/>
          </w:tcPr>
          <w:p>
            <w:pPr>
              <w:jc w:val="center"/>
              <w:spacing w:after="0"/>
              <w:rPr>
                <w:sz w:val="20"/>
                <w:szCs w:val="20"/>
                <w:color w:val="auto"/>
              </w:rPr>
            </w:pPr>
            <w:r>
              <w:rPr>
                <w:rFonts w:ascii="Arial" w:cs="Arial" w:eastAsia="Arial" w:hAnsi="Arial"/>
                <w:sz w:val="16"/>
                <w:szCs w:val="16"/>
                <w:color w:val="032E5C"/>
              </w:rPr>
              <w:t>Identified based on three</w:t>
            </w:r>
          </w:p>
        </w:tc>
        <w:tc>
          <w:tcPr>
            <w:tcW w:w="2540" w:type="dxa"/>
            <w:vAlign w:val="bottom"/>
          </w:tcPr>
          <w:p>
            <w:pPr>
              <w:jc w:val="center"/>
              <w:ind w:left="119"/>
              <w:spacing w:after="0"/>
              <w:rPr>
                <w:sz w:val="20"/>
                <w:szCs w:val="20"/>
                <w:color w:val="auto"/>
              </w:rPr>
            </w:pPr>
            <w:r>
              <w:rPr>
                <w:rFonts w:ascii="Arial" w:cs="Arial" w:eastAsia="Arial" w:hAnsi="Arial"/>
                <w:sz w:val="16"/>
                <w:szCs w:val="16"/>
                <w:color w:val="032E5C"/>
              </w:rPr>
              <w:t>Fast Company’s Most Innovative</w:t>
            </w:r>
          </w:p>
        </w:tc>
      </w:tr>
      <w:tr>
        <w:trPr>
          <w:trHeight w:val="215"/>
        </w:trPr>
        <w:tc>
          <w:tcPr>
            <w:tcW w:w="2520" w:type="dxa"/>
            <w:vAlign w:val="bottom"/>
          </w:tcPr>
          <w:p>
            <w:pPr>
              <w:jc w:val="center"/>
              <w:ind w:right="99"/>
              <w:spacing w:after="0"/>
              <w:rPr>
                <w:sz w:val="20"/>
                <w:szCs w:val="20"/>
                <w:color w:val="auto"/>
              </w:rPr>
            </w:pPr>
            <w:r>
              <w:rPr>
                <w:rFonts w:ascii="Arial" w:cs="Arial" w:eastAsia="Arial" w:hAnsi="Arial"/>
                <w:sz w:val="16"/>
                <w:szCs w:val="16"/>
                <w:color w:val="032E5C"/>
              </w:rPr>
              <w:t>Newsweek as one of America’s</w:t>
            </w:r>
          </w:p>
        </w:tc>
        <w:tc>
          <w:tcPr>
            <w:tcW w:w="2780" w:type="dxa"/>
            <w:vAlign w:val="bottom"/>
          </w:tcPr>
          <w:p>
            <w:pPr>
              <w:jc w:val="center"/>
              <w:spacing w:after="0"/>
              <w:rPr>
                <w:sz w:val="20"/>
                <w:szCs w:val="20"/>
                <w:color w:val="auto"/>
              </w:rPr>
            </w:pPr>
            <w:r>
              <w:rPr>
                <w:rFonts w:ascii="Arial" w:cs="Arial" w:eastAsia="Arial" w:hAnsi="Arial"/>
                <w:sz w:val="16"/>
                <w:szCs w:val="16"/>
                <w:color w:val="032E5C"/>
              </w:rPr>
              <w:t>survey thanks to a partnership</w:t>
            </w:r>
          </w:p>
        </w:tc>
        <w:tc>
          <w:tcPr>
            <w:tcW w:w="2760" w:type="dxa"/>
            <w:vAlign w:val="bottom"/>
          </w:tcPr>
          <w:p>
            <w:pPr>
              <w:jc w:val="center"/>
              <w:spacing w:after="0"/>
              <w:rPr>
                <w:sz w:val="20"/>
                <w:szCs w:val="20"/>
                <w:color w:val="auto"/>
              </w:rPr>
            </w:pPr>
            <w:r>
              <w:rPr>
                <w:rFonts w:ascii="Arial" w:cs="Arial" w:eastAsia="Arial" w:hAnsi="Arial"/>
                <w:sz w:val="16"/>
                <w:szCs w:val="16"/>
                <w:color w:val="032E5C"/>
              </w:rPr>
              <w:t>dimensions using more than 15</w:t>
            </w:r>
          </w:p>
        </w:tc>
        <w:tc>
          <w:tcPr>
            <w:tcW w:w="2540" w:type="dxa"/>
            <w:vAlign w:val="bottom"/>
          </w:tcPr>
          <w:p>
            <w:pPr>
              <w:jc w:val="center"/>
              <w:ind w:left="139"/>
              <w:spacing w:after="0"/>
              <w:rPr>
                <w:sz w:val="20"/>
                <w:szCs w:val="20"/>
                <w:color w:val="auto"/>
              </w:rPr>
            </w:pPr>
            <w:r>
              <w:rPr>
                <w:rFonts w:ascii="Arial" w:cs="Arial" w:eastAsia="Arial" w:hAnsi="Arial"/>
                <w:sz w:val="16"/>
                <w:szCs w:val="16"/>
                <w:color w:val="032E5C"/>
              </w:rPr>
              <w:t>Companies recognizes the</w:t>
            </w:r>
          </w:p>
        </w:tc>
      </w:tr>
      <w:tr>
        <w:trPr>
          <w:trHeight w:val="204"/>
        </w:trPr>
        <w:tc>
          <w:tcPr>
            <w:tcW w:w="2520" w:type="dxa"/>
            <w:vAlign w:val="bottom"/>
          </w:tcPr>
          <w:p>
            <w:pPr>
              <w:jc w:val="center"/>
              <w:ind w:right="99"/>
              <w:spacing w:after="0"/>
              <w:rPr>
                <w:sz w:val="20"/>
                <w:szCs w:val="20"/>
                <w:color w:val="auto"/>
              </w:rPr>
            </w:pPr>
            <w:r>
              <w:rPr>
                <w:rFonts w:ascii="Arial" w:cs="Arial" w:eastAsia="Arial" w:hAnsi="Arial"/>
                <w:sz w:val="16"/>
                <w:szCs w:val="16"/>
                <w:color w:val="032E5C"/>
              </w:rPr>
              <w:t>Most Admired Workplaces of</w:t>
            </w:r>
          </w:p>
        </w:tc>
        <w:tc>
          <w:tcPr>
            <w:tcW w:w="2780" w:type="dxa"/>
            <w:vAlign w:val="bottom"/>
          </w:tcPr>
          <w:p>
            <w:pPr>
              <w:jc w:val="center"/>
              <w:spacing w:after="0"/>
              <w:rPr>
                <w:sz w:val="20"/>
                <w:szCs w:val="20"/>
                <w:color w:val="auto"/>
              </w:rPr>
            </w:pPr>
            <w:r>
              <w:rPr>
                <w:rFonts w:ascii="Arial" w:cs="Arial" w:eastAsia="Arial" w:hAnsi="Arial"/>
                <w:sz w:val="16"/>
                <w:szCs w:val="16"/>
                <w:color w:val="032E5C"/>
              </w:rPr>
              <w:t>with Newsweek and Statista, the</w:t>
            </w:r>
          </w:p>
        </w:tc>
        <w:tc>
          <w:tcPr>
            <w:tcW w:w="2760" w:type="dxa"/>
            <w:vAlign w:val="bottom"/>
          </w:tcPr>
          <w:p>
            <w:pPr>
              <w:jc w:val="center"/>
              <w:spacing w:after="0"/>
              <w:rPr>
                <w:sz w:val="20"/>
                <w:szCs w:val="20"/>
                <w:color w:val="auto"/>
              </w:rPr>
            </w:pPr>
            <w:r>
              <w:rPr>
                <w:rFonts w:ascii="Arial" w:cs="Arial" w:eastAsia="Arial" w:hAnsi="Arial"/>
                <w:sz w:val="16"/>
                <w:szCs w:val="16"/>
                <w:color w:val="032E5C"/>
              </w:rPr>
              <w:t>different criteria, the inaugural</w:t>
            </w:r>
          </w:p>
        </w:tc>
        <w:tc>
          <w:tcPr>
            <w:tcW w:w="2540" w:type="dxa"/>
            <w:vAlign w:val="bottom"/>
          </w:tcPr>
          <w:p>
            <w:pPr>
              <w:jc w:val="center"/>
              <w:ind w:left="119"/>
              <w:spacing w:after="0"/>
              <w:rPr>
                <w:sz w:val="20"/>
                <w:szCs w:val="20"/>
                <w:color w:val="auto"/>
              </w:rPr>
            </w:pPr>
            <w:r>
              <w:rPr>
                <w:rFonts w:ascii="Arial" w:cs="Arial" w:eastAsia="Arial" w:hAnsi="Arial"/>
                <w:sz w:val="16"/>
                <w:szCs w:val="16"/>
                <w:color w:val="032E5C"/>
              </w:rPr>
              <w:t>world’s most revolutionary ideas</w:t>
            </w:r>
          </w:p>
        </w:tc>
      </w:tr>
      <w:tr>
        <w:trPr>
          <w:trHeight w:val="215"/>
        </w:trPr>
        <w:tc>
          <w:tcPr>
            <w:tcW w:w="2520" w:type="dxa"/>
            <w:vAlign w:val="bottom"/>
          </w:tcPr>
          <w:p>
            <w:pPr>
              <w:jc w:val="center"/>
              <w:ind w:right="99"/>
              <w:spacing w:after="0"/>
              <w:rPr>
                <w:sz w:val="20"/>
                <w:szCs w:val="20"/>
                <w:color w:val="auto"/>
              </w:rPr>
            </w:pPr>
            <w:r>
              <w:rPr>
                <w:rFonts w:ascii="Arial" w:cs="Arial" w:eastAsia="Arial" w:hAnsi="Arial"/>
                <w:sz w:val="16"/>
                <w:szCs w:val="16"/>
                <w:color w:val="032E5C"/>
              </w:rPr>
              <w:t>2025. Developed in partnership</w:t>
            </w:r>
          </w:p>
        </w:tc>
        <w:tc>
          <w:tcPr>
            <w:tcW w:w="2780" w:type="dxa"/>
            <w:vAlign w:val="bottom"/>
          </w:tcPr>
          <w:p>
            <w:pPr>
              <w:jc w:val="center"/>
              <w:spacing w:after="0"/>
              <w:rPr>
                <w:sz w:val="20"/>
                <w:szCs w:val="20"/>
                <w:color w:val="auto"/>
              </w:rPr>
            </w:pPr>
            <w:r>
              <w:rPr>
                <w:rFonts w:ascii="Arial" w:cs="Arial" w:eastAsia="Arial" w:hAnsi="Arial"/>
                <w:sz w:val="16"/>
                <w:szCs w:val="16"/>
                <w:color w:val="032E5C"/>
              </w:rPr>
              <w:t>Most Trustworthy Companies list</w:t>
            </w:r>
          </w:p>
        </w:tc>
        <w:tc>
          <w:tcPr>
            <w:tcW w:w="2760" w:type="dxa"/>
            <w:vAlign w:val="bottom"/>
          </w:tcPr>
          <w:p>
            <w:pPr>
              <w:jc w:val="center"/>
              <w:spacing w:after="0"/>
              <w:rPr>
                <w:sz w:val="20"/>
                <w:szCs w:val="20"/>
                <w:color w:val="auto"/>
              </w:rPr>
            </w:pPr>
            <w:r>
              <w:rPr>
                <w:rFonts w:ascii="Arial" w:cs="Arial" w:eastAsia="Arial" w:hAnsi="Arial"/>
                <w:sz w:val="16"/>
                <w:szCs w:val="16"/>
                <w:color w:val="032E5C"/>
              </w:rPr>
              <w:t>TIME Magazine’s America’s Best</w:t>
            </w:r>
          </w:p>
        </w:tc>
        <w:tc>
          <w:tcPr>
            <w:tcW w:w="2540" w:type="dxa"/>
            <w:vAlign w:val="bottom"/>
          </w:tcPr>
          <w:p>
            <w:pPr>
              <w:jc w:val="center"/>
              <w:ind w:left="119"/>
              <w:spacing w:after="0"/>
              <w:rPr>
                <w:sz w:val="20"/>
                <w:szCs w:val="20"/>
                <w:color w:val="auto"/>
              </w:rPr>
            </w:pPr>
            <w:r>
              <w:rPr>
                <w:rFonts w:ascii="Arial" w:cs="Arial" w:eastAsia="Arial" w:hAnsi="Arial"/>
                <w:sz w:val="16"/>
                <w:szCs w:val="16"/>
                <w:color w:val="032E5C"/>
              </w:rPr>
              <w:t>and technologies that promise to</w:t>
            </w:r>
          </w:p>
        </w:tc>
      </w:tr>
      <w:tr>
        <w:trPr>
          <w:trHeight w:val="216"/>
        </w:trPr>
        <w:tc>
          <w:tcPr>
            <w:tcW w:w="2520" w:type="dxa"/>
            <w:vAlign w:val="bottom"/>
          </w:tcPr>
          <w:p>
            <w:pPr>
              <w:jc w:val="center"/>
              <w:ind w:right="99"/>
              <w:spacing w:after="0"/>
              <w:rPr>
                <w:sz w:val="20"/>
                <w:szCs w:val="20"/>
                <w:color w:val="auto"/>
              </w:rPr>
            </w:pPr>
            <w:r>
              <w:rPr>
                <w:rFonts w:ascii="Arial" w:cs="Arial" w:eastAsia="Arial" w:hAnsi="Arial"/>
                <w:sz w:val="16"/>
                <w:szCs w:val="16"/>
                <w:color w:val="032E5C"/>
              </w:rPr>
              <w:t>with Plant-A Insights, this award</w:t>
            </w:r>
          </w:p>
        </w:tc>
        <w:tc>
          <w:tcPr>
            <w:tcW w:w="2780" w:type="dxa"/>
            <w:vAlign w:val="bottom"/>
          </w:tcPr>
          <w:p>
            <w:pPr>
              <w:jc w:val="center"/>
              <w:spacing w:after="0"/>
              <w:rPr>
                <w:sz w:val="20"/>
                <w:szCs w:val="20"/>
                <w:color w:val="auto"/>
              </w:rPr>
            </w:pPr>
            <w:r>
              <w:rPr>
                <w:rFonts w:ascii="Arial" w:cs="Arial" w:eastAsia="Arial" w:hAnsi="Arial"/>
                <w:sz w:val="16"/>
                <w:szCs w:val="16"/>
                <w:color w:val="032E5C"/>
              </w:rPr>
              <w:t>identifies public and private</w:t>
            </w:r>
          </w:p>
        </w:tc>
        <w:tc>
          <w:tcPr>
            <w:tcW w:w="2760" w:type="dxa"/>
            <w:vAlign w:val="bottom"/>
          </w:tcPr>
          <w:p>
            <w:pPr>
              <w:jc w:val="center"/>
              <w:spacing w:after="0"/>
              <w:rPr>
                <w:sz w:val="20"/>
                <w:szCs w:val="20"/>
                <w:color w:val="auto"/>
              </w:rPr>
            </w:pPr>
            <w:r>
              <w:rPr>
                <w:rFonts w:ascii="Arial" w:cs="Arial" w:eastAsia="Arial" w:hAnsi="Arial"/>
                <w:sz w:val="16"/>
                <w:szCs w:val="16"/>
                <w:color w:val="032E5C"/>
              </w:rPr>
              <w:t>Midsize Companies list</w:t>
            </w:r>
          </w:p>
        </w:tc>
        <w:tc>
          <w:tcPr>
            <w:tcW w:w="2540" w:type="dxa"/>
            <w:vAlign w:val="bottom"/>
          </w:tcPr>
          <w:p>
            <w:pPr>
              <w:jc w:val="center"/>
              <w:ind w:left="119"/>
              <w:spacing w:after="0"/>
              <w:rPr>
                <w:sz w:val="20"/>
                <w:szCs w:val="20"/>
                <w:color w:val="auto"/>
              </w:rPr>
            </w:pPr>
            <w:r>
              <w:rPr>
                <w:rFonts w:ascii="Arial" w:cs="Arial" w:eastAsia="Arial" w:hAnsi="Arial"/>
                <w:sz w:val="16"/>
                <w:szCs w:val="16"/>
                <w:color w:val="032E5C"/>
              </w:rPr>
              <w:t>transform the world across 58</w:t>
            </w:r>
          </w:p>
        </w:tc>
      </w:tr>
      <w:tr>
        <w:trPr>
          <w:trHeight w:val="204"/>
        </w:trPr>
        <w:tc>
          <w:tcPr>
            <w:tcW w:w="2520" w:type="dxa"/>
            <w:vAlign w:val="bottom"/>
          </w:tcPr>
          <w:p>
            <w:pPr>
              <w:jc w:val="center"/>
              <w:ind w:right="99"/>
              <w:spacing w:after="0"/>
              <w:rPr>
                <w:sz w:val="20"/>
                <w:szCs w:val="20"/>
                <w:color w:val="auto"/>
              </w:rPr>
            </w:pPr>
            <w:r>
              <w:rPr>
                <w:rFonts w:ascii="Arial" w:cs="Arial" w:eastAsia="Arial" w:hAnsi="Arial"/>
                <w:sz w:val="16"/>
                <w:szCs w:val="16"/>
                <w:color w:val="032E5C"/>
              </w:rPr>
              <w:t>looked at the “inspirational” and</w:t>
            </w:r>
          </w:p>
        </w:tc>
        <w:tc>
          <w:tcPr>
            <w:tcW w:w="2780" w:type="dxa"/>
            <w:vAlign w:val="bottom"/>
          </w:tcPr>
          <w:p>
            <w:pPr>
              <w:jc w:val="center"/>
              <w:spacing w:after="0"/>
              <w:rPr>
                <w:sz w:val="20"/>
                <w:szCs w:val="20"/>
                <w:color w:val="auto"/>
              </w:rPr>
            </w:pPr>
            <w:r>
              <w:rPr>
                <w:rFonts w:ascii="Arial" w:cs="Arial" w:eastAsia="Arial" w:hAnsi="Arial"/>
                <w:sz w:val="16"/>
                <w:szCs w:val="16"/>
                <w:color w:val="032E5C"/>
              </w:rPr>
              <w:t>companies across 23 industries,</w:t>
            </w:r>
          </w:p>
        </w:tc>
        <w:tc>
          <w:tcPr>
            <w:tcW w:w="2760" w:type="dxa"/>
            <w:vAlign w:val="bottom"/>
          </w:tcPr>
          <w:p>
            <w:pPr>
              <w:jc w:val="center"/>
              <w:spacing w:after="0"/>
              <w:rPr>
                <w:sz w:val="20"/>
                <w:szCs w:val="20"/>
                <w:color w:val="auto"/>
              </w:rPr>
            </w:pPr>
            <w:r>
              <w:rPr>
                <w:rFonts w:ascii="Arial" w:cs="Arial" w:eastAsia="Arial" w:hAnsi="Arial"/>
                <w:sz w:val="16"/>
                <w:szCs w:val="16"/>
                <w:color w:val="032E5C"/>
              </w:rPr>
              <w:t>recognizes Vail Resorts' efforts to</w:t>
            </w:r>
          </w:p>
        </w:tc>
        <w:tc>
          <w:tcPr>
            <w:tcW w:w="2540" w:type="dxa"/>
            <w:vAlign w:val="bottom"/>
          </w:tcPr>
          <w:p>
            <w:pPr>
              <w:jc w:val="center"/>
              <w:ind w:left="119"/>
              <w:spacing w:after="0"/>
              <w:rPr>
                <w:sz w:val="20"/>
                <w:szCs w:val="20"/>
                <w:color w:val="auto"/>
              </w:rPr>
            </w:pPr>
            <w:r>
              <w:rPr>
                <w:rFonts w:ascii="Arial" w:cs="Arial" w:eastAsia="Arial" w:hAnsi="Arial"/>
                <w:sz w:val="16"/>
                <w:szCs w:val="16"/>
                <w:color w:val="032E5C"/>
              </w:rPr>
              <w:t>industries and sectors. For</w:t>
            </w:r>
          </w:p>
        </w:tc>
      </w:tr>
      <w:tr>
        <w:trPr>
          <w:trHeight w:val="215"/>
        </w:trPr>
        <w:tc>
          <w:tcPr>
            <w:tcW w:w="2520" w:type="dxa"/>
            <w:vAlign w:val="bottom"/>
          </w:tcPr>
          <w:p>
            <w:pPr>
              <w:jc w:val="center"/>
              <w:ind w:right="99"/>
              <w:spacing w:after="0"/>
              <w:rPr>
                <w:sz w:val="20"/>
                <w:szCs w:val="20"/>
                <w:color w:val="auto"/>
              </w:rPr>
            </w:pPr>
            <w:r>
              <w:rPr>
                <w:rFonts w:ascii="Arial" w:cs="Arial" w:eastAsia="Arial" w:hAnsi="Arial"/>
                <w:sz w:val="16"/>
                <w:szCs w:val="16"/>
                <w:color w:val="032E5C"/>
              </w:rPr>
              <w:t>“aspirational” factors and</w:t>
            </w:r>
          </w:p>
        </w:tc>
        <w:tc>
          <w:tcPr>
            <w:tcW w:w="2780" w:type="dxa"/>
            <w:vAlign w:val="bottom"/>
          </w:tcPr>
          <w:p>
            <w:pPr>
              <w:jc w:val="center"/>
              <w:spacing w:after="0"/>
              <w:rPr>
                <w:sz w:val="20"/>
                <w:szCs w:val="20"/>
                <w:color w:val="auto"/>
              </w:rPr>
            </w:pPr>
            <w:r>
              <w:rPr>
                <w:rFonts w:ascii="Arial" w:cs="Arial" w:eastAsia="Arial" w:hAnsi="Arial"/>
                <w:sz w:val="16"/>
                <w:szCs w:val="16"/>
                <w:color w:val="032E5C"/>
              </w:rPr>
              <w:t>based on the evaluations of</w:t>
            </w:r>
          </w:p>
        </w:tc>
        <w:tc>
          <w:tcPr>
            <w:tcW w:w="2760" w:type="dxa"/>
            <w:vAlign w:val="bottom"/>
          </w:tcPr>
          <w:p>
            <w:pPr>
              <w:jc w:val="center"/>
              <w:spacing w:after="0"/>
              <w:rPr>
                <w:sz w:val="20"/>
                <w:szCs w:val="20"/>
                <w:color w:val="auto"/>
              </w:rPr>
            </w:pPr>
            <w:r>
              <w:rPr>
                <w:rFonts w:ascii="Arial" w:cs="Arial" w:eastAsia="Arial" w:hAnsi="Arial"/>
                <w:sz w:val="16"/>
                <w:szCs w:val="16"/>
                <w:color w:val="032E5C"/>
              </w:rPr>
              <w:t>grow and excel in sustainability</w:t>
            </w:r>
          </w:p>
        </w:tc>
        <w:tc>
          <w:tcPr>
            <w:tcW w:w="2540" w:type="dxa"/>
            <w:vAlign w:val="bottom"/>
          </w:tcPr>
          <w:p>
            <w:pPr>
              <w:jc w:val="center"/>
              <w:ind w:left="119"/>
              <w:spacing w:after="0"/>
              <w:rPr>
                <w:sz w:val="20"/>
                <w:szCs w:val="20"/>
                <w:color w:val="auto"/>
              </w:rPr>
            </w:pPr>
            <w:r>
              <w:rPr>
                <w:rFonts w:ascii="Arial" w:cs="Arial" w:eastAsia="Arial" w:hAnsi="Arial"/>
                <w:sz w:val="16"/>
                <w:szCs w:val="16"/>
                <w:color w:val="032E5C"/>
              </w:rPr>
              <w:t>launching a first-of-its-kind ski</w:t>
            </w:r>
          </w:p>
        </w:tc>
      </w:tr>
      <w:tr>
        <w:trPr>
          <w:trHeight w:val="204"/>
        </w:trPr>
        <w:tc>
          <w:tcPr>
            <w:tcW w:w="2520" w:type="dxa"/>
            <w:vAlign w:val="bottom"/>
          </w:tcPr>
          <w:p>
            <w:pPr>
              <w:jc w:val="center"/>
              <w:ind w:right="99"/>
              <w:spacing w:after="0"/>
              <w:rPr>
                <w:sz w:val="20"/>
                <w:szCs w:val="20"/>
                <w:color w:val="auto"/>
              </w:rPr>
            </w:pPr>
            <w:r>
              <w:rPr>
                <w:rFonts w:ascii="Arial" w:cs="Arial" w:eastAsia="Arial" w:hAnsi="Arial"/>
                <w:sz w:val="16"/>
                <w:szCs w:val="16"/>
                <w:color w:val="032E5C"/>
              </w:rPr>
              <w:t>performance of more than 400</w:t>
            </w:r>
          </w:p>
        </w:tc>
        <w:tc>
          <w:tcPr>
            <w:tcW w:w="2780" w:type="dxa"/>
            <w:vAlign w:val="bottom"/>
          </w:tcPr>
          <w:p>
            <w:pPr>
              <w:jc w:val="center"/>
              <w:spacing w:after="0"/>
              <w:rPr>
                <w:sz w:val="20"/>
                <w:szCs w:val="20"/>
                <w:color w:val="auto"/>
              </w:rPr>
            </w:pPr>
            <w:r>
              <w:rPr>
                <w:rFonts w:ascii="Arial" w:cs="Arial" w:eastAsia="Arial" w:hAnsi="Arial"/>
                <w:sz w:val="16"/>
                <w:szCs w:val="16"/>
                <w:color w:val="032E5C"/>
              </w:rPr>
              <w:t>25,000 Americans. Companies</w:t>
            </w:r>
          </w:p>
        </w:tc>
        <w:tc>
          <w:tcPr>
            <w:tcW w:w="2760" w:type="dxa"/>
            <w:vAlign w:val="bottom"/>
          </w:tcPr>
          <w:p>
            <w:pPr>
              <w:jc w:val="center"/>
              <w:spacing w:after="0"/>
              <w:rPr>
                <w:sz w:val="20"/>
                <w:szCs w:val="20"/>
                <w:color w:val="auto"/>
              </w:rPr>
            </w:pPr>
            <w:r>
              <w:rPr>
                <w:rFonts w:ascii="Arial" w:cs="Arial" w:eastAsia="Arial" w:hAnsi="Arial"/>
                <w:sz w:val="16"/>
                <w:szCs w:val="16"/>
                <w:color w:val="032E5C"/>
              </w:rPr>
              <w:t>transparency, employee</w:t>
            </w:r>
          </w:p>
        </w:tc>
        <w:tc>
          <w:tcPr>
            <w:tcW w:w="2540" w:type="dxa"/>
            <w:vAlign w:val="bottom"/>
          </w:tcPr>
          <w:p>
            <w:pPr>
              <w:jc w:val="center"/>
              <w:ind w:left="119"/>
              <w:spacing w:after="0"/>
              <w:rPr>
                <w:sz w:val="20"/>
                <w:szCs w:val="20"/>
                <w:color w:val="auto"/>
              </w:rPr>
            </w:pPr>
            <w:r>
              <w:rPr>
                <w:rFonts w:ascii="Arial" w:cs="Arial" w:eastAsia="Arial" w:hAnsi="Arial"/>
                <w:sz w:val="16"/>
                <w:szCs w:val="16"/>
                <w:color w:val="032E5C"/>
              </w:rPr>
              <w:t>gear membership program, Vail</w:t>
            </w:r>
          </w:p>
        </w:tc>
      </w:tr>
      <w:tr>
        <w:trPr>
          <w:trHeight w:val="215"/>
        </w:trPr>
        <w:tc>
          <w:tcPr>
            <w:tcW w:w="2520" w:type="dxa"/>
            <w:vAlign w:val="bottom"/>
          </w:tcPr>
          <w:p>
            <w:pPr>
              <w:jc w:val="center"/>
              <w:ind w:right="99"/>
              <w:spacing w:after="0"/>
              <w:rPr>
                <w:sz w:val="20"/>
                <w:szCs w:val="20"/>
                <w:color w:val="auto"/>
              </w:rPr>
            </w:pPr>
            <w:r>
              <w:rPr>
                <w:rFonts w:ascii="Arial" w:cs="Arial" w:eastAsia="Arial" w:hAnsi="Arial"/>
                <w:sz w:val="16"/>
                <w:szCs w:val="16"/>
                <w:color w:val="032E5C"/>
              </w:rPr>
              <w:t>companies.</w:t>
            </w:r>
          </w:p>
        </w:tc>
        <w:tc>
          <w:tcPr>
            <w:tcW w:w="2780" w:type="dxa"/>
            <w:vAlign w:val="bottom"/>
          </w:tcPr>
          <w:p>
            <w:pPr>
              <w:jc w:val="center"/>
              <w:spacing w:after="0"/>
              <w:rPr>
                <w:sz w:val="20"/>
                <w:szCs w:val="20"/>
                <w:color w:val="auto"/>
              </w:rPr>
            </w:pPr>
            <w:r>
              <w:rPr>
                <w:rFonts w:ascii="Arial" w:cs="Arial" w:eastAsia="Arial" w:hAnsi="Arial"/>
                <w:sz w:val="16"/>
                <w:szCs w:val="16"/>
                <w:color w:val="032E5C"/>
              </w:rPr>
              <w:t>are ranked on customer, investor,</w:t>
            </w:r>
          </w:p>
        </w:tc>
        <w:tc>
          <w:tcPr>
            <w:tcW w:w="2760" w:type="dxa"/>
            <w:vAlign w:val="bottom"/>
          </w:tcPr>
          <w:p>
            <w:pPr>
              <w:jc w:val="center"/>
              <w:spacing w:after="0"/>
              <w:rPr>
                <w:sz w:val="20"/>
                <w:szCs w:val="20"/>
                <w:color w:val="auto"/>
              </w:rPr>
            </w:pPr>
            <w:r>
              <w:rPr>
                <w:rFonts w:ascii="Arial" w:cs="Arial" w:eastAsia="Arial" w:hAnsi="Arial"/>
                <w:sz w:val="16"/>
                <w:szCs w:val="16"/>
                <w:color w:val="032E5C"/>
              </w:rPr>
              <w:t>satisfaction, and revenue growth.</w:t>
            </w:r>
          </w:p>
        </w:tc>
        <w:tc>
          <w:tcPr>
            <w:tcW w:w="2540" w:type="dxa"/>
            <w:vAlign w:val="bottom"/>
          </w:tcPr>
          <w:p>
            <w:pPr>
              <w:jc w:val="center"/>
              <w:ind w:left="139"/>
              <w:spacing w:after="0"/>
              <w:rPr>
                <w:sz w:val="20"/>
                <w:szCs w:val="20"/>
                <w:color w:val="auto"/>
              </w:rPr>
            </w:pPr>
            <w:r>
              <w:rPr>
                <w:rFonts w:ascii="Arial" w:cs="Arial" w:eastAsia="Arial" w:hAnsi="Arial"/>
                <w:sz w:val="16"/>
                <w:szCs w:val="16"/>
                <w:color w:val="032E5C"/>
              </w:rPr>
              <w:t>Resorts is one of the most</w:t>
            </w:r>
          </w:p>
        </w:tc>
      </w:tr>
      <w:tr>
        <w:trPr>
          <w:trHeight w:val="204"/>
        </w:trPr>
        <w:tc>
          <w:tcPr>
            <w:tcW w:w="252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032E5C"/>
              </w:rPr>
              <w:t>and employee trust.</w:t>
            </w:r>
          </w:p>
        </w:tc>
        <w:tc>
          <w:tcPr>
            <w:tcW w:w="2760" w:type="dxa"/>
            <w:vAlign w:val="bottom"/>
          </w:tcPr>
          <w:p>
            <w:pPr>
              <w:spacing w:after="0"/>
              <w:rPr>
                <w:sz w:val="17"/>
                <w:szCs w:val="17"/>
                <w:color w:val="auto"/>
              </w:rPr>
            </w:pPr>
          </w:p>
        </w:tc>
        <w:tc>
          <w:tcPr>
            <w:tcW w:w="2540" w:type="dxa"/>
            <w:vAlign w:val="bottom"/>
          </w:tcPr>
          <w:p>
            <w:pPr>
              <w:jc w:val="center"/>
              <w:ind w:left="119"/>
              <w:spacing w:after="0"/>
              <w:rPr>
                <w:sz w:val="20"/>
                <w:szCs w:val="20"/>
                <w:color w:val="auto"/>
              </w:rPr>
            </w:pPr>
            <w:r>
              <w:rPr>
                <w:rFonts w:ascii="Arial" w:cs="Arial" w:eastAsia="Arial" w:hAnsi="Arial"/>
                <w:sz w:val="16"/>
                <w:szCs w:val="16"/>
                <w:color w:val="032E5C"/>
              </w:rPr>
              <w:t>innovative travel companies of</w:t>
            </w:r>
          </w:p>
        </w:tc>
      </w:tr>
      <w:tr>
        <w:trPr>
          <w:trHeight w:val="215"/>
        </w:trPr>
        <w:tc>
          <w:tcPr>
            <w:tcW w:w="25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540" w:type="dxa"/>
            <w:vAlign w:val="bottom"/>
          </w:tcPr>
          <w:p>
            <w:pPr>
              <w:jc w:val="center"/>
              <w:ind w:left="139"/>
              <w:spacing w:after="0"/>
              <w:rPr>
                <w:sz w:val="20"/>
                <w:szCs w:val="20"/>
                <w:color w:val="auto"/>
              </w:rPr>
            </w:pPr>
            <w:r>
              <w:rPr>
                <w:rFonts w:ascii="Arial" w:cs="Arial" w:eastAsia="Arial" w:hAnsi="Arial"/>
                <w:sz w:val="16"/>
                <w:szCs w:val="16"/>
                <w:color w:val="032E5C"/>
                <w:w w:val="99"/>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387350</wp:posOffset>
            </wp:positionV>
            <wp:extent cx="1311275" cy="737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11275" cy="73723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344170</wp:posOffset>
            </wp:positionV>
            <wp:extent cx="822960" cy="8229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387350</wp:posOffset>
            </wp:positionV>
            <wp:extent cx="1337310" cy="737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731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jc w:val="center"/>
              <w:ind w:left="339"/>
              <w:spacing w:after="0"/>
              <w:rPr>
                <w:sz w:val="20"/>
                <w:szCs w:val="20"/>
                <w:color w:val="auto"/>
              </w:rPr>
            </w:pPr>
            <w:r>
              <w:rPr>
                <w:rFonts w:ascii="Arial" w:cs="Arial" w:eastAsia="Arial" w:hAnsi="Arial"/>
                <w:sz w:val="16"/>
                <w:szCs w:val="16"/>
                <w:b w:val="1"/>
                <w:bCs w:val="1"/>
                <w:color w:val="032E5C"/>
              </w:rPr>
              <w:t>Skift IDEA Awards -</w:t>
            </w:r>
          </w:p>
        </w:tc>
        <w:tc>
          <w:tcPr>
            <w:tcW w:w="3340" w:type="dxa"/>
            <w:vAlign w:val="bottom"/>
          </w:tcPr>
          <w:p>
            <w:pPr>
              <w:jc w:val="center"/>
              <w:spacing w:after="0"/>
              <w:rPr>
                <w:sz w:val="20"/>
                <w:szCs w:val="20"/>
                <w:color w:val="auto"/>
              </w:rPr>
            </w:pPr>
            <w:r>
              <w:rPr>
                <w:rFonts w:ascii="Arial" w:cs="Arial" w:eastAsia="Arial" w:hAnsi="Arial"/>
                <w:sz w:val="16"/>
                <w:szCs w:val="16"/>
                <w:b w:val="1"/>
                <w:bCs w:val="1"/>
                <w:color w:val="032E5C"/>
              </w:rPr>
              <w:t>National Ski Areas Association</w:t>
            </w:r>
          </w:p>
        </w:tc>
        <w:tc>
          <w:tcPr>
            <w:tcW w:w="3940" w:type="dxa"/>
            <w:vAlign w:val="bottom"/>
          </w:tcPr>
          <w:p>
            <w:pPr>
              <w:jc w:val="center"/>
              <w:ind w:right="419"/>
              <w:spacing w:after="0"/>
              <w:rPr>
                <w:sz w:val="20"/>
                <w:szCs w:val="20"/>
                <w:color w:val="auto"/>
              </w:rPr>
            </w:pPr>
            <w:r>
              <w:rPr>
                <w:rFonts w:ascii="Arial" w:cs="Arial" w:eastAsia="Arial" w:hAnsi="Arial"/>
                <w:sz w:val="16"/>
                <w:szCs w:val="16"/>
                <w:b w:val="1"/>
                <w:bCs w:val="1"/>
                <w:color w:val="032E5C"/>
              </w:rPr>
              <w:t>Mountain Travel</w:t>
            </w:r>
          </w:p>
        </w:tc>
        <w:tc>
          <w:tcPr>
            <w:tcW w:w="0" w:type="dxa"/>
            <w:vAlign w:val="bottom"/>
          </w:tcPr>
          <w:p>
            <w:pPr>
              <w:spacing w:after="0"/>
              <w:rPr>
                <w:sz w:val="1"/>
                <w:szCs w:val="1"/>
                <w:color w:val="auto"/>
              </w:rPr>
            </w:pPr>
          </w:p>
        </w:tc>
      </w:tr>
      <w:tr>
        <w:trPr>
          <w:trHeight w:val="189"/>
        </w:trPr>
        <w:tc>
          <w:tcPr>
            <w:tcW w:w="3960" w:type="dxa"/>
            <w:vAlign w:val="bottom"/>
          </w:tcPr>
          <w:p>
            <w:pPr>
              <w:jc w:val="center"/>
              <w:ind w:left="339"/>
              <w:spacing w:after="0"/>
              <w:rPr>
                <w:sz w:val="20"/>
                <w:szCs w:val="20"/>
                <w:color w:val="auto"/>
              </w:rPr>
            </w:pPr>
            <w:r>
              <w:rPr>
                <w:rFonts w:ascii="Arial" w:cs="Arial" w:eastAsia="Arial" w:hAnsi="Arial"/>
                <w:sz w:val="16"/>
                <w:szCs w:val="16"/>
                <w:b w:val="1"/>
                <w:bCs w:val="1"/>
                <w:color w:val="032E5C"/>
              </w:rPr>
              <w:t>DEI Champion, Epic</w:t>
            </w:r>
          </w:p>
        </w:tc>
        <w:tc>
          <w:tcPr>
            <w:tcW w:w="3340" w:type="dxa"/>
            <w:vAlign w:val="bottom"/>
          </w:tcPr>
          <w:p>
            <w:pPr>
              <w:jc w:val="center"/>
              <w:spacing w:after="0"/>
              <w:rPr>
                <w:sz w:val="20"/>
                <w:szCs w:val="20"/>
                <w:color w:val="auto"/>
              </w:rPr>
            </w:pPr>
            <w:r>
              <w:rPr>
                <w:rFonts w:ascii="Arial" w:cs="Arial" w:eastAsia="Arial" w:hAnsi="Arial"/>
                <w:sz w:val="16"/>
                <w:szCs w:val="16"/>
                <w:b w:val="1"/>
                <w:bCs w:val="1"/>
                <w:color w:val="032E5C"/>
              </w:rPr>
              <w:t>Marketing Awards -</w:t>
            </w:r>
          </w:p>
        </w:tc>
        <w:tc>
          <w:tcPr>
            <w:tcW w:w="3940" w:type="dxa"/>
            <w:vAlign w:val="bottom"/>
          </w:tcPr>
          <w:p>
            <w:pPr>
              <w:jc w:val="center"/>
              <w:ind w:right="419"/>
              <w:spacing w:after="0"/>
              <w:rPr>
                <w:sz w:val="20"/>
                <w:szCs w:val="20"/>
                <w:color w:val="auto"/>
              </w:rPr>
            </w:pPr>
            <w:r>
              <w:rPr>
                <w:rFonts w:ascii="Arial" w:cs="Arial" w:eastAsia="Arial" w:hAnsi="Arial"/>
                <w:sz w:val="16"/>
                <w:szCs w:val="16"/>
                <w:b w:val="1"/>
                <w:bCs w:val="1"/>
                <w:color w:val="032E5C"/>
              </w:rPr>
              <w:t>Symposium</w:t>
            </w:r>
          </w:p>
        </w:tc>
        <w:tc>
          <w:tcPr>
            <w:tcW w:w="0" w:type="dxa"/>
            <w:vAlign w:val="bottom"/>
          </w:tcPr>
          <w:p>
            <w:pPr>
              <w:spacing w:after="0"/>
              <w:rPr>
                <w:sz w:val="1"/>
                <w:szCs w:val="1"/>
                <w:color w:val="auto"/>
              </w:rPr>
            </w:pPr>
          </w:p>
        </w:tc>
      </w:tr>
      <w:tr>
        <w:trPr>
          <w:trHeight w:val="189"/>
        </w:trPr>
        <w:tc>
          <w:tcPr>
            <w:tcW w:w="3960" w:type="dxa"/>
            <w:vAlign w:val="bottom"/>
          </w:tcPr>
          <w:p>
            <w:pPr>
              <w:jc w:val="center"/>
              <w:ind w:left="339"/>
              <w:spacing w:after="0"/>
              <w:rPr>
                <w:sz w:val="20"/>
                <w:szCs w:val="20"/>
                <w:color w:val="auto"/>
              </w:rPr>
            </w:pPr>
            <w:r>
              <w:rPr>
                <w:rFonts w:ascii="Arial" w:cs="Arial" w:eastAsia="Arial" w:hAnsi="Arial"/>
                <w:sz w:val="16"/>
                <w:szCs w:val="16"/>
                <w:b w:val="1"/>
                <w:bCs w:val="1"/>
                <w:color w:val="032E5C"/>
              </w:rPr>
              <w:t>for Everyone Inclusive</w:t>
            </w:r>
          </w:p>
        </w:tc>
        <w:tc>
          <w:tcPr>
            <w:tcW w:w="3340" w:type="dxa"/>
            <w:vAlign w:val="bottom"/>
          </w:tcPr>
          <w:p>
            <w:pPr>
              <w:jc w:val="center"/>
              <w:spacing w:after="0"/>
              <w:rPr>
                <w:sz w:val="20"/>
                <w:szCs w:val="20"/>
                <w:color w:val="auto"/>
              </w:rPr>
            </w:pPr>
            <w:r>
              <w:rPr>
                <w:rFonts w:ascii="Arial" w:cs="Arial" w:eastAsia="Arial" w:hAnsi="Arial"/>
                <w:sz w:val="16"/>
                <w:szCs w:val="16"/>
                <w:b w:val="1"/>
                <w:bCs w:val="1"/>
                <w:color w:val="032E5C"/>
              </w:rPr>
              <w:t>The Mountains are for</w:t>
            </w:r>
          </w:p>
        </w:tc>
        <w:tc>
          <w:tcPr>
            <w:tcW w:w="3940" w:type="dxa"/>
            <w:vAlign w:val="bottom"/>
          </w:tcPr>
          <w:p>
            <w:pPr>
              <w:jc w:val="center"/>
              <w:ind w:right="419"/>
              <w:spacing w:after="0"/>
              <w:rPr>
                <w:sz w:val="20"/>
                <w:szCs w:val="20"/>
                <w:color w:val="auto"/>
              </w:rPr>
            </w:pPr>
            <w:r>
              <w:rPr>
                <w:rFonts w:ascii="Arial" w:cs="Arial" w:eastAsia="Arial" w:hAnsi="Arial"/>
                <w:sz w:val="16"/>
                <w:szCs w:val="16"/>
                <w:b w:val="1"/>
                <w:bCs w:val="1"/>
                <w:color w:val="032E5C"/>
              </w:rPr>
              <w:t>Summit Awards -</w:t>
            </w:r>
          </w:p>
        </w:tc>
        <w:tc>
          <w:tcPr>
            <w:tcW w:w="0" w:type="dxa"/>
            <w:vAlign w:val="bottom"/>
          </w:tcPr>
          <w:p>
            <w:pPr>
              <w:spacing w:after="0"/>
              <w:rPr>
                <w:sz w:val="1"/>
                <w:szCs w:val="1"/>
                <w:color w:val="auto"/>
              </w:rPr>
            </w:pPr>
          </w:p>
        </w:tc>
      </w:tr>
      <w:tr>
        <w:trPr>
          <w:trHeight w:val="203"/>
        </w:trPr>
        <w:tc>
          <w:tcPr>
            <w:tcW w:w="3960" w:type="dxa"/>
            <w:vAlign w:val="bottom"/>
          </w:tcPr>
          <w:p>
            <w:pPr>
              <w:jc w:val="center"/>
              <w:ind w:left="399"/>
              <w:spacing w:after="0"/>
              <w:rPr>
                <w:sz w:val="20"/>
                <w:szCs w:val="20"/>
                <w:color w:val="auto"/>
              </w:rPr>
            </w:pPr>
            <w:r>
              <w:rPr>
                <w:rFonts w:ascii="Arial" w:cs="Arial" w:eastAsia="Arial" w:hAnsi="Arial"/>
                <w:sz w:val="16"/>
                <w:szCs w:val="16"/>
                <w:b w:val="1"/>
                <w:bCs w:val="1"/>
                <w:color w:val="032E5C"/>
              </w:rPr>
              <w:t>Access Programs</w:t>
            </w:r>
          </w:p>
        </w:tc>
        <w:tc>
          <w:tcPr>
            <w:tcW w:w="3340" w:type="dxa"/>
            <w:vAlign w:val="bottom"/>
          </w:tcPr>
          <w:p>
            <w:pPr>
              <w:jc w:val="center"/>
              <w:spacing w:after="0"/>
              <w:rPr>
                <w:sz w:val="20"/>
                <w:szCs w:val="20"/>
                <w:color w:val="auto"/>
              </w:rPr>
            </w:pPr>
            <w:r>
              <w:rPr>
                <w:rFonts w:ascii="Arial" w:cs="Arial" w:eastAsia="Arial" w:hAnsi="Arial"/>
                <w:sz w:val="16"/>
                <w:szCs w:val="16"/>
                <w:b w:val="1"/>
                <w:bCs w:val="1"/>
                <w:color w:val="032E5C"/>
              </w:rPr>
              <w:t>Everyone, The Gondola</w:t>
            </w:r>
          </w:p>
        </w:tc>
        <w:tc>
          <w:tcPr>
            <w:tcW w:w="3940" w:type="dxa"/>
            <w:vAlign w:val="bottom"/>
          </w:tcPr>
          <w:p>
            <w:pPr>
              <w:jc w:val="center"/>
              <w:ind w:right="379"/>
              <w:spacing w:after="0"/>
              <w:rPr>
                <w:sz w:val="20"/>
                <w:szCs w:val="20"/>
                <w:color w:val="auto"/>
              </w:rPr>
            </w:pPr>
            <w:r>
              <w:rPr>
                <w:rFonts w:ascii="Arial" w:cs="Arial" w:eastAsia="Arial" w:hAnsi="Arial"/>
                <w:sz w:val="16"/>
                <w:szCs w:val="16"/>
                <w:b w:val="1"/>
                <w:bCs w:val="1"/>
                <w:color w:val="032E5C"/>
              </w:rPr>
              <w:t>Epic Wellness</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6"/>
                <w:szCs w:val="16"/>
                <w:b w:val="1"/>
                <w:bCs w:val="1"/>
                <w:color w:val="032E5C"/>
              </w:rPr>
              <w:t>Gallery by Epic</w:t>
            </w: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960" w:type="dxa"/>
            <w:vAlign w:val="bottom"/>
          </w:tcPr>
          <w:p>
            <w:pPr>
              <w:jc w:val="center"/>
              <w:ind w:left="399"/>
              <w:spacing w:after="0"/>
              <w:rPr>
                <w:sz w:val="20"/>
                <w:szCs w:val="20"/>
                <w:color w:val="auto"/>
              </w:rPr>
            </w:pPr>
            <w:r>
              <w:rPr>
                <w:rFonts w:ascii="Arial" w:cs="Arial" w:eastAsia="Arial" w:hAnsi="Arial"/>
                <w:sz w:val="16"/>
                <w:szCs w:val="16"/>
                <w:color w:val="032E5C"/>
              </w:rPr>
              <w:t>Skift is an internationally regarded travel</w:t>
            </w:r>
          </w:p>
        </w:tc>
        <w:tc>
          <w:tcPr>
            <w:tcW w:w="3340" w:type="dxa"/>
            <w:vAlign w:val="bottom"/>
          </w:tcPr>
          <w:p>
            <w:pPr>
              <w:jc w:val="center"/>
              <w:spacing w:after="0"/>
              <w:rPr>
                <w:sz w:val="20"/>
                <w:szCs w:val="20"/>
                <w:color w:val="auto"/>
              </w:rPr>
            </w:pPr>
            <w:r>
              <w:rPr>
                <w:rFonts w:ascii="Arial" w:cs="Arial" w:eastAsia="Arial" w:hAnsi="Arial"/>
                <w:sz w:val="16"/>
                <w:szCs w:val="16"/>
                <w:color w:val="032E5C"/>
              </w:rPr>
              <w:t>The Mountains are for Everyone Award</w:t>
            </w:r>
          </w:p>
        </w:tc>
        <w:tc>
          <w:tcPr>
            <w:tcW w:w="3940" w:type="dxa"/>
            <w:vAlign w:val="bottom"/>
          </w:tcPr>
          <w:p>
            <w:pPr>
              <w:jc w:val="center"/>
              <w:ind w:right="359"/>
              <w:spacing w:after="0"/>
              <w:rPr>
                <w:sz w:val="20"/>
                <w:szCs w:val="20"/>
                <w:color w:val="auto"/>
              </w:rPr>
            </w:pPr>
            <w:r>
              <w:rPr>
                <w:rFonts w:ascii="Arial" w:cs="Arial" w:eastAsia="Arial" w:hAnsi="Arial"/>
                <w:sz w:val="16"/>
                <w:szCs w:val="16"/>
                <w:color w:val="032E5C"/>
              </w:rPr>
              <w:t>The MTS Summit Awards presented by</w:t>
            </w:r>
          </w:p>
        </w:tc>
        <w:tc>
          <w:tcPr>
            <w:tcW w:w="0" w:type="dxa"/>
            <w:vAlign w:val="bottom"/>
          </w:tcPr>
          <w:p>
            <w:pPr>
              <w:spacing w:after="0"/>
              <w:rPr>
                <w:sz w:val="1"/>
                <w:szCs w:val="1"/>
                <w:color w:val="auto"/>
              </w:rPr>
            </w:pPr>
          </w:p>
        </w:tc>
      </w:tr>
      <w:tr>
        <w:trPr>
          <w:trHeight w:val="204"/>
        </w:trPr>
        <w:tc>
          <w:tcPr>
            <w:tcW w:w="3960" w:type="dxa"/>
            <w:vAlign w:val="bottom"/>
          </w:tcPr>
          <w:p>
            <w:pPr>
              <w:jc w:val="center"/>
              <w:ind w:left="399"/>
              <w:spacing w:after="0"/>
              <w:rPr>
                <w:sz w:val="20"/>
                <w:szCs w:val="20"/>
                <w:color w:val="auto"/>
              </w:rPr>
            </w:pPr>
            <w:r>
              <w:rPr>
                <w:rFonts w:ascii="Arial" w:cs="Arial" w:eastAsia="Arial" w:hAnsi="Arial"/>
                <w:sz w:val="16"/>
                <w:szCs w:val="16"/>
                <w:color w:val="032E5C"/>
              </w:rPr>
              <w:t>publication, and the IDEA Awards, the</w:t>
            </w:r>
          </w:p>
        </w:tc>
        <w:tc>
          <w:tcPr>
            <w:tcW w:w="3340" w:type="dxa"/>
            <w:vAlign w:val="bottom"/>
          </w:tcPr>
          <w:p>
            <w:pPr>
              <w:jc w:val="center"/>
              <w:spacing w:after="0"/>
              <w:rPr>
                <w:sz w:val="20"/>
                <w:szCs w:val="20"/>
                <w:color w:val="auto"/>
              </w:rPr>
            </w:pPr>
            <w:r>
              <w:rPr>
                <w:rFonts w:ascii="Arial" w:cs="Arial" w:eastAsia="Arial" w:hAnsi="Arial"/>
                <w:sz w:val="16"/>
                <w:szCs w:val="16"/>
                <w:color w:val="032E5C"/>
              </w:rPr>
              <w:t>recognizes the ski area or resort group</w:t>
            </w:r>
          </w:p>
        </w:tc>
        <w:tc>
          <w:tcPr>
            <w:tcW w:w="3940" w:type="dxa"/>
            <w:vAlign w:val="bottom"/>
          </w:tcPr>
          <w:p>
            <w:pPr>
              <w:jc w:val="center"/>
              <w:ind w:right="379"/>
              <w:spacing w:after="0"/>
              <w:rPr>
                <w:sz w:val="20"/>
                <w:szCs w:val="20"/>
                <w:color w:val="auto"/>
              </w:rPr>
            </w:pPr>
            <w:r>
              <w:rPr>
                <w:rFonts w:ascii="Arial" w:cs="Arial" w:eastAsia="Arial" w:hAnsi="Arial"/>
                <w:sz w:val="16"/>
                <w:szCs w:val="16"/>
                <w:color w:val="032E5C"/>
              </w:rPr>
              <w:t>United, recognizes programs that focused</w:t>
            </w:r>
          </w:p>
        </w:tc>
        <w:tc>
          <w:tcPr>
            <w:tcW w:w="0" w:type="dxa"/>
            <w:vAlign w:val="bottom"/>
          </w:tcPr>
          <w:p>
            <w:pPr>
              <w:spacing w:after="0"/>
              <w:rPr>
                <w:sz w:val="1"/>
                <w:szCs w:val="1"/>
                <w:color w:val="auto"/>
              </w:rPr>
            </w:pPr>
          </w:p>
        </w:tc>
      </w:tr>
      <w:tr>
        <w:trPr>
          <w:trHeight w:val="215"/>
        </w:trPr>
        <w:tc>
          <w:tcPr>
            <w:tcW w:w="3960" w:type="dxa"/>
            <w:vAlign w:val="bottom"/>
          </w:tcPr>
          <w:p>
            <w:pPr>
              <w:jc w:val="center"/>
              <w:ind w:left="379"/>
              <w:spacing w:after="0"/>
              <w:rPr>
                <w:sz w:val="20"/>
                <w:szCs w:val="20"/>
                <w:color w:val="auto"/>
              </w:rPr>
            </w:pPr>
            <w:r>
              <w:rPr>
                <w:rFonts w:ascii="Arial" w:cs="Arial" w:eastAsia="Arial" w:hAnsi="Arial"/>
                <w:sz w:val="16"/>
                <w:szCs w:val="16"/>
                <w:color w:val="032E5C"/>
              </w:rPr>
              <w:t>travel industry’s most coveted award for</w:t>
            </w:r>
          </w:p>
        </w:tc>
        <w:tc>
          <w:tcPr>
            <w:tcW w:w="3340" w:type="dxa"/>
            <w:vAlign w:val="bottom"/>
          </w:tcPr>
          <w:p>
            <w:pPr>
              <w:jc w:val="center"/>
              <w:spacing w:after="0"/>
              <w:rPr>
                <w:sz w:val="20"/>
                <w:szCs w:val="20"/>
                <w:color w:val="auto"/>
              </w:rPr>
            </w:pPr>
            <w:r>
              <w:rPr>
                <w:rFonts w:ascii="Arial" w:cs="Arial" w:eastAsia="Arial" w:hAnsi="Arial"/>
                <w:sz w:val="16"/>
                <w:szCs w:val="16"/>
                <w:color w:val="032E5C"/>
              </w:rPr>
              <w:t>that has made inclusion a priority for</w:t>
            </w:r>
          </w:p>
        </w:tc>
        <w:tc>
          <w:tcPr>
            <w:tcW w:w="3940" w:type="dxa"/>
            <w:vAlign w:val="bottom"/>
          </w:tcPr>
          <w:p>
            <w:pPr>
              <w:jc w:val="center"/>
              <w:ind w:right="359"/>
              <w:spacing w:after="0"/>
              <w:rPr>
                <w:sz w:val="20"/>
                <w:szCs w:val="20"/>
                <w:color w:val="auto"/>
              </w:rPr>
            </w:pPr>
            <w:r>
              <w:rPr>
                <w:rFonts w:ascii="Arial" w:cs="Arial" w:eastAsia="Arial" w:hAnsi="Arial"/>
                <w:sz w:val="16"/>
                <w:szCs w:val="16"/>
                <w:color w:val="032E5C"/>
              </w:rPr>
              <w:t>on corporate responsibility, aligning with</w:t>
            </w:r>
          </w:p>
        </w:tc>
        <w:tc>
          <w:tcPr>
            <w:tcW w:w="0" w:type="dxa"/>
            <w:vAlign w:val="bottom"/>
          </w:tcPr>
          <w:p>
            <w:pPr>
              <w:spacing w:after="0"/>
              <w:rPr>
                <w:sz w:val="1"/>
                <w:szCs w:val="1"/>
                <w:color w:val="auto"/>
              </w:rPr>
            </w:pPr>
          </w:p>
        </w:tc>
      </w:tr>
      <w:tr>
        <w:trPr>
          <w:trHeight w:val="216"/>
        </w:trPr>
        <w:tc>
          <w:tcPr>
            <w:tcW w:w="3960" w:type="dxa"/>
            <w:vAlign w:val="bottom"/>
          </w:tcPr>
          <w:p>
            <w:pPr>
              <w:jc w:val="center"/>
              <w:ind w:left="379"/>
              <w:spacing w:after="0"/>
              <w:rPr>
                <w:sz w:val="20"/>
                <w:szCs w:val="20"/>
                <w:color w:val="auto"/>
              </w:rPr>
            </w:pPr>
            <w:r>
              <w:rPr>
                <w:rFonts w:ascii="Arial" w:cs="Arial" w:eastAsia="Arial" w:hAnsi="Arial"/>
                <w:sz w:val="16"/>
                <w:szCs w:val="16"/>
                <w:color w:val="032E5C"/>
              </w:rPr>
              <w:t>excellence in design, creativity, and</w:t>
            </w:r>
          </w:p>
        </w:tc>
        <w:tc>
          <w:tcPr>
            <w:tcW w:w="3340" w:type="dxa"/>
            <w:vAlign w:val="bottom"/>
          </w:tcPr>
          <w:p>
            <w:pPr>
              <w:jc w:val="center"/>
              <w:spacing w:after="0"/>
              <w:rPr>
                <w:sz w:val="20"/>
                <w:szCs w:val="20"/>
                <w:color w:val="auto"/>
              </w:rPr>
            </w:pPr>
            <w:r>
              <w:rPr>
                <w:rFonts w:ascii="Arial" w:cs="Arial" w:eastAsia="Arial" w:hAnsi="Arial"/>
                <w:sz w:val="16"/>
                <w:szCs w:val="16"/>
                <w:color w:val="032E5C"/>
              </w:rPr>
              <w:t>guests and/or staff. The Gondola Gallery</w:t>
            </w:r>
          </w:p>
        </w:tc>
        <w:tc>
          <w:tcPr>
            <w:tcW w:w="3940" w:type="dxa"/>
            <w:vAlign w:val="bottom"/>
          </w:tcPr>
          <w:p>
            <w:pPr>
              <w:jc w:val="center"/>
              <w:ind w:right="379"/>
              <w:spacing w:after="0"/>
              <w:rPr>
                <w:sz w:val="20"/>
                <w:szCs w:val="20"/>
                <w:color w:val="auto"/>
              </w:rPr>
            </w:pPr>
            <w:r>
              <w:rPr>
                <w:rFonts w:ascii="Arial" w:cs="Arial" w:eastAsia="Arial" w:hAnsi="Arial"/>
                <w:sz w:val="16"/>
                <w:szCs w:val="16"/>
                <w:color w:val="032E5C"/>
              </w:rPr>
              <w:t>United’s “Good Leads the Way” campaign.</w:t>
            </w:r>
          </w:p>
        </w:tc>
        <w:tc>
          <w:tcPr>
            <w:tcW w:w="0" w:type="dxa"/>
            <w:vAlign w:val="bottom"/>
          </w:tcPr>
          <w:p>
            <w:pPr>
              <w:spacing w:after="0"/>
              <w:rPr>
                <w:sz w:val="1"/>
                <w:szCs w:val="1"/>
                <w:color w:val="auto"/>
              </w:rPr>
            </w:pPr>
          </w:p>
        </w:tc>
      </w:tr>
      <w:tr>
        <w:trPr>
          <w:trHeight w:val="204"/>
        </w:trPr>
        <w:tc>
          <w:tcPr>
            <w:tcW w:w="3960" w:type="dxa"/>
            <w:vAlign w:val="bottom"/>
          </w:tcPr>
          <w:p>
            <w:pPr>
              <w:jc w:val="center"/>
              <w:ind w:left="399"/>
              <w:spacing w:after="0"/>
              <w:rPr>
                <w:sz w:val="20"/>
                <w:szCs w:val="20"/>
                <w:color w:val="auto"/>
              </w:rPr>
            </w:pPr>
            <w:r>
              <w:rPr>
                <w:rFonts w:ascii="Arial" w:cs="Arial" w:eastAsia="Arial" w:hAnsi="Arial"/>
                <w:sz w:val="16"/>
                <w:szCs w:val="16"/>
                <w:color w:val="032E5C"/>
              </w:rPr>
              <w:t>innovation, once again celebrates the</w:t>
            </w:r>
          </w:p>
        </w:tc>
        <w:tc>
          <w:tcPr>
            <w:tcW w:w="3340" w:type="dxa"/>
            <w:vAlign w:val="bottom"/>
          </w:tcPr>
          <w:p>
            <w:pPr>
              <w:jc w:val="center"/>
              <w:spacing w:after="0"/>
              <w:rPr>
                <w:sz w:val="20"/>
                <w:szCs w:val="20"/>
                <w:color w:val="auto"/>
              </w:rPr>
            </w:pPr>
            <w:r>
              <w:rPr>
                <w:rFonts w:ascii="Arial" w:cs="Arial" w:eastAsia="Arial" w:hAnsi="Arial"/>
                <w:sz w:val="16"/>
                <w:szCs w:val="16"/>
                <w:color w:val="032E5C"/>
              </w:rPr>
              <w:t>by Epic was recognized for incorporating</w:t>
            </w:r>
          </w:p>
        </w:tc>
        <w:tc>
          <w:tcPr>
            <w:tcW w:w="3940" w:type="dxa"/>
            <w:vAlign w:val="bottom"/>
          </w:tcPr>
          <w:p>
            <w:pPr>
              <w:jc w:val="center"/>
              <w:ind w:right="359"/>
              <w:spacing w:after="0"/>
              <w:rPr>
                <w:sz w:val="20"/>
                <w:szCs w:val="20"/>
                <w:color w:val="auto"/>
              </w:rPr>
            </w:pPr>
            <w:r>
              <w:rPr>
                <w:rFonts w:ascii="Arial" w:cs="Arial" w:eastAsia="Arial" w:hAnsi="Arial"/>
                <w:sz w:val="16"/>
                <w:szCs w:val="16"/>
                <w:color w:val="032E5C"/>
              </w:rPr>
              <w:t>Nominations were received in the areas of</w:t>
            </w:r>
          </w:p>
        </w:tc>
        <w:tc>
          <w:tcPr>
            <w:tcW w:w="0" w:type="dxa"/>
            <w:vAlign w:val="bottom"/>
          </w:tcPr>
          <w:p>
            <w:pPr>
              <w:spacing w:after="0"/>
              <w:rPr>
                <w:sz w:val="1"/>
                <w:szCs w:val="1"/>
                <w:color w:val="auto"/>
              </w:rPr>
            </w:pPr>
          </w:p>
        </w:tc>
      </w:tr>
      <w:tr>
        <w:trPr>
          <w:trHeight w:val="215"/>
        </w:trPr>
        <w:tc>
          <w:tcPr>
            <w:tcW w:w="3960" w:type="dxa"/>
            <w:vAlign w:val="bottom"/>
          </w:tcPr>
          <w:p>
            <w:pPr>
              <w:jc w:val="center"/>
              <w:ind w:left="379"/>
              <w:spacing w:after="0"/>
              <w:rPr>
                <w:sz w:val="20"/>
                <w:szCs w:val="20"/>
                <w:color w:val="auto"/>
              </w:rPr>
            </w:pPr>
            <w:r>
              <w:rPr>
                <w:rFonts w:ascii="Arial" w:cs="Arial" w:eastAsia="Arial" w:hAnsi="Arial"/>
                <w:sz w:val="16"/>
                <w:szCs w:val="16"/>
                <w:color w:val="032E5C"/>
              </w:rPr>
              <w:t>brands and businesses that are redefining</w:t>
            </w:r>
          </w:p>
        </w:tc>
        <w:tc>
          <w:tcPr>
            <w:tcW w:w="3340" w:type="dxa"/>
            <w:vAlign w:val="bottom"/>
          </w:tcPr>
          <w:p>
            <w:pPr>
              <w:jc w:val="center"/>
              <w:spacing w:after="0"/>
              <w:rPr>
                <w:sz w:val="20"/>
                <w:szCs w:val="20"/>
                <w:color w:val="auto"/>
              </w:rPr>
            </w:pPr>
            <w:r>
              <w:rPr>
                <w:rFonts w:ascii="Arial" w:cs="Arial" w:eastAsia="Arial" w:hAnsi="Arial"/>
                <w:sz w:val="16"/>
                <w:szCs w:val="16"/>
                <w:color w:val="032E5C"/>
              </w:rPr>
              <w:t>authentic representation and messaging</w:t>
            </w:r>
          </w:p>
        </w:tc>
        <w:tc>
          <w:tcPr>
            <w:tcW w:w="3940" w:type="dxa"/>
            <w:vAlign w:val="bottom"/>
          </w:tcPr>
          <w:p>
            <w:pPr>
              <w:jc w:val="center"/>
              <w:ind w:right="359"/>
              <w:spacing w:after="0"/>
              <w:rPr>
                <w:sz w:val="20"/>
                <w:szCs w:val="20"/>
                <w:color w:val="auto"/>
              </w:rPr>
            </w:pPr>
            <w:r>
              <w:rPr>
                <w:rFonts w:ascii="Arial" w:cs="Arial" w:eastAsia="Arial" w:hAnsi="Arial"/>
                <w:sz w:val="16"/>
                <w:szCs w:val="16"/>
                <w:color w:val="032E5C"/>
              </w:rPr>
              <w:t>employee advocacy, sustainability, DEI,</w:t>
            </w:r>
          </w:p>
        </w:tc>
        <w:tc>
          <w:tcPr>
            <w:tcW w:w="0" w:type="dxa"/>
            <w:vAlign w:val="bottom"/>
          </w:tcPr>
          <w:p>
            <w:pPr>
              <w:spacing w:after="0"/>
              <w:rPr>
                <w:sz w:val="1"/>
                <w:szCs w:val="1"/>
                <w:color w:val="auto"/>
              </w:rPr>
            </w:pPr>
          </w:p>
        </w:tc>
      </w:tr>
      <w:tr>
        <w:trPr>
          <w:trHeight w:val="204"/>
        </w:trPr>
        <w:tc>
          <w:tcPr>
            <w:tcW w:w="3960" w:type="dxa"/>
            <w:vAlign w:val="bottom"/>
          </w:tcPr>
          <w:p>
            <w:pPr>
              <w:jc w:val="center"/>
              <w:ind w:left="379"/>
              <w:spacing w:after="0"/>
              <w:rPr>
                <w:sz w:val="20"/>
                <w:szCs w:val="20"/>
                <w:color w:val="auto"/>
              </w:rPr>
            </w:pPr>
            <w:r>
              <w:rPr>
                <w:rFonts w:ascii="Arial" w:cs="Arial" w:eastAsia="Arial" w:hAnsi="Arial"/>
                <w:sz w:val="16"/>
                <w:szCs w:val="16"/>
                <w:color w:val="032E5C"/>
              </w:rPr>
              <w:t>the future of travel. The DEI Champion</w:t>
            </w:r>
          </w:p>
        </w:tc>
        <w:tc>
          <w:tcPr>
            <w:tcW w:w="3340" w:type="dxa"/>
            <w:vAlign w:val="bottom"/>
          </w:tcPr>
          <w:p>
            <w:pPr>
              <w:jc w:val="center"/>
              <w:spacing w:after="0"/>
              <w:rPr>
                <w:sz w:val="20"/>
                <w:szCs w:val="20"/>
                <w:color w:val="auto"/>
              </w:rPr>
            </w:pPr>
            <w:r>
              <w:rPr>
                <w:rFonts w:ascii="Arial" w:cs="Arial" w:eastAsia="Arial" w:hAnsi="Arial"/>
                <w:sz w:val="16"/>
                <w:szCs w:val="16"/>
                <w:color w:val="032E5C"/>
              </w:rPr>
              <w:t>that make clear the mountains are for</w:t>
            </w:r>
          </w:p>
        </w:tc>
        <w:tc>
          <w:tcPr>
            <w:tcW w:w="3940" w:type="dxa"/>
            <w:vAlign w:val="bottom"/>
          </w:tcPr>
          <w:p>
            <w:pPr>
              <w:jc w:val="center"/>
              <w:ind w:right="379"/>
              <w:spacing w:after="0"/>
              <w:rPr>
                <w:sz w:val="20"/>
                <w:szCs w:val="20"/>
                <w:color w:val="auto"/>
              </w:rPr>
            </w:pPr>
            <w:r>
              <w:rPr>
                <w:rFonts w:ascii="Arial" w:cs="Arial" w:eastAsia="Arial" w:hAnsi="Arial"/>
                <w:sz w:val="16"/>
                <w:szCs w:val="16"/>
                <w:color w:val="032E5C"/>
              </w:rPr>
              <w:t>community service, and more.</w:t>
            </w:r>
          </w:p>
        </w:tc>
        <w:tc>
          <w:tcPr>
            <w:tcW w:w="0" w:type="dxa"/>
            <w:vAlign w:val="bottom"/>
          </w:tcPr>
          <w:p>
            <w:pPr>
              <w:spacing w:after="0"/>
              <w:rPr>
                <w:sz w:val="1"/>
                <w:szCs w:val="1"/>
                <w:color w:val="auto"/>
              </w:rPr>
            </w:pPr>
          </w:p>
        </w:tc>
      </w:tr>
      <w:tr>
        <w:trPr>
          <w:trHeight w:val="215"/>
        </w:trPr>
        <w:tc>
          <w:tcPr>
            <w:tcW w:w="3960" w:type="dxa"/>
            <w:vAlign w:val="bottom"/>
          </w:tcPr>
          <w:p>
            <w:pPr>
              <w:jc w:val="center"/>
              <w:ind w:left="399"/>
              <w:spacing w:after="0"/>
              <w:rPr>
                <w:sz w:val="20"/>
                <w:szCs w:val="20"/>
                <w:color w:val="auto"/>
              </w:rPr>
            </w:pPr>
            <w:r>
              <w:rPr>
                <w:rFonts w:ascii="Arial" w:cs="Arial" w:eastAsia="Arial" w:hAnsi="Arial"/>
                <w:sz w:val="16"/>
                <w:szCs w:val="16"/>
                <w:color w:val="032E5C"/>
              </w:rPr>
              <w:t>Award project recognizes companies</w:t>
            </w:r>
          </w:p>
        </w:tc>
        <w:tc>
          <w:tcPr>
            <w:tcW w:w="3340" w:type="dxa"/>
            <w:vAlign w:val="bottom"/>
          </w:tcPr>
          <w:p>
            <w:pPr>
              <w:jc w:val="center"/>
              <w:spacing w:after="0"/>
              <w:rPr>
                <w:sz w:val="20"/>
                <w:szCs w:val="20"/>
                <w:color w:val="auto"/>
              </w:rPr>
            </w:pPr>
            <w:r>
              <w:rPr>
                <w:rFonts w:ascii="Arial" w:cs="Arial" w:eastAsia="Arial" w:hAnsi="Arial"/>
                <w:sz w:val="16"/>
                <w:szCs w:val="16"/>
                <w:color w:val="032E5C"/>
                <w:w w:val="99"/>
              </w:rPr>
              <w:t>everyone.</w:t>
            </w: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jc w:val="center"/>
              <w:ind w:left="379"/>
              <w:spacing w:after="0"/>
              <w:rPr>
                <w:sz w:val="20"/>
                <w:szCs w:val="20"/>
                <w:color w:val="auto"/>
              </w:rPr>
            </w:pPr>
            <w:r>
              <w:rPr>
                <w:rFonts w:ascii="Arial" w:cs="Arial" w:eastAsia="Arial" w:hAnsi="Arial"/>
                <w:sz w:val="16"/>
                <w:szCs w:val="16"/>
                <w:color w:val="032E5C"/>
              </w:rPr>
              <w:t>leading the way in fostering positive social</w:t>
            </w:r>
          </w:p>
        </w:tc>
        <w:tc>
          <w:tcPr>
            <w:tcW w:w="3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60" w:type="dxa"/>
            <w:vAlign w:val="bottom"/>
          </w:tcPr>
          <w:p>
            <w:pPr>
              <w:jc w:val="center"/>
              <w:ind w:left="399"/>
              <w:spacing w:after="0"/>
              <w:rPr>
                <w:sz w:val="20"/>
                <w:szCs w:val="20"/>
                <w:color w:val="auto"/>
              </w:rPr>
            </w:pPr>
            <w:r>
              <w:rPr>
                <w:rFonts w:ascii="Arial" w:cs="Arial" w:eastAsia="Arial" w:hAnsi="Arial"/>
                <w:sz w:val="16"/>
                <w:szCs w:val="16"/>
                <w:color w:val="032E5C"/>
              </w:rPr>
              <w:t>change and committed to making a lasting</w:t>
            </w:r>
          </w:p>
        </w:tc>
        <w:tc>
          <w:tcPr>
            <w:tcW w:w="33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60" w:type="dxa"/>
            <w:vAlign w:val="bottom"/>
          </w:tcPr>
          <w:p>
            <w:pPr>
              <w:jc w:val="center"/>
              <w:ind w:left="379"/>
              <w:spacing w:after="0"/>
              <w:rPr>
                <w:sz w:val="20"/>
                <w:szCs w:val="20"/>
                <w:color w:val="auto"/>
              </w:rPr>
            </w:pPr>
            <w:r>
              <w:rPr>
                <w:rFonts w:ascii="Arial" w:cs="Arial" w:eastAsia="Arial" w:hAnsi="Arial"/>
                <w:sz w:val="16"/>
                <w:szCs w:val="16"/>
                <w:color w:val="032E5C"/>
              </w:rPr>
              <w:t>impact beyond travel.</w:t>
            </w:r>
          </w:p>
        </w:tc>
        <w:tc>
          <w:tcPr>
            <w:tcW w:w="3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1"/>
        </w:trPr>
        <w:tc>
          <w:tcPr>
            <w:tcW w:w="3960" w:type="dxa"/>
            <w:vAlign w:val="bottom"/>
          </w:tcPr>
          <w:p>
            <w:pPr>
              <w:spacing w:after="0"/>
              <w:rPr>
                <w:sz w:val="24"/>
                <w:szCs w:val="24"/>
                <w:color w:val="auto"/>
              </w:rPr>
            </w:pPr>
          </w:p>
        </w:tc>
        <w:tc>
          <w:tcPr>
            <w:tcW w:w="3340" w:type="dxa"/>
            <w:vAlign w:val="bottom"/>
            <w:vMerge w:val="restart"/>
          </w:tcPr>
          <w:p>
            <w:pPr>
              <w:jc w:val="center"/>
              <w:spacing w:after="0"/>
              <w:rPr>
                <w:sz w:val="20"/>
                <w:szCs w:val="20"/>
                <w:color w:val="auto"/>
              </w:rPr>
            </w:pPr>
            <w:r>
              <w:rPr>
                <w:rFonts w:ascii="Arial" w:cs="Arial" w:eastAsia="Arial" w:hAnsi="Arial"/>
                <w:sz w:val="16"/>
                <w:szCs w:val="16"/>
                <w:color w:val="98BDE2"/>
              </w:rPr>
              <w:t>2024 Proxy Statement</w:t>
            </w:r>
          </w:p>
        </w:tc>
        <w:tc>
          <w:tcPr>
            <w:tcW w:w="3940" w:type="dxa"/>
            <w:vAlign w:val="bottom"/>
          </w:tcPr>
          <w:p>
            <w:pPr>
              <w:jc w:val="right"/>
              <w:spacing w:after="0"/>
              <w:rPr>
                <w:sz w:val="20"/>
                <w:szCs w:val="20"/>
                <w:color w:val="auto"/>
              </w:rPr>
            </w:pPr>
            <w:r>
              <w:rPr>
                <w:rFonts w:ascii="Arial" w:cs="Arial" w:eastAsia="Arial" w:hAnsi="Arial"/>
                <w:sz w:val="16"/>
                <w:szCs w:val="16"/>
                <w:b w:val="1"/>
                <w:bCs w:val="1"/>
                <w:color w:val="032E5C"/>
              </w:rPr>
              <w:t>5</w:t>
            </w:r>
          </w:p>
        </w:tc>
        <w:tc>
          <w:tcPr>
            <w:tcW w:w="0" w:type="dxa"/>
            <w:vAlign w:val="bottom"/>
          </w:tcPr>
          <w:p>
            <w:pPr>
              <w:spacing w:after="0"/>
              <w:rPr>
                <w:sz w:val="1"/>
                <w:szCs w:val="1"/>
                <w:color w:val="auto"/>
              </w:rPr>
            </w:pPr>
          </w:p>
        </w:tc>
      </w:tr>
      <w:tr>
        <w:trPr>
          <w:trHeight w:val="60"/>
        </w:trPr>
        <w:tc>
          <w:tcPr>
            <w:tcW w:w="3960" w:type="dxa"/>
            <w:vAlign w:val="bottom"/>
          </w:tcPr>
          <w:p>
            <w:pPr>
              <w:spacing w:after="0"/>
              <w:rPr>
                <w:sz w:val="5"/>
                <w:szCs w:val="5"/>
                <w:color w:val="auto"/>
              </w:rPr>
            </w:pPr>
          </w:p>
        </w:tc>
        <w:tc>
          <w:tcPr>
            <w:tcW w:w="3340" w:type="dxa"/>
            <w:vAlign w:val="bottom"/>
            <w:vMerge w:val="continue"/>
          </w:tcPr>
          <w:p>
            <w:pPr>
              <w:spacing w:after="0"/>
              <w:rPr>
                <w:sz w:val="5"/>
                <w:szCs w:val="5"/>
                <w:color w:val="auto"/>
              </w:rPr>
            </w:pPr>
          </w:p>
        </w:tc>
        <w:tc>
          <w:tcPr>
            <w:tcW w:w="3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39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1480" w:type="dxa"/>
            <w:vAlign w:val="bottom"/>
            <w:vMerge w:val="restart"/>
            <w:shd w:val="clear" w:color="auto" w:fill="98BDE2"/>
          </w:tcPr>
          <w:p>
            <w:pPr>
              <w:ind w:left="180"/>
              <w:spacing w:after="0"/>
              <w:rPr>
                <w:sz w:val="20"/>
                <w:szCs w:val="20"/>
                <w:color w:val="auto"/>
              </w:rPr>
            </w:pPr>
            <w:r>
              <w:rPr>
                <w:rFonts w:ascii="Arial" w:cs="Arial" w:eastAsia="Arial" w:hAnsi="Arial"/>
                <w:sz w:val="13"/>
                <w:szCs w:val="13"/>
                <w:b w:val="1"/>
                <w:bCs w:val="1"/>
                <w:color w:val="032E5C"/>
              </w:rPr>
              <w:t>PROXY SUMMARY</w:t>
            </w:r>
          </w:p>
        </w:tc>
        <w:tc>
          <w:tcPr>
            <w:tcW w:w="9740" w:type="dxa"/>
            <w:vAlign w:val="bottom"/>
          </w:tcPr>
          <w:p>
            <w:pPr>
              <w:ind w:left="86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480" w:type="dxa"/>
            <w:vAlign w:val="bottom"/>
            <w:vMerge w:val="continue"/>
            <w:shd w:val="clear" w:color="auto" w:fill="98BDE2"/>
          </w:tcPr>
          <w:p>
            <w:pPr>
              <w:spacing w:after="0"/>
              <w:rPr>
                <w:sz w:val="4"/>
                <w:szCs w:val="4"/>
                <w:color w:val="auto"/>
              </w:rPr>
            </w:pPr>
          </w:p>
        </w:tc>
        <w:tc>
          <w:tcPr>
            <w:tcW w:w="9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480" w:type="dxa"/>
            <w:vAlign w:val="bottom"/>
            <w:shd w:val="clear" w:color="auto" w:fill="98BDE2"/>
          </w:tcPr>
          <w:p>
            <w:pPr>
              <w:spacing w:after="0"/>
              <w:rPr>
                <w:sz w:val="10"/>
                <w:szCs w:val="10"/>
                <w:color w:val="auto"/>
              </w:rPr>
            </w:pPr>
          </w:p>
        </w:tc>
        <w:tc>
          <w:tcPr>
            <w:tcW w:w="9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 xml:space="preserve">Director Nominees (page </w:t>
      </w:r>
      <w:r>
        <w:rPr>
          <w:rFonts w:ascii="Arial" w:cs="Arial" w:eastAsia="Arial" w:hAnsi="Arial"/>
          <w:sz w:val="25"/>
          <w:szCs w:val="25"/>
          <w:b w:val="1"/>
          <w:bCs w:val="1"/>
          <w:color w:val="1F3246"/>
        </w:rPr>
        <w:t>11</w:t>
      </w:r>
      <w:r>
        <w:rPr>
          <w:rFonts w:ascii="Arial" w:cs="Arial" w:eastAsia="Arial" w:hAnsi="Arial"/>
          <w:sz w:val="25"/>
          <w:szCs w:val="25"/>
          <w:b w:val="1"/>
          <w:bCs w:val="1"/>
          <w:color w:val="032E5C"/>
        </w:rPr>
        <w:t>)</w:t>
      </w:r>
    </w:p>
    <w:p>
      <w:pPr>
        <w:spacing w:after="0" w:line="182"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29292B"/>
        </w:rPr>
        <w:t>The following table provides summary information about each director nominee. Each director stands for election annually. Detailed information about each director nominee’s background, skill set, and areas of experience can be found beginning on page 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20" w:type="dxa"/>
            <w:vAlign w:val="bottom"/>
            <w:gridSpan w:val="4"/>
            <w:shd w:val="clear" w:color="auto" w:fill="3E5C7C"/>
          </w:tcPr>
          <w:p>
            <w:pPr>
              <w:ind w:left="520"/>
              <w:spacing w:after="0"/>
              <w:rPr>
                <w:sz w:val="20"/>
                <w:szCs w:val="20"/>
                <w:color w:val="auto"/>
              </w:rPr>
            </w:pPr>
            <w:r>
              <w:rPr>
                <w:rFonts w:ascii="Arial" w:cs="Arial" w:eastAsia="Arial" w:hAnsi="Arial"/>
                <w:sz w:val="14"/>
                <w:szCs w:val="14"/>
                <w:b w:val="1"/>
                <w:bCs w:val="1"/>
                <w:color w:val="FFFFFF"/>
              </w:rPr>
              <w:t>Committee Memberships</w:t>
            </w:r>
          </w:p>
        </w:tc>
        <w:tc>
          <w:tcPr>
            <w:tcW w:w="520" w:type="dxa"/>
            <w:vAlign w:val="bottom"/>
            <w:shd w:val="clear" w:color="auto" w:fill="3E5C7C"/>
          </w:tcPr>
          <w:p>
            <w:pPr>
              <w:spacing w:after="0"/>
              <w:rPr>
                <w:sz w:val="19"/>
                <w:szCs w:val="19"/>
                <w:color w:val="auto"/>
              </w:rPr>
            </w:pPr>
          </w:p>
        </w:tc>
        <w:tc>
          <w:tcPr>
            <w:tcW w:w="100" w:type="dxa"/>
            <w:vAlign w:val="bottom"/>
            <w:shd w:val="clear" w:color="auto" w:fill="3E5C7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800" w:type="dxa"/>
            <w:vAlign w:val="bottom"/>
            <w:shd w:val="clear" w:color="auto" w:fill="98BDE2"/>
          </w:tcPr>
          <w:p>
            <w:pPr>
              <w:spacing w:after="0"/>
              <w:rPr>
                <w:sz w:val="16"/>
                <w:szCs w:val="16"/>
                <w:color w:val="auto"/>
              </w:rPr>
            </w:pPr>
          </w:p>
        </w:tc>
        <w:tc>
          <w:tcPr>
            <w:tcW w:w="820" w:type="dxa"/>
            <w:vAlign w:val="bottom"/>
            <w:shd w:val="clear" w:color="auto" w:fill="98BDE2"/>
          </w:tcPr>
          <w:p>
            <w:pPr>
              <w:jc w:val="center"/>
              <w:ind w:left="28"/>
              <w:spacing w:after="0"/>
              <w:rPr>
                <w:sz w:val="20"/>
                <w:szCs w:val="20"/>
                <w:color w:val="auto"/>
              </w:rPr>
            </w:pPr>
            <w:r>
              <w:rPr>
                <w:rFonts w:ascii="Arial" w:cs="Arial" w:eastAsia="Arial" w:hAnsi="Arial"/>
                <w:sz w:val="14"/>
                <w:szCs w:val="14"/>
                <w:b w:val="1"/>
                <w:bCs w:val="1"/>
                <w:color w:val="032E5C"/>
              </w:rPr>
              <w:t>Director</w:t>
            </w:r>
          </w:p>
        </w:tc>
        <w:tc>
          <w:tcPr>
            <w:tcW w:w="2780" w:type="dxa"/>
            <w:vAlign w:val="bottom"/>
            <w:shd w:val="clear" w:color="auto" w:fill="98BDE2"/>
          </w:tcPr>
          <w:p>
            <w:pPr>
              <w:spacing w:after="0"/>
              <w:rPr>
                <w:sz w:val="16"/>
                <w:szCs w:val="16"/>
                <w:color w:val="auto"/>
              </w:rPr>
            </w:pPr>
          </w:p>
        </w:tc>
        <w:tc>
          <w:tcPr>
            <w:tcW w:w="1780" w:type="dxa"/>
            <w:vAlign w:val="bottom"/>
            <w:shd w:val="clear" w:color="auto" w:fill="98BDE2"/>
          </w:tcPr>
          <w:p>
            <w:pPr>
              <w:spacing w:after="0"/>
              <w:rPr>
                <w:sz w:val="16"/>
                <w:szCs w:val="16"/>
                <w:color w:val="auto"/>
              </w:rPr>
            </w:pPr>
          </w:p>
        </w:tc>
        <w:tc>
          <w:tcPr>
            <w:tcW w:w="1220" w:type="dxa"/>
            <w:vAlign w:val="bottom"/>
            <w:shd w:val="clear" w:color="auto" w:fill="98BDE2"/>
          </w:tcPr>
          <w:p>
            <w:pPr>
              <w:spacing w:after="0"/>
              <w:rPr>
                <w:sz w:val="16"/>
                <w:szCs w:val="16"/>
                <w:color w:val="auto"/>
              </w:rPr>
            </w:pPr>
          </w:p>
        </w:tc>
        <w:tc>
          <w:tcPr>
            <w:tcW w:w="680" w:type="dxa"/>
            <w:vAlign w:val="bottom"/>
            <w:shd w:val="clear" w:color="auto" w:fill="98BDE2"/>
          </w:tcPr>
          <w:p>
            <w:pPr>
              <w:spacing w:after="0"/>
              <w:rPr>
                <w:sz w:val="16"/>
                <w:szCs w:val="16"/>
                <w:color w:val="auto"/>
              </w:rPr>
            </w:pPr>
          </w:p>
        </w:tc>
        <w:tc>
          <w:tcPr>
            <w:tcW w:w="680" w:type="dxa"/>
            <w:vAlign w:val="bottom"/>
            <w:shd w:val="clear" w:color="auto" w:fill="98BDE2"/>
          </w:tcPr>
          <w:p>
            <w:pPr>
              <w:spacing w:after="0"/>
              <w:rPr>
                <w:sz w:val="16"/>
                <w:szCs w:val="16"/>
                <w:color w:val="auto"/>
              </w:rPr>
            </w:pPr>
          </w:p>
        </w:tc>
        <w:tc>
          <w:tcPr>
            <w:tcW w:w="700" w:type="dxa"/>
            <w:vAlign w:val="bottom"/>
            <w:shd w:val="clear" w:color="auto" w:fill="98BDE2"/>
          </w:tcPr>
          <w:p>
            <w:pPr>
              <w:spacing w:after="0"/>
              <w:rPr>
                <w:sz w:val="16"/>
                <w:szCs w:val="16"/>
                <w:color w:val="auto"/>
              </w:rPr>
            </w:pPr>
          </w:p>
        </w:tc>
        <w:tc>
          <w:tcPr>
            <w:tcW w:w="160" w:type="dxa"/>
            <w:vAlign w:val="bottom"/>
            <w:shd w:val="clear" w:color="auto" w:fill="98BDE2"/>
          </w:tcPr>
          <w:p>
            <w:pPr>
              <w:spacing w:after="0"/>
              <w:rPr>
                <w:sz w:val="16"/>
                <w:szCs w:val="16"/>
                <w:color w:val="auto"/>
              </w:rPr>
            </w:pPr>
          </w:p>
        </w:tc>
        <w:tc>
          <w:tcPr>
            <w:tcW w:w="520" w:type="dxa"/>
            <w:vAlign w:val="bottom"/>
            <w:shd w:val="clear" w:color="auto" w:fill="98BDE2"/>
          </w:tcPr>
          <w:p>
            <w:pPr>
              <w:spacing w:after="0"/>
              <w:rPr>
                <w:sz w:val="16"/>
                <w:szCs w:val="16"/>
                <w:color w:val="auto"/>
              </w:rPr>
            </w:pPr>
          </w:p>
        </w:tc>
        <w:tc>
          <w:tcPr>
            <w:tcW w:w="10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Director Nominee</w:t>
            </w:r>
          </w:p>
        </w:tc>
        <w:tc>
          <w:tcPr>
            <w:tcW w:w="820" w:type="dxa"/>
            <w:vAlign w:val="bottom"/>
            <w:shd w:val="clear" w:color="auto" w:fill="98BDE2"/>
          </w:tcPr>
          <w:p>
            <w:pPr>
              <w:jc w:val="center"/>
              <w:ind w:left="8"/>
              <w:spacing w:after="0"/>
              <w:rPr>
                <w:sz w:val="20"/>
                <w:szCs w:val="20"/>
                <w:color w:val="auto"/>
              </w:rPr>
            </w:pPr>
            <w:r>
              <w:rPr>
                <w:rFonts w:ascii="Arial" w:cs="Arial" w:eastAsia="Arial" w:hAnsi="Arial"/>
                <w:sz w:val="14"/>
                <w:szCs w:val="14"/>
                <w:b w:val="1"/>
                <w:bCs w:val="1"/>
                <w:color w:val="032E5C"/>
              </w:rPr>
              <w:t>Since</w:t>
            </w:r>
          </w:p>
        </w:tc>
        <w:tc>
          <w:tcPr>
            <w:tcW w:w="278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Primary Occupation and Experience</w:t>
            </w:r>
          </w:p>
        </w:tc>
        <w:tc>
          <w:tcPr>
            <w:tcW w:w="1780" w:type="dxa"/>
            <w:vAlign w:val="bottom"/>
            <w:shd w:val="clear" w:color="auto" w:fill="98BDE2"/>
          </w:tcPr>
          <w:p>
            <w:pPr>
              <w:spacing w:after="0"/>
              <w:rPr>
                <w:sz w:val="17"/>
                <w:szCs w:val="17"/>
                <w:color w:val="auto"/>
              </w:rPr>
            </w:pPr>
          </w:p>
        </w:tc>
        <w:tc>
          <w:tcPr>
            <w:tcW w:w="1220" w:type="dxa"/>
            <w:vAlign w:val="bottom"/>
            <w:shd w:val="clear" w:color="auto" w:fill="98BDE2"/>
          </w:tcPr>
          <w:p>
            <w:pPr>
              <w:jc w:val="center"/>
              <w:ind w:right="8"/>
              <w:spacing w:after="0"/>
              <w:rPr>
                <w:sz w:val="20"/>
                <w:szCs w:val="20"/>
                <w:color w:val="auto"/>
              </w:rPr>
            </w:pPr>
            <w:r>
              <w:rPr>
                <w:rFonts w:ascii="Arial" w:cs="Arial" w:eastAsia="Arial" w:hAnsi="Arial"/>
                <w:sz w:val="14"/>
                <w:szCs w:val="14"/>
                <w:b w:val="1"/>
                <w:bCs w:val="1"/>
                <w:color w:val="032E5C"/>
              </w:rPr>
              <w:t>Independent</w:t>
            </w:r>
          </w:p>
        </w:tc>
        <w:tc>
          <w:tcPr>
            <w:tcW w:w="68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Audit</w:t>
            </w:r>
          </w:p>
        </w:tc>
        <w:tc>
          <w:tcPr>
            <w:tcW w:w="68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Comp</w:t>
            </w:r>
          </w:p>
        </w:tc>
        <w:tc>
          <w:tcPr>
            <w:tcW w:w="860" w:type="dxa"/>
            <w:vAlign w:val="bottom"/>
            <w:gridSpan w:val="2"/>
            <w:shd w:val="clear" w:color="auto" w:fill="98BDE2"/>
          </w:tcPr>
          <w:p>
            <w:pPr>
              <w:jc w:val="center"/>
              <w:ind w:right="140"/>
              <w:spacing w:after="0"/>
              <w:rPr>
                <w:sz w:val="20"/>
                <w:szCs w:val="20"/>
                <w:color w:val="auto"/>
              </w:rPr>
            </w:pPr>
            <w:r>
              <w:rPr>
                <w:rFonts w:ascii="Arial" w:cs="Arial" w:eastAsia="Arial" w:hAnsi="Arial"/>
                <w:sz w:val="14"/>
                <w:szCs w:val="14"/>
                <w:b w:val="1"/>
                <w:bCs w:val="1"/>
                <w:color w:val="032E5C"/>
              </w:rPr>
              <w:t>N&amp;G</w:t>
            </w:r>
          </w:p>
        </w:tc>
        <w:tc>
          <w:tcPr>
            <w:tcW w:w="620" w:type="dxa"/>
            <w:vAlign w:val="bottom"/>
            <w:gridSpan w:val="2"/>
            <w:shd w:val="clear" w:color="auto" w:fill="98BDE2"/>
          </w:tcPr>
          <w:p>
            <w:pPr>
              <w:jc w:val="center"/>
              <w:ind w:right="260"/>
              <w:spacing w:after="0"/>
              <w:rPr>
                <w:sz w:val="20"/>
                <w:szCs w:val="20"/>
                <w:color w:val="auto"/>
              </w:rPr>
            </w:pPr>
            <w:r>
              <w:rPr>
                <w:rFonts w:ascii="Arial" w:cs="Arial" w:eastAsia="Arial" w:hAnsi="Arial"/>
                <w:sz w:val="14"/>
                <w:szCs w:val="14"/>
                <w:b w:val="1"/>
                <w:bCs w:val="1"/>
                <w:color w:val="032E5C"/>
                <w:w w:val="97"/>
              </w:rPr>
              <w:t>Exec</w:t>
            </w:r>
          </w:p>
        </w:tc>
        <w:tc>
          <w:tcPr>
            <w:tcW w:w="0" w:type="dxa"/>
            <w:vAlign w:val="bottom"/>
          </w:tcPr>
          <w:p>
            <w:pPr>
              <w:spacing w:after="0"/>
              <w:rPr>
                <w:sz w:val="1"/>
                <w:szCs w:val="1"/>
                <w:color w:val="auto"/>
              </w:rPr>
            </w:pPr>
          </w:p>
        </w:tc>
      </w:tr>
      <w:tr>
        <w:trPr>
          <w:trHeight w:val="70"/>
        </w:trPr>
        <w:tc>
          <w:tcPr>
            <w:tcW w:w="1800" w:type="dxa"/>
            <w:vAlign w:val="bottom"/>
            <w:shd w:val="clear" w:color="auto" w:fill="98BDE2"/>
          </w:tcPr>
          <w:p>
            <w:pPr>
              <w:spacing w:after="0"/>
              <w:rPr>
                <w:sz w:val="6"/>
                <w:szCs w:val="6"/>
                <w:color w:val="auto"/>
              </w:rPr>
            </w:pPr>
          </w:p>
        </w:tc>
        <w:tc>
          <w:tcPr>
            <w:tcW w:w="820" w:type="dxa"/>
            <w:vAlign w:val="bottom"/>
            <w:shd w:val="clear" w:color="auto" w:fill="98BDE2"/>
          </w:tcPr>
          <w:p>
            <w:pPr>
              <w:spacing w:after="0"/>
              <w:rPr>
                <w:sz w:val="6"/>
                <w:szCs w:val="6"/>
                <w:color w:val="auto"/>
              </w:rPr>
            </w:pPr>
          </w:p>
        </w:tc>
        <w:tc>
          <w:tcPr>
            <w:tcW w:w="4560" w:type="dxa"/>
            <w:vAlign w:val="bottom"/>
            <w:gridSpan w:val="2"/>
            <w:shd w:val="clear" w:color="auto" w:fill="98BDE2"/>
          </w:tcPr>
          <w:p>
            <w:pPr>
              <w:spacing w:after="0"/>
              <w:rPr>
                <w:sz w:val="6"/>
                <w:szCs w:val="6"/>
                <w:color w:val="auto"/>
              </w:rPr>
            </w:pPr>
          </w:p>
        </w:tc>
        <w:tc>
          <w:tcPr>
            <w:tcW w:w="1220" w:type="dxa"/>
            <w:vAlign w:val="bottom"/>
            <w:shd w:val="clear" w:color="auto" w:fill="98BDE2"/>
          </w:tcPr>
          <w:p>
            <w:pPr>
              <w:spacing w:after="0"/>
              <w:rPr>
                <w:sz w:val="6"/>
                <w:szCs w:val="6"/>
                <w:color w:val="auto"/>
              </w:rPr>
            </w:pPr>
          </w:p>
        </w:tc>
        <w:tc>
          <w:tcPr>
            <w:tcW w:w="680" w:type="dxa"/>
            <w:vAlign w:val="bottom"/>
            <w:shd w:val="clear" w:color="auto" w:fill="98BDE2"/>
          </w:tcPr>
          <w:p>
            <w:pPr>
              <w:spacing w:after="0"/>
              <w:rPr>
                <w:sz w:val="6"/>
                <w:szCs w:val="6"/>
                <w:color w:val="auto"/>
              </w:rPr>
            </w:pPr>
          </w:p>
        </w:tc>
        <w:tc>
          <w:tcPr>
            <w:tcW w:w="680" w:type="dxa"/>
            <w:vAlign w:val="bottom"/>
            <w:shd w:val="clear" w:color="auto" w:fill="98BDE2"/>
          </w:tcPr>
          <w:p>
            <w:pPr>
              <w:spacing w:after="0"/>
              <w:rPr>
                <w:sz w:val="6"/>
                <w:szCs w:val="6"/>
                <w:color w:val="auto"/>
              </w:rPr>
            </w:pPr>
          </w:p>
        </w:tc>
        <w:tc>
          <w:tcPr>
            <w:tcW w:w="700" w:type="dxa"/>
            <w:vAlign w:val="bottom"/>
            <w:shd w:val="clear" w:color="auto" w:fill="98BDE2"/>
          </w:tcPr>
          <w:p>
            <w:pPr>
              <w:spacing w:after="0"/>
              <w:rPr>
                <w:sz w:val="6"/>
                <w:szCs w:val="6"/>
                <w:color w:val="auto"/>
              </w:rPr>
            </w:pPr>
          </w:p>
        </w:tc>
        <w:tc>
          <w:tcPr>
            <w:tcW w:w="160" w:type="dxa"/>
            <w:vAlign w:val="bottom"/>
            <w:shd w:val="clear" w:color="auto" w:fill="98BDE2"/>
          </w:tcPr>
          <w:p>
            <w:pPr>
              <w:spacing w:after="0"/>
              <w:rPr>
                <w:sz w:val="6"/>
                <w:szCs w:val="6"/>
                <w:color w:val="auto"/>
              </w:rPr>
            </w:pPr>
          </w:p>
        </w:tc>
        <w:tc>
          <w:tcPr>
            <w:tcW w:w="520" w:type="dxa"/>
            <w:vAlign w:val="bottom"/>
            <w:shd w:val="clear" w:color="auto" w:fill="98BDE2"/>
          </w:tcPr>
          <w:p>
            <w:pPr>
              <w:spacing w:after="0"/>
              <w:rPr>
                <w:sz w:val="6"/>
                <w:szCs w:val="6"/>
                <w:color w:val="auto"/>
              </w:rPr>
            </w:pPr>
          </w:p>
        </w:tc>
        <w:tc>
          <w:tcPr>
            <w:tcW w:w="10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1800" w:type="dxa"/>
            <w:vAlign w:val="bottom"/>
          </w:tcPr>
          <w:p>
            <w:pPr>
              <w:ind w:left="720"/>
              <w:spacing w:after="0"/>
              <w:rPr>
                <w:sz w:val="20"/>
                <w:szCs w:val="20"/>
                <w:color w:val="auto"/>
              </w:rPr>
            </w:pPr>
            <w:r>
              <w:rPr>
                <w:rFonts w:ascii="Arial" w:cs="Arial" w:eastAsia="Arial" w:hAnsi="Arial"/>
                <w:sz w:val="14"/>
                <w:szCs w:val="14"/>
                <w:b w:val="1"/>
                <w:bCs w:val="1"/>
                <w:color w:val="032E5C"/>
              </w:rPr>
              <w:t>Reginald</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color w:val="032E5C"/>
              </w:rPr>
              <w:t>2024</w:t>
            </w:r>
          </w:p>
        </w:tc>
        <w:tc>
          <w:tcPr>
            <w:tcW w:w="4560" w:type="dxa"/>
            <w:vAlign w:val="bottom"/>
            <w:gridSpan w:val="2"/>
          </w:tcPr>
          <w:p>
            <w:pPr>
              <w:ind w:left="100"/>
              <w:spacing w:after="0"/>
              <w:rPr>
                <w:sz w:val="20"/>
                <w:szCs w:val="20"/>
                <w:color w:val="auto"/>
              </w:rPr>
            </w:pPr>
            <w:r>
              <w:rPr>
                <w:rFonts w:ascii="Arial" w:cs="Arial" w:eastAsia="Arial" w:hAnsi="Arial"/>
                <w:sz w:val="14"/>
                <w:szCs w:val="14"/>
                <w:color w:val="032E5C"/>
              </w:rPr>
              <w:t>Executive Vice President and Chief Transformation Officer, Teachers</w:t>
            </w:r>
          </w:p>
        </w:tc>
        <w:tc>
          <w:tcPr>
            <w:tcW w:w="1220" w:type="dxa"/>
            <w:vAlign w:val="bottom"/>
            <w:vMerge w:val="restart"/>
          </w:tcPr>
          <w:p>
            <w:pPr>
              <w:jc w:val="center"/>
              <w:ind w:right="28"/>
              <w:spacing w:after="0"/>
              <w:rPr>
                <w:sz w:val="20"/>
                <w:szCs w:val="20"/>
                <w:color w:val="auto"/>
              </w:rPr>
            </w:pPr>
            <w:r>
              <w:rPr>
                <w:rFonts w:ascii="Arial" w:cs="Arial" w:eastAsia="Arial" w:hAnsi="Arial"/>
                <w:sz w:val="14"/>
                <w:szCs w:val="14"/>
                <w:color w:val="032E5C"/>
                <w:w w:val="99"/>
              </w:rPr>
              <w:t>Yes</w:t>
            </w:r>
          </w:p>
        </w:tc>
        <w:tc>
          <w:tcPr>
            <w:tcW w:w="680" w:type="dxa"/>
            <w:vAlign w:val="bottom"/>
            <w:vMerge w:val="restart"/>
            <w:shd w:val="clear" w:color="auto" w:fill="F3EFE9"/>
          </w:tcPr>
          <w:p>
            <w:pPr>
              <w:jc w:val="center"/>
              <w:spacing w:after="0"/>
              <w:rPr>
                <w:sz w:val="20"/>
                <w:szCs w:val="20"/>
                <w:color w:val="auto"/>
              </w:rPr>
            </w:pPr>
            <w:r>
              <w:rPr>
                <w:rFonts w:ascii="Arial" w:cs="Arial" w:eastAsia="Arial" w:hAnsi="Arial"/>
                <w:sz w:val="14"/>
                <w:szCs w:val="14"/>
                <w:b w:val="1"/>
                <w:bCs w:val="1"/>
                <w:color w:val="032E5C"/>
                <w:w w:val="92"/>
              </w:rPr>
              <w:t>F</w:t>
            </w:r>
          </w:p>
        </w:tc>
        <w:tc>
          <w:tcPr>
            <w:tcW w:w="680" w:type="dxa"/>
            <w:vAlign w:val="bottom"/>
            <w:shd w:val="clear" w:color="auto" w:fill="F3EFE9"/>
          </w:tcPr>
          <w:p>
            <w:pPr>
              <w:spacing w:after="0"/>
              <w:rPr>
                <w:sz w:val="24"/>
                <w:szCs w:val="24"/>
                <w:color w:val="auto"/>
              </w:rPr>
            </w:pPr>
          </w:p>
        </w:tc>
        <w:tc>
          <w:tcPr>
            <w:tcW w:w="7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52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032E5C"/>
              </w:rPr>
              <w:t>Chambers</w:t>
            </w:r>
          </w:p>
        </w:tc>
        <w:tc>
          <w:tcPr>
            <w:tcW w:w="820" w:type="dxa"/>
            <w:vAlign w:val="bottom"/>
            <w:vMerge w:val="continue"/>
          </w:tcPr>
          <w:p>
            <w:pPr>
              <w:spacing w:after="0"/>
              <w:rPr>
                <w:sz w:val="8"/>
                <w:szCs w:val="8"/>
                <w:color w:val="auto"/>
              </w:rPr>
            </w:pPr>
          </w:p>
        </w:tc>
        <w:tc>
          <w:tcPr>
            <w:tcW w:w="4560" w:type="dxa"/>
            <w:vAlign w:val="bottom"/>
            <w:gridSpan w:val="2"/>
            <w:vMerge w:val="restart"/>
          </w:tcPr>
          <w:p>
            <w:pPr>
              <w:ind w:left="100"/>
              <w:spacing w:after="0"/>
              <w:rPr>
                <w:sz w:val="20"/>
                <w:szCs w:val="20"/>
                <w:color w:val="auto"/>
              </w:rPr>
            </w:pPr>
            <w:r>
              <w:rPr>
                <w:rFonts w:ascii="Arial" w:cs="Arial" w:eastAsia="Arial" w:hAnsi="Arial"/>
                <w:sz w:val="14"/>
                <w:szCs w:val="14"/>
                <w:color w:val="032E5C"/>
              </w:rPr>
              <w:t>Insurance and Annuity Association of America</w:t>
            </w:r>
          </w:p>
        </w:tc>
        <w:tc>
          <w:tcPr>
            <w:tcW w:w="1220" w:type="dxa"/>
            <w:vAlign w:val="bottom"/>
            <w:vMerge w:val="continue"/>
          </w:tcPr>
          <w:p>
            <w:pPr>
              <w:spacing w:after="0"/>
              <w:rPr>
                <w:sz w:val="8"/>
                <w:szCs w:val="8"/>
                <w:color w:val="auto"/>
              </w:rPr>
            </w:pPr>
          </w:p>
        </w:tc>
        <w:tc>
          <w:tcPr>
            <w:tcW w:w="680" w:type="dxa"/>
            <w:vAlign w:val="bottom"/>
            <w:vMerge w:val="continue"/>
            <w:shd w:val="clear" w:color="auto" w:fill="F3EFE9"/>
          </w:tcPr>
          <w:p>
            <w:pPr>
              <w:spacing w:after="0"/>
              <w:rPr>
                <w:sz w:val="8"/>
                <w:szCs w:val="8"/>
                <w:color w:val="auto"/>
              </w:rPr>
            </w:pPr>
          </w:p>
        </w:tc>
        <w:tc>
          <w:tcPr>
            <w:tcW w:w="680" w:type="dxa"/>
            <w:vAlign w:val="bottom"/>
            <w:shd w:val="clear" w:color="auto" w:fill="F3EFE9"/>
          </w:tcPr>
          <w:p>
            <w:pPr>
              <w:spacing w:after="0"/>
              <w:rPr>
                <w:sz w:val="8"/>
                <w:szCs w:val="8"/>
                <w:color w:val="auto"/>
              </w:rPr>
            </w:pPr>
          </w:p>
        </w:tc>
        <w:tc>
          <w:tcPr>
            <w:tcW w:w="700" w:type="dxa"/>
            <w:vAlign w:val="bottom"/>
            <w:shd w:val="clear" w:color="auto" w:fill="F3EFE9"/>
          </w:tcPr>
          <w:p>
            <w:pPr>
              <w:spacing w:after="0"/>
              <w:rPr>
                <w:sz w:val="8"/>
                <w:szCs w:val="8"/>
                <w:color w:val="auto"/>
              </w:rPr>
            </w:pPr>
          </w:p>
        </w:tc>
        <w:tc>
          <w:tcPr>
            <w:tcW w:w="160" w:type="dxa"/>
            <w:vAlign w:val="bottom"/>
            <w:shd w:val="clear" w:color="auto" w:fill="F3EFE9"/>
          </w:tcPr>
          <w:p>
            <w:pPr>
              <w:spacing w:after="0"/>
              <w:rPr>
                <w:sz w:val="8"/>
                <w:szCs w:val="8"/>
                <w:color w:val="auto"/>
              </w:rPr>
            </w:pPr>
          </w:p>
        </w:tc>
        <w:tc>
          <w:tcPr>
            <w:tcW w:w="520" w:type="dxa"/>
            <w:vAlign w:val="bottom"/>
            <w:shd w:val="clear" w:color="auto" w:fill="F3EFE9"/>
          </w:tcPr>
          <w:p>
            <w:pPr>
              <w:spacing w:after="0"/>
              <w:rPr>
                <w:sz w:val="8"/>
                <w:szCs w:val="8"/>
                <w:color w:val="auto"/>
              </w:rPr>
            </w:pPr>
          </w:p>
        </w:tc>
        <w:tc>
          <w:tcPr>
            <w:tcW w:w="100" w:type="dxa"/>
            <w:vAlign w:val="bottom"/>
            <w:shd w:val="clear" w:color="auto" w:fill="F3EFE9"/>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shd w:val="clear" w:color="auto" w:fill="F3EFE9"/>
          </w:tcPr>
          <w:p>
            <w:pPr>
              <w:spacing w:after="0"/>
              <w:rPr>
                <w:sz w:val="8"/>
                <w:szCs w:val="8"/>
                <w:color w:val="auto"/>
              </w:rPr>
            </w:pPr>
          </w:p>
        </w:tc>
        <w:tc>
          <w:tcPr>
            <w:tcW w:w="680" w:type="dxa"/>
            <w:vAlign w:val="bottom"/>
            <w:shd w:val="clear" w:color="auto" w:fill="F3EFE9"/>
          </w:tcPr>
          <w:p>
            <w:pPr>
              <w:spacing w:after="0"/>
              <w:rPr>
                <w:sz w:val="8"/>
                <w:szCs w:val="8"/>
                <w:color w:val="auto"/>
              </w:rPr>
            </w:pPr>
          </w:p>
        </w:tc>
        <w:tc>
          <w:tcPr>
            <w:tcW w:w="700" w:type="dxa"/>
            <w:vAlign w:val="bottom"/>
            <w:shd w:val="clear" w:color="auto" w:fill="F3EFE9"/>
          </w:tcPr>
          <w:p>
            <w:pPr>
              <w:spacing w:after="0"/>
              <w:rPr>
                <w:sz w:val="8"/>
                <w:szCs w:val="8"/>
                <w:color w:val="auto"/>
              </w:rPr>
            </w:pPr>
          </w:p>
        </w:tc>
        <w:tc>
          <w:tcPr>
            <w:tcW w:w="160" w:type="dxa"/>
            <w:vAlign w:val="bottom"/>
            <w:shd w:val="clear" w:color="auto" w:fill="F3EFE9"/>
          </w:tcPr>
          <w:p>
            <w:pPr>
              <w:spacing w:after="0"/>
              <w:rPr>
                <w:sz w:val="8"/>
                <w:szCs w:val="8"/>
                <w:color w:val="auto"/>
              </w:rPr>
            </w:pPr>
          </w:p>
        </w:tc>
        <w:tc>
          <w:tcPr>
            <w:tcW w:w="520" w:type="dxa"/>
            <w:vAlign w:val="bottom"/>
            <w:shd w:val="clear" w:color="auto" w:fill="F3EFE9"/>
          </w:tcPr>
          <w:p>
            <w:pPr>
              <w:spacing w:after="0"/>
              <w:rPr>
                <w:sz w:val="8"/>
                <w:szCs w:val="8"/>
                <w:color w:val="auto"/>
              </w:rPr>
            </w:pPr>
          </w:p>
        </w:tc>
        <w:tc>
          <w:tcPr>
            <w:tcW w:w="100" w:type="dxa"/>
            <w:vAlign w:val="bottom"/>
            <w:shd w:val="clear" w:color="auto" w:fill="F3EFE9"/>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98BDE2"/>
            </w:tcBorders>
          </w:tcPr>
          <w:p>
            <w:pPr>
              <w:spacing w:after="0"/>
              <w:rPr>
                <w:sz w:val="11"/>
                <w:szCs w:val="11"/>
                <w:color w:val="auto"/>
              </w:rPr>
            </w:pPr>
          </w:p>
        </w:tc>
        <w:tc>
          <w:tcPr>
            <w:tcW w:w="820" w:type="dxa"/>
            <w:vAlign w:val="bottom"/>
            <w:tcBorders>
              <w:bottom w:val="single" w:sz="8" w:color="98BDE2"/>
            </w:tcBorders>
          </w:tcPr>
          <w:p>
            <w:pPr>
              <w:spacing w:after="0"/>
              <w:rPr>
                <w:sz w:val="11"/>
                <w:szCs w:val="11"/>
                <w:color w:val="auto"/>
              </w:rPr>
            </w:pPr>
          </w:p>
        </w:tc>
        <w:tc>
          <w:tcPr>
            <w:tcW w:w="2780" w:type="dxa"/>
            <w:vAlign w:val="bottom"/>
            <w:tcBorders>
              <w:bottom w:val="single" w:sz="8" w:color="98BDE2"/>
            </w:tcBorders>
          </w:tcPr>
          <w:p>
            <w:pPr>
              <w:spacing w:after="0"/>
              <w:rPr>
                <w:sz w:val="11"/>
                <w:szCs w:val="11"/>
                <w:color w:val="auto"/>
              </w:rPr>
            </w:pPr>
          </w:p>
        </w:tc>
        <w:tc>
          <w:tcPr>
            <w:tcW w:w="1780" w:type="dxa"/>
            <w:vAlign w:val="bottom"/>
            <w:tcBorders>
              <w:bottom w:val="single" w:sz="8" w:color="98BDE2"/>
            </w:tcBorders>
          </w:tcPr>
          <w:p>
            <w:pPr>
              <w:spacing w:after="0"/>
              <w:rPr>
                <w:sz w:val="11"/>
                <w:szCs w:val="11"/>
                <w:color w:val="auto"/>
              </w:rPr>
            </w:pPr>
          </w:p>
        </w:tc>
        <w:tc>
          <w:tcPr>
            <w:tcW w:w="1220" w:type="dxa"/>
            <w:vAlign w:val="bottom"/>
            <w:tcBorders>
              <w:bottom w:val="single" w:sz="8" w:color="98BDE2"/>
            </w:tcBorders>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7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520" w:type="dxa"/>
            <w:vAlign w:val="bottom"/>
            <w:tcBorders>
              <w:bottom w:val="single" w:sz="8" w:color="98BDE2"/>
            </w:tcBorders>
            <w:shd w:val="clear" w:color="auto" w:fill="F3EFE9"/>
          </w:tcPr>
          <w:p>
            <w:pPr>
              <w:spacing w:after="0"/>
              <w:rPr>
                <w:sz w:val="11"/>
                <w:szCs w:val="11"/>
                <w:color w:val="auto"/>
              </w:rPr>
            </w:pPr>
          </w:p>
        </w:tc>
        <w:tc>
          <w:tcPr>
            <w:tcW w:w="10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800" w:type="dxa"/>
            <w:vAlign w:val="bottom"/>
          </w:tcPr>
          <w:p>
            <w:pPr>
              <w:ind w:left="720"/>
              <w:spacing w:after="0"/>
              <w:rPr>
                <w:sz w:val="20"/>
                <w:szCs w:val="20"/>
                <w:color w:val="auto"/>
              </w:rPr>
            </w:pPr>
            <w:r>
              <w:rPr>
                <w:rFonts w:ascii="Arial" w:cs="Arial" w:eastAsia="Arial" w:hAnsi="Arial"/>
                <w:sz w:val="14"/>
                <w:szCs w:val="14"/>
                <w:b w:val="1"/>
                <w:bCs w:val="1"/>
                <w:color w:val="032E5C"/>
              </w:rPr>
              <w:t>Susan L.</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color w:val="032E5C"/>
              </w:rPr>
              <w:t>2015</w:t>
            </w:r>
          </w:p>
        </w:tc>
        <w:tc>
          <w:tcPr>
            <w:tcW w:w="4560" w:type="dxa"/>
            <w:vAlign w:val="bottom"/>
            <w:gridSpan w:val="2"/>
            <w:vMerge w:val="restart"/>
          </w:tcPr>
          <w:p>
            <w:pPr>
              <w:ind w:left="100"/>
              <w:spacing w:after="0"/>
              <w:rPr>
                <w:sz w:val="20"/>
                <w:szCs w:val="20"/>
                <w:color w:val="auto"/>
              </w:rPr>
            </w:pPr>
            <w:r>
              <w:rPr>
                <w:rFonts w:ascii="Arial" w:cs="Arial" w:eastAsia="Arial" w:hAnsi="Arial"/>
                <w:sz w:val="14"/>
                <w:szCs w:val="14"/>
                <w:color w:val="032E5C"/>
              </w:rPr>
              <w:t>CEO and Co-Founder of Raftr and Principal of Deck3 Ventures LLC</w:t>
            </w:r>
          </w:p>
        </w:tc>
        <w:tc>
          <w:tcPr>
            <w:tcW w:w="1220" w:type="dxa"/>
            <w:vAlign w:val="bottom"/>
            <w:vMerge w:val="restart"/>
          </w:tcPr>
          <w:p>
            <w:pPr>
              <w:jc w:val="center"/>
              <w:ind w:right="28"/>
              <w:spacing w:after="0"/>
              <w:rPr>
                <w:sz w:val="20"/>
                <w:szCs w:val="20"/>
                <w:color w:val="auto"/>
              </w:rPr>
            </w:pPr>
            <w:r>
              <w:rPr>
                <w:rFonts w:ascii="Arial" w:cs="Arial" w:eastAsia="Arial" w:hAnsi="Arial"/>
                <w:sz w:val="14"/>
                <w:szCs w:val="14"/>
                <w:color w:val="032E5C"/>
                <w:w w:val="99"/>
              </w:rPr>
              <w:t>Yes</w:t>
            </w:r>
          </w:p>
        </w:tc>
        <w:tc>
          <w:tcPr>
            <w:tcW w:w="680" w:type="dxa"/>
            <w:vAlign w:val="bottom"/>
            <w:shd w:val="clear" w:color="auto" w:fill="F3EFE9"/>
          </w:tcPr>
          <w:p>
            <w:pPr>
              <w:spacing w:after="0"/>
              <w:rPr>
                <w:sz w:val="24"/>
                <w:szCs w:val="24"/>
                <w:color w:val="auto"/>
              </w:rPr>
            </w:pPr>
          </w:p>
        </w:tc>
        <w:tc>
          <w:tcPr>
            <w:tcW w:w="68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7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52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032E5C"/>
              </w:rPr>
              <w:t>Decker</w:t>
            </w:r>
          </w:p>
        </w:tc>
        <w:tc>
          <w:tcPr>
            <w:tcW w:w="820" w:type="dxa"/>
            <w:vAlign w:val="bottom"/>
            <w:vMerge w:val="continue"/>
          </w:tcPr>
          <w:p>
            <w:pPr>
              <w:spacing w:after="0"/>
              <w:rPr>
                <w:sz w:val="9"/>
                <w:szCs w:val="9"/>
                <w:color w:val="auto"/>
              </w:rPr>
            </w:pPr>
          </w:p>
        </w:tc>
        <w:tc>
          <w:tcPr>
            <w:tcW w:w="456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80" w:type="dxa"/>
            <w:vAlign w:val="bottom"/>
            <w:shd w:val="clear" w:color="auto" w:fill="F3EFE9"/>
          </w:tcPr>
          <w:p>
            <w:pPr>
              <w:spacing w:after="0"/>
              <w:rPr>
                <w:sz w:val="9"/>
                <w:szCs w:val="9"/>
                <w:color w:val="auto"/>
              </w:rPr>
            </w:pPr>
          </w:p>
        </w:tc>
        <w:tc>
          <w:tcPr>
            <w:tcW w:w="680" w:type="dxa"/>
            <w:vAlign w:val="bottom"/>
            <w:vMerge w:val="continue"/>
            <w:shd w:val="clear" w:color="auto" w:fill="F3EFE9"/>
          </w:tcPr>
          <w:p>
            <w:pPr>
              <w:spacing w:after="0"/>
              <w:rPr>
                <w:sz w:val="9"/>
                <w:szCs w:val="9"/>
                <w:color w:val="auto"/>
              </w:rPr>
            </w:pPr>
          </w:p>
        </w:tc>
        <w:tc>
          <w:tcPr>
            <w:tcW w:w="7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520" w:type="dxa"/>
            <w:vAlign w:val="bottom"/>
            <w:shd w:val="clear" w:color="auto" w:fill="F3EFE9"/>
          </w:tcPr>
          <w:p>
            <w:pPr>
              <w:spacing w:after="0"/>
              <w:rPr>
                <w:sz w:val="9"/>
                <w:szCs w:val="9"/>
                <w:color w:val="auto"/>
              </w:rPr>
            </w:pPr>
          </w:p>
        </w:tc>
        <w:tc>
          <w:tcPr>
            <w:tcW w:w="10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7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520" w:type="dxa"/>
            <w:vAlign w:val="bottom"/>
            <w:shd w:val="clear" w:color="auto" w:fill="F3EFE9"/>
          </w:tcPr>
          <w:p>
            <w:pPr>
              <w:spacing w:after="0"/>
              <w:rPr>
                <w:sz w:val="7"/>
                <w:szCs w:val="7"/>
                <w:color w:val="auto"/>
              </w:rPr>
            </w:pPr>
          </w:p>
        </w:tc>
        <w:tc>
          <w:tcPr>
            <w:tcW w:w="10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98BDE2"/>
            </w:tcBorders>
          </w:tcPr>
          <w:p>
            <w:pPr>
              <w:spacing w:after="0"/>
              <w:rPr>
                <w:sz w:val="11"/>
                <w:szCs w:val="11"/>
                <w:color w:val="auto"/>
              </w:rPr>
            </w:pPr>
          </w:p>
        </w:tc>
        <w:tc>
          <w:tcPr>
            <w:tcW w:w="820" w:type="dxa"/>
            <w:vAlign w:val="bottom"/>
            <w:tcBorders>
              <w:bottom w:val="single" w:sz="8" w:color="98BDE2"/>
            </w:tcBorders>
          </w:tcPr>
          <w:p>
            <w:pPr>
              <w:spacing w:after="0"/>
              <w:rPr>
                <w:sz w:val="11"/>
                <w:szCs w:val="11"/>
                <w:color w:val="auto"/>
              </w:rPr>
            </w:pPr>
          </w:p>
        </w:tc>
        <w:tc>
          <w:tcPr>
            <w:tcW w:w="4560" w:type="dxa"/>
            <w:vAlign w:val="bottom"/>
            <w:tcBorders>
              <w:bottom w:val="single" w:sz="8" w:color="98BDE2"/>
            </w:tcBorders>
            <w:gridSpan w:val="2"/>
          </w:tcPr>
          <w:p>
            <w:pPr>
              <w:spacing w:after="0"/>
              <w:rPr>
                <w:sz w:val="11"/>
                <w:szCs w:val="11"/>
                <w:color w:val="auto"/>
              </w:rPr>
            </w:pPr>
          </w:p>
        </w:tc>
        <w:tc>
          <w:tcPr>
            <w:tcW w:w="1220" w:type="dxa"/>
            <w:vAlign w:val="bottom"/>
            <w:tcBorders>
              <w:bottom w:val="single" w:sz="8" w:color="98BDE2"/>
            </w:tcBorders>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7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520" w:type="dxa"/>
            <w:vAlign w:val="bottom"/>
            <w:tcBorders>
              <w:bottom w:val="single" w:sz="8" w:color="98BDE2"/>
            </w:tcBorders>
            <w:shd w:val="clear" w:color="auto" w:fill="F3EFE9"/>
          </w:tcPr>
          <w:p>
            <w:pPr>
              <w:spacing w:after="0"/>
              <w:rPr>
                <w:sz w:val="11"/>
                <w:szCs w:val="11"/>
                <w:color w:val="auto"/>
              </w:rPr>
            </w:pPr>
          </w:p>
        </w:tc>
        <w:tc>
          <w:tcPr>
            <w:tcW w:w="10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032E5C"/>
              </w:rPr>
              <w:t>Robert A. Katz</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color w:val="032E5C"/>
              </w:rPr>
              <w:t>1996</w:t>
            </w:r>
          </w:p>
        </w:tc>
        <w:tc>
          <w:tcPr>
            <w:tcW w:w="4560" w:type="dxa"/>
            <w:vAlign w:val="bottom"/>
            <w:gridSpan w:val="2"/>
          </w:tcPr>
          <w:p>
            <w:pPr>
              <w:ind w:left="100"/>
              <w:spacing w:after="0"/>
              <w:rPr>
                <w:sz w:val="20"/>
                <w:szCs w:val="20"/>
                <w:color w:val="auto"/>
              </w:rPr>
            </w:pPr>
            <w:r>
              <w:rPr>
                <w:rFonts w:ascii="Arial" w:cs="Arial" w:eastAsia="Arial" w:hAnsi="Arial"/>
                <w:sz w:val="14"/>
                <w:szCs w:val="14"/>
                <w:color w:val="032E5C"/>
              </w:rPr>
              <w:t>Executive Chairperson of the Board and former CEO, Vail Resorts,</w:t>
            </w:r>
          </w:p>
        </w:tc>
        <w:tc>
          <w:tcPr>
            <w:tcW w:w="1220" w:type="dxa"/>
            <w:vAlign w:val="bottom"/>
            <w:vMerge w:val="restart"/>
          </w:tcPr>
          <w:p>
            <w:pPr>
              <w:jc w:val="center"/>
              <w:ind w:right="8"/>
              <w:spacing w:after="0"/>
              <w:rPr>
                <w:sz w:val="20"/>
                <w:szCs w:val="20"/>
                <w:color w:val="auto"/>
              </w:rPr>
            </w:pPr>
            <w:r>
              <w:rPr>
                <w:rFonts w:ascii="Arial" w:cs="Arial" w:eastAsia="Arial" w:hAnsi="Arial"/>
                <w:sz w:val="14"/>
                <w:szCs w:val="14"/>
                <w:color w:val="032E5C"/>
              </w:rPr>
              <w:t>No</w:t>
            </w:r>
          </w:p>
        </w:tc>
        <w:tc>
          <w:tcPr>
            <w:tcW w:w="680" w:type="dxa"/>
            <w:vAlign w:val="bottom"/>
            <w:shd w:val="clear" w:color="auto" w:fill="F3EFE9"/>
          </w:tcPr>
          <w:p>
            <w:pPr>
              <w:spacing w:after="0"/>
              <w:rPr>
                <w:sz w:val="24"/>
                <w:szCs w:val="24"/>
                <w:color w:val="auto"/>
              </w:rPr>
            </w:pPr>
          </w:p>
        </w:tc>
        <w:tc>
          <w:tcPr>
            <w:tcW w:w="680" w:type="dxa"/>
            <w:vAlign w:val="bottom"/>
            <w:shd w:val="clear" w:color="auto" w:fill="F3EFE9"/>
          </w:tcPr>
          <w:p>
            <w:pPr>
              <w:spacing w:after="0"/>
              <w:rPr>
                <w:sz w:val="24"/>
                <w:szCs w:val="24"/>
                <w:color w:val="auto"/>
              </w:rPr>
            </w:pPr>
          </w:p>
        </w:tc>
        <w:tc>
          <w:tcPr>
            <w:tcW w:w="7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520" w:type="dxa"/>
            <w:vAlign w:val="bottom"/>
            <w:vMerge w:val="restart"/>
            <w:shd w:val="clear" w:color="auto" w:fill="F3EFE9"/>
          </w:tcPr>
          <w:p>
            <w:pPr>
              <w:jc w:val="center"/>
              <w:ind w:right="88"/>
              <w:spacing w:after="0"/>
              <w:rPr>
                <w:sz w:val="20"/>
                <w:szCs w:val="20"/>
                <w:color w:val="auto"/>
              </w:rPr>
            </w:pPr>
            <w:r>
              <w:rPr>
                <w:rFonts w:ascii="Wingdings" w:cs="Wingdings" w:eastAsia="Wingdings" w:hAnsi="Wingdings"/>
                <w:sz w:val="14"/>
                <w:szCs w:val="14"/>
                <w:b w:val="1"/>
                <w:bCs w:val="1"/>
                <w:color w:val="3E5C7C"/>
              </w:rPr>
              <w:t>n</w:t>
            </w: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780" w:type="dxa"/>
            <w:vAlign w:val="bottom"/>
            <w:vMerge w:val="restart"/>
          </w:tcPr>
          <w:p>
            <w:pPr>
              <w:ind w:left="100"/>
              <w:spacing w:after="0"/>
              <w:rPr>
                <w:sz w:val="20"/>
                <w:szCs w:val="20"/>
                <w:color w:val="auto"/>
              </w:rPr>
            </w:pPr>
            <w:r>
              <w:rPr>
                <w:rFonts w:ascii="Arial" w:cs="Arial" w:eastAsia="Arial" w:hAnsi="Arial"/>
                <w:sz w:val="14"/>
                <w:szCs w:val="14"/>
                <w:color w:val="032E5C"/>
              </w:rPr>
              <w:t>Inc.</w:t>
            </w:r>
          </w:p>
        </w:tc>
        <w:tc>
          <w:tcPr>
            <w:tcW w:w="17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shd w:val="clear" w:color="auto" w:fill="F3EFE9"/>
          </w:tcPr>
          <w:p>
            <w:pPr>
              <w:spacing w:after="0"/>
              <w:rPr>
                <w:sz w:val="10"/>
                <w:szCs w:val="10"/>
                <w:color w:val="auto"/>
              </w:rPr>
            </w:pPr>
          </w:p>
        </w:tc>
        <w:tc>
          <w:tcPr>
            <w:tcW w:w="680" w:type="dxa"/>
            <w:vAlign w:val="bottom"/>
            <w:shd w:val="clear" w:color="auto" w:fill="F3EFE9"/>
          </w:tcPr>
          <w:p>
            <w:pPr>
              <w:spacing w:after="0"/>
              <w:rPr>
                <w:sz w:val="10"/>
                <w:szCs w:val="10"/>
                <w:color w:val="auto"/>
              </w:rPr>
            </w:pPr>
          </w:p>
        </w:tc>
        <w:tc>
          <w:tcPr>
            <w:tcW w:w="700" w:type="dxa"/>
            <w:vAlign w:val="bottom"/>
            <w:shd w:val="clear" w:color="auto" w:fill="F3EFE9"/>
          </w:tcPr>
          <w:p>
            <w:pPr>
              <w:spacing w:after="0"/>
              <w:rPr>
                <w:sz w:val="10"/>
                <w:szCs w:val="10"/>
                <w:color w:val="auto"/>
              </w:rPr>
            </w:pPr>
          </w:p>
        </w:tc>
        <w:tc>
          <w:tcPr>
            <w:tcW w:w="160" w:type="dxa"/>
            <w:vAlign w:val="bottom"/>
            <w:shd w:val="clear" w:color="auto" w:fill="F3EFE9"/>
          </w:tcPr>
          <w:p>
            <w:pPr>
              <w:spacing w:after="0"/>
              <w:rPr>
                <w:sz w:val="10"/>
                <w:szCs w:val="10"/>
                <w:color w:val="auto"/>
              </w:rPr>
            </w:pPr>
          </w:p>
        </w:tc>
        <w:tc>
          <w:tcPr>
            <w:tcW w:w="520" w:type="dxa"/>
            <w:vAlign w:val="bottom"/>
            <w:vMerge w:val="continue"/>
            <w:shd w:val="clear" w:color="auto" w:fill="F3EFE9"/>
          </w:tcPr>
          <w:p>
            <w:pPr>
              <w:spacing w:after="0"/>
              <w:rPr>
                <w:sz w:val="10"/>
                <w:szCs w:val="10"/>
                <w:color w:val="auto"/>
              </w:rPr>
            </w:pPr>
          </w:p>
        </w:tc>
        <w:tc>
          <w:tcPr>
            <w:tcW w:w="100" w:type="dxa"/>
            <w:vAlign w:val="bottom"/>
            <w:shd w:val="clear" w:color="auto" w:fill="F3EFE9"/>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780" w:type="dxa"/>
            <w:vAlign w:val="bottom"/>
            <w:vMerge w:val="continue"/>
          </w:tcPr>
          <w:p>
            <w:pPr>
              <w:spacing w:after="0"/>
              <w:rPr>
                <w:sz w:val="6"/>
                <w:szCs w:val="6"/>
                <w:color w:val="auto"/>
              </w:rPr>
            </w:pPr>
          </w:p>
        </w:tc>
        <w:tc>
          <w:tcPr>
            <w:tcW w:w="1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80" w:type="dxa"/>
            <w:vAlign w:val="bottom"/>
            <w:shd w:val="clear" w:color="auto" w:fill="F3EFE9"/>
          </w:tcPr>
          <w:p>
            <w:pPr>
              <w:spacing w:after="0"/>
              <w:rPr>
                <w:sz w:val="6"/>
                <w:szCs w:val="6"/>
                <w:color w:val="auto"/>
              </w:rPr>
            </w:pPr>
          </w:p>
        </w:tc>
        <w:tc>
          <w:tcPr>
            <w:tcW w:w="680" w:type="dxa"/>
            <w:vAlign w:val="bottom"/>
            <w:shd w:val="clear" w:color="auto" w:fill="F3EFE9"/>
          </w:tcPr>
          <w:p>
            <w:pPr>
              <w:spacing w:after="0"/>
              <w:rPr>
                <w:sz w:val="6"/>
                <w:szCs w:val="6"/>
                <w:color w:val="auto"/>
              </w:rPr>
            </w:pPr>
          </w:p>
        </w:tc>
        <w:tc>
          <w:tcPr>
            <w:tcW w:w="700" w:type="dxa"/>
            <w:vAlign w:val="bottom"/>
            <w:shd w:val="clear" w:color="auto" w:fill="F3EFE9"/>
          </w:tcPr>
          <w:p>
            <w:pPr>
              <w:spacing w:after="0"/>
              <w:rPr>
                <w:sz w:val="6"/>
                <w:szCs w:val="6"/>
                <w:color w:val="auto"/>
              </w:rPr>
            </w:pPr>
          </w:p>
        </w:tc>
        <w:tc>
          <w:tcPr>
            <w:tcW w:w="160" w:type="dxa"/>
            <w:vAlign w:val="bottom"/>
            <w:shd w:val="clear" w:color="auto" w:fill="F3EFE9"/>
          </w:tcPr>
          <w:p>
            <w:pPr>
              <w:spacing w:after="0"/>
              <w:rPr>
                <w:sz w:val="6"/>
                <w:szCs w:val="6"/>
                <w:color w:val="auto"/>
              </w:rPr>
            </w:pPr>
          </w:p>
        </w:tc>
        <w:tc>
          <w:tcPr>
            <w:tcW w:w="520" w:type="dxa"/>
            <w:vAlign w:val="bottom"/>
            <w:shd w:val="clear" w:color="auto" w:fill="F3EFE9"/>
          </w:tcPr>
          <w:p>
            <w:pPr>
              <w:spacing w:after="0"/>
              <w:rPr>
                <w:sz w:val="6"/>
                <w:szCs w:val="6"/>
                <w:color w:val="auto"/>
              </w:rPr>
            </w:pPr>
          </w:p>
        </w:tc>
        <w:tc>
          <w:tcPr>
            <w:tcW w:w="100" w:type="dxa"/>
            <w:vAlign w:val="bottom"/>
            <w:shd w:val="clear" w:color="auto" w:fill="F3EFE9"/>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800" w:type="dxa"/>
            <w:vAlign w:val="bottom"/>
            <w:tcBorders>
              <w:bottom w:val="single" w:sz="8" w:color="98BDE2"/>
            </w:tcBorders>
          </w:tcPr>
          <w:p>
            <w:pPr>
              <w:spacing w:after="0"/>
              <w:rPr>
                <w:sz w:val="12"/>
                <w:szCs w:val="12"/>
                <w:color w:val="auto"/>
              </w:rPr>
            </w:pPr>
          </w:p>
        </w:tc>
        <w:tc>
          <w:tcPr>
            <w:tcW w:w="820" w:type="dxa"/>
            <w:vAlign w:val="bottom"/>
            <w:tcBorders>
              <w:bottom w:val="single" w:sz="8" w:color="98BDE2"/>
            </w:tcBorders>
          </w:tcPr>
          <w:p>
            <w:pPr>
              <w:spacing w:after="0"/>
              <w:rPr>
                <w:sz w:val="12"/>
                <w:szCs w:val="12"/>
                <w:color w:val="auto"/>
              </w:rPr>
            </w:pPr>
          </w:p>
        </w:tc>
        <w:tc>
          <w:tcPr>
            <w:tcW w:w="2780" w:type="dxa"/>
            <w:vAlign w:val="bottom"/>
            <w:tcBorders>
              <w:bottom w:val="single" w:sz="8" w:color="98BDE2"/>
            </w:tcBorders>
          </w:tcPr>
          <w:p>
            <w:pPr>
              <w:spacing w:after="0"/>
              <w:rPr>
                <w:sz w:val="12"/>
                <w:szCs w:val="12"/>
                <w:color w:val="auto"/>
              </w:rPr>
            </w:pPr>
          </w:p>
        </w:tc>
        <w:tc>
          <w:tcPr>
            <w:tcW w:w="1780" w:type="dxa"/>
            <w:vAlign w:val="bottom"/>
            <w:tcBorders>
              <w:bottom w:val="single" w:sz="8" w:color="98BDE2"/>
            </w:tcBorders>
          </w:tcPr>
          <w:p>
            <w:pPr>
              <w:spacing w:after="0"/>
              <w:rPr>
                <w:sz w:val="12"/>
                <w:szCs w:val="12"/>
                <w:color w:val="auto"/>
              </w:rPr>
            </w:pPr>
          </w:p>
        </w:tc>
        <w:tc>
          <w:tcPr>
            <w:tcW w:w="1220" w:type="dxa"/>
            <w:vAlign w:val="bottom"/>
            <w:tcBorders>
              <w:bottom w:val="single" w:sz="8" w:color="98BDE2"/>
            </w:tcBorders>
          </w:tcPr>
          <w:p>
            <w:pPr>
              <w:spacing w:after="0"/>
              <w:rPr>
                <w:sz w:val="12"/>
                <w:szCs w:val="12"/>
                <w:color w:val="auto"/>
              </w:rPr>
            </w:pPr>
          </w:p>
        </w:tc>
        <w:tc>
          <w:tcPr>
            <w:tcW w:w="680" w:type="dxa"/>
            <w:vAlign w:val="bottom"/>
            <w:tcBorders>
              <w:bottom w:val="single" w:sz="8" w:color="98BDE2"/>
            </w:tcBorders>
            <w:shd w:val="clear" w:color="auto" w:fill="F3EFE9"/>
          </w:tcPr>
          <w:p>
            <w:pPr>
              <w:spacing w:after="0"/>
              <w:rPr>
                <w:sz w:val="12"/>
                <w:szCs w:val="12"/>
                <w:color w:val="auto"/>
              </w:rPr>
            </w:pPr>
          </w:p>
        </w:tc>
        <w:tc>
          <w:tcPr>
            <w:tcW w:w="680" w:type="dxa"/>
            <w:vAlign w:val="bottom"/>
            <w:tcBorders>
              <w:bottom w:val="single" w:sz="8" w:color="98BDE2"/>
            </w:tcBorders>
            <w:shd w:val="clear" w:color="auto" w:fill="F3EFE9"/>
          </w:tcPr>
          <w:p>
            <w:pPr>
              <w:spacing w:after="0"/>
              <w:rPr>
                <w:sz w:val="12"/>
                <w:szCs w:val="12"/>
                <w:color w:val="auto"/>
              </w:rPr>
            </w:pPr>
          </w:p>
        </w:tc>
        <w:tc>
          <w:tcPr>
            <w:tcW w:w="700" w:type="dxa"/>
            <w:vAlign w:val="bottom"/>
            <w:tcBorders>
              <w:bottom w:val="single" w:sz="8" w:color="98BDE2"/>
            </w:tcBorders>
            <w:shd w:val="clear" w:color="auto" w:fill="F3EFE9"/>
          </w:tcPr>
          <w:p>
            <w:pPr>
              <w:spacing w:after="0"/>
              <w:rPr>
                <w:sz w:val="12"/>
                <w:szCs w:val="12"/>
                <w:color w:val="auto"/>
              </w:rPr>
            </w:pPr>
          </w:p>
        </w:tc>
        <w:tc>
          <w:tcPr>
            <w:tcW w:w="160" w:type="dxa"/>
            <w:vAlign w:val="bottom"/>
            <w:tcBorders>
              <w:bottom w:val="single" w:sz="8" w:color="98BDE2"/>
            </w:tcBorders>
            <w:shd w:val="clear" w:color="auto" w:fill="F3EFE9"/>
          </w:tcPr>
          <w:p>
            <w:pPr>
              <w:spacing w:after="0"/>
              <w:rPr>
                <w:sz w:val="12"/>
                <w:szCs w:val="12"/>
                <w:color w:val="auto"/>
              </w:rPr>
            </w:pPr>
          </w:p>
        </w:tc>
        <w:tc>
          <w:tcPr>
            <w:tcW w:w="520" w:type="dxa"/>
            <w:vAlign w:val="bottom"/>
            <w:tcBorders>
              <w:bottom w:val="single" w:sz="8" w:color="98BDE2"/>
            </w:tcBorders>
            <w:shd w:val="clear" w:color="auto" w:fill="F3EFE9"/>
          </w:tcPr>
          <w:p>
            <w:pPr>
              <w:spacing w:after="0"/>
              <w:rPr>
                <w:sz w:val="12"/>
                <w:szCs w:val="12"/>
                <w:color w:val="auto"/>
              </w:rPr>
            </w:pPr>
          </w:p>
        </w:tc>
        <w:tc>
          <w:tcPr>
            <w:tcW w:w="100" w:type="dxa"/>
            <w:vAlign w:val="bottom"/>
            <w:tcBorders>
              <w:bottom w:val="single" w:sz="8" w:color="98BDE2"/>
            </w:tcBorders>
            <w:shd w:val="clear" w:color="auto" w:fill="F3EFE9"/>
          </w:tcPr>
          <w:p>
            <w:pPr>
              <w:spacing w:after="0"/>
              <w:rPr>
                <w:sz w:val="12"/>
                <w:szCs w:val="12"/>
                <w:color w:val="auto"/>
              </w:rPr>
            </w:pPr>
          </w:p>
        </w:tc>
        <w:tc>
          <w:tcPr>
            <w:tcW w:w="0" w:type="dxa"/>
            <w:vAlign w:val="bottom"/>
          </w:tcPr>
          <w:p>
            <w:pPr>
              <w:spacing w:after="0"/>
              <w:rPr>
                <w:sz w:val="1"/>
                <w:szCs w:val="1"/>
                <w:color w:val="auto"/>
              </w:rPr>
            </w:pPr>
          </w:p>
        </w:tc>
      </w:tr>
      <w:tr>
        <w:trPr>
          <w:trHeight w:val="410"/>
        </w:trPr>
        <w:tc>
          <w:tcPr>
            <w:tcW w:w="1800" w:type="dxa"/>
            <w:vAlign w:val="bottom"/>
          </w:tcPr>
          <w:p>
            <w:pPr>
              <w:ind w:left="720"/>
              <w:spacing w:after="0"/>
              <w:rPr>
                <w:sz w:val="20"/>
                <w:szCs w:val="20"/>
                <w:color w:val="auto"/>
              </w:rPr>
            </w:pPr>
            <w:r>
              <w:rPr>
                <w:rFonts w:ascii="Arial" w:cs="Arial" w:eastAsia="Arial" w:hAnsi="Arial"/>
                <w:sz w:val="14"/>
                <w:szCs w:val="14"/>
                <w:b w:val="1"/>
                <w:bCs w:val="1"/>
                <w:color w:val="032E5C"/>
              </w:rPr>
              <w:t>Iris Knobloch</w:t>
            </w:r>
          </w:p>
        </w:tc>
        <w:tc>
          <w:tcPr>
            <w:tcW w:w="820" w:type="dxa"/>
            <w:vAlign w:val="bottom"/>
          </w:tcPr>
          <w:p>
            <w:pPr>
              <w:jc w:val="center"/>
              <w:ind w:left="28"/>
              <w:spacing w:after="0"/>
              <w:rPr>
                <w:sz w:val="20"/>
                <w:szCs w:val="20"/>
                <w:color w:val="auto"/>
              </w:rPr>
            </w:pPr>
            <w:r>
              <w:rPr>
                <w:rFonts w:ascii="Arial" w:cs="Arial" w:eastAsia="Arial" w:hAnsi="Arial"/>
                <w:sz w:val="14"/>
                <w:szCs w:val="14"/>
                <w:color w:val="032E5C"/>
              </w:rPr>
              <w:t>2024</w:t>
            </w:r>
          </w:p>
        </w:tc>
        <w:tc>
          <w:tcPr>
            <w:tcW w:w="2780" w:type="dxa"/>
            <w:vAlign w:val="bottom"/>
          </w:tcPr>
          <w:p>
            <w:pPr>
              <w:ind w:left="100"/>
              <w:spacing w:after="0"/>
              <w:rPr>
                <w:sz w:val="20"/>
                <w:szCs w:val="20"/>
                <w:color w:val="auto"/>
              </w:rPr>
            </w:pPr>
            <w:r>
              <w:rPr>
                <w:rFonts w:ascii="Arial" w:cs="Arial" w:eastAsia="Arial" w:hAnsi="Arial"/>
                <w:sz w:val="14"/>
                <w:szCs w:val="14"/>
                <w:color w:val="032E5C"/>
              </w:rPr>
              <w:t>President, Cannes Film Festival</w:t>
            </w:r>
          </w:p>
        </w:tc>
        <w:tc>
          <w:tcPr>
            <w:tcW w:w="1780" w:type="dxa"/>
            <w:vAlign w:val="bottom"/>
          </w:tcPr>
          <w:p>
            <w:pPr>
              <w:spacing w:after="0"/>
              <w:rPr>
                <w:sz w:val="24"/>
                <w:szCs w:val="24"/>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color w:val="032E5C"/>
                <w:w w:val="99"/>
              </w:rPr>
              <w:t>Yes</w:t>
            </w:r>
          </w:p>
        </w:tc>
        <w:tc>
          <w:tcPr>
            <w:tcW w:w="680" w:type="dxa"/>
            <w:vAlign w:val="bottom"/>
            <w:shd w:val="clear" w:color="auto" w:fill="F3EFE9"/>
          </w:tcPr>
          <w:p>
            <w:pPr>
              <w:spacing w:after="0"/>
              <w:rPr>
                <w:sz w:val="24"/>
                <w:szCs w:val="24"/>
                <w:color w:val="auto"/>
              </w:rPr>
            </w:pPr>
          </w:p>
        </w:tc>
        <w:tc>
          <w:tcPr>
            <w:tcW w:w="680" w:type="dxa"/>
            <w:vAlign w:val="bottom"/>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7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52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00" w:type="dxa"/>
            <w:vAlign w:val="bottom"/>
            <w:tcBorders>
              <w:bottom w:val="single" w:sz="8" w:color="98BDE2"/>
            </w:tcBorders>
          </w:tcPr>
          <w:p>
            <w:pPr>
              <w:spacing w:after="0"/>
              <w:rPr>
                <w:sz w:val="18"/>
                <w:szCs w:val="18"/>
                <w:color w:val="auto"/>
              </w:rPr>
            </w:pPr>
          </w:p>
        </w:tc>
        <w:tc>
          <w:tcPr>
            <w:tcW w:w="820" w:type="dxa"/>
            <w:vAlign w:val="bottom"/>
            <w:tcBorders>
              <w:bottom w:val="single" w:sz="8" w:color="98BDE2"/>
            </w:tcBorders>
          </w:tcPr>
          <w:p>
            <w:pPr>
              <w:spacing w:after="0"/>
              <w:rPr>
                <w:sz w:val="18"/>
                <w:szCs w:val="18"/>
                <w:color w:val="auto"/>
              </w:rPr>
            </w:pPr>
          </w:p>
        </w:tc>
        <w:tc>
          <w:tcPr>
            <w:tcW w:w="2780" w:type="dxa"/>
            <w:vAlign w:val="bottom"/>
            <w:tcBorders>
              <w:bottom w:val="single" w:sz="8" w:color="98BDE2"/>
            </w:tcBorders>
          </w:tcPr>
          <w:p>
            <w:pPr>
              <w:spacing w:after="0"/>
              <w:rPr>
                <w:sz w:val="18"/>
                <w:szCs w:val="18"/>
                <w:color w:val="auto"/>
              </w:rPr>
            </w:pPr>
          </w:p>
        </w:tc>
        <w:tc>
          <w:tcPr>
            <w:tcW w:w="1780" w:type="dxa"/>
            <w:vAlign w:val="bottom"/>
            <w:tcBorders>
              <w:bottom w:val="single" w:sz="8" w:color="98BDE2"/>
            </w:tcBorders>
          </w:tcPr>
          <w:p>
            <w:pPr>
              <w:spacing w:after="0"/>
              <w:rPr>
                <w:sz w:val="18"/>
                <w:szCs w:val="18"/>
                <w:color w:val="auto"/>
              </w:rPr>
            </w:pPr>
          </w:p>
        </w:tc>
        <w:tc>
          <w:tcPr>
            <w:tcW w:w="1220" w:type="dxa"/>
            <w:vAlign w:val="bottom"/>
            <w:tcBorders>
              <w:bottom w:val="single" w:sz="8" w:color="98BDE2"/>
            </w:tcBorders>
          </w:tcPr>
          <w:p>
            <w:pPr>
              <w:spacing w:after="0"/>
              <w:rPr>
                <w:sz w:val="18"/>
                <w:szCs w:val="18"/>
                <w:color w:val="auto"/>
              </w:rPr>
            </w:pPr>
          </w:p>
        </w:tc>
        <w:tc>
          <w:tcPr>
            <w:tcW w:w="680" w:type="dxa"/>
            <w:vAlign w:val="bottom"/>
            <w:tcBorders>
              <w:bottom w:val="single" w:sz="8" w:color="98BDE2"/>
            </w:tcBorders>
            <w:shd w:val="clear" w:color="auto" w:fill="F3EFE9"/>
          </w:tcPr>
          <w:p>
            <w:pPr>
              <w:spacing w:after="0"/>
              <w:rPr>
                <w:sz w:val="18"/>
                <w:szCs w:val="18"/>
                <w:color w:val="auto"/>
              </w:rPr>
            </w:pPr>
          </w:p>
        </w:tc>
        <w:tc>
          <w:tcPr>
            <w:tcW w:w="680" w:type="dxa"/>
            <w:vAlign w:val="bottom"/>
            <w:tcBorders>
              <w:bottom w:val="single" w:sz="8" w:color="98BDE2"/>
            </w:tcBorders>
            <w:shd w:val="clear" w:color="auto" w:fill="F3EFE9"/>
          </w:tcPr>
          <w:p>
            <w:pPr>
              <w:spacing w:after="0"/>
              <w:rPr>
                <w:sz w:val="18"/>
                <w:szCs w:val="18"/>
                <w:color w:val="auto"/>
              </w:rPr>
            </w:pPr>
          </w:p>
        </w:tc>
        <w:tc>
          <w:tcPr>
            <w:tcW w:w="700" w:type="dxa"/>
            <w:vAlign w:val="bottom"/>
            <w:tcBorders>
              <w:bottom w:val="single" w:sz="8" w:color="98BDE2"/>
            </w:tcBorders>
            <w:shd w:val="clear" w:color="auto" w:fill="F3EFE9"/>
          </w:tcPr>
          <w:p>
            <w:pPr>
              <w:spacing w:after="0"/>
              <w:rPr>
                <w:sz w:val="18"/>
                <w:szCs w:val="18"/>
                <w:color w:val="auto"/>
              </w:rPr>
            </w:pPr>
          </w:p>
        </w:tc>
        <w:tc>
          <w:tcPr>
            <w:tcW w:w="160" w:type="dxa"/>
            <w:vAlign w:val="bottom"/>
            <w:tcBorders>
              <w:bottom w:val="single" w:sz="8" w:color="98BDE2"/>
            </w:tcBorders>
            <w:shd w:val="clear" w:color="auto" w:fill="F3EFE9"/>
          </w:tcPr>
          <w:p>
            <w:pPr>
              <w:spacing w:after="0"/>
              <w:rPr>
                <w:sz w:val="18"/>
                <w:szCs w:val="18"/>
                <w:color w:val="auto"/>
              </w:rPr>
            </w:pPr>
          </w:p>
        </w:tc>
        <w:tc>
          <w:tcPr>
            <w:tcW w:w="520" w:type="dxa"/>
            <w:vAlign w:val="bottom"/>
            <w:tcBorders>
              <w:bottom w:val="single" w:sz="8" w:color="98BDE2"/>
            </w:tcBorders>
            <w:shd w:val="clear" w:color="auto" w:fill="F3EFE9"/>
          </w:tcPr>
          <w:p>
            <w:pPr>
              <w:spacing w:after="0"/>
              <w:rPr>
                <w:sz w:val="18"/>
                <w:szCs w:val="18"/>
                <w:color w:val="auto"/>
              </w:rPr>
            </w:pPr>
          </w:p>
        </w:tc>
        <w:tc>
          <w:tcPr>
            <w:tcW w:w="100" w:type="dxa"/>
            <w:vAlign w:val="bottom"/>
            <w:tcBorders>
              <w:bottom w:val="single" w:sz="8" w:color="98BDE2"/>
            </w:tcBorders>
            <w:shd w:val="clear" w:color="auto" w:fill="F3EFE9"/>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800" w:type="dxa"/>
            <w:vAlign w:val="bottom"/>
          </w:tcPr>
          <w:p>
            <w:pPr>
              <w:ind w:left="720"/>
              <w:spacing w:after="0"/>
              <w:rPr>
                <w:sz w:val="20"/>
                <w:szCs w:val="20"/>
                <w:color w:val="auto"/>
              </w:rPr>
            </w:pPr>
            <w:r>
              <w:rPr>
                <w:rFonts w:ascii="Arial" w:cs="Arial" w:eastAsia="Arial" w:hAnsi="Arial"/>
                <w:sz w:val="14"/>
                <w:szCs w:val="14"/>
                <w:b w:val="1"/>
                <w:bCs w:val="1"/>
                <w:color w:val="032E5C"/>
              </w:rPr>
              <w:t>Kirsten A.</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color w:val="032E5C"/>
              </w:rPr>
              <w:t>2021</w:t>
            </w:r>
          </w:p>
        </w:tc>
        <w:tc>
          <w:tcPr>
            <w:tcW w:w="2780" w:type="dxa"/>
            <w:vAlign w:val="bottom"/>
            <w:vMerge w:val="restart"/>
          </w:tcPr>
          <w:p>
            <w:pPr>
              <w:ind w:left="100"/>
              <w:spacing w:after="0"/>
              <w:rPr>
                <w:sz w:val="20"/>
                <w:szCs w:val="20"/>
                <w:color w:val="auto"/>
              </w:rPr>
            </w:pPr>
            <w:r>
              <w:rPr>
                <w:rFonts w:ascii="Arial" w:cs="Arial" w:eastAsia="Arial" w:hAnsi="Arial"/>
                <w:sz w:val="14"/>
                <w:szCs w:val="14"/>
                <w:color w:val="032E5C"/>
              </w:rPr>
              <w:t>CEO, Vail Resorts, Inc.</w:t>
            </w:r>
          </w:p>
        </w:tc>
        <w:tc>
          <w:tcPr>
            <w:tcW w:w="1780" w:type="dxa"/>
            <w:vAlign w:val="bottom"/>
          </w:tcPr>
          <w:p>
            <w:pPr>
              <w:spacing w:after="0"/>
              <w:rPr>
                <w:sz w:val="24"/>
                <w:szCs w:val="24"/>
                <w:color w:val="auto"/>
              </w:rPr>
            </w:pPr>
          </w:p>
        </w:tc>
        <w:tc>
          <w:tcPr>
            <w:tcW w:w="1220" w:type="dxa"/>
            <w:vAlign w:val="bottom"/>
            <w:vMerge w:val="restart"/>
          </w:tcPr>
          <w:p>
            <w:pPr>
              <w:jc w:val="center"/>
              <w:ind w:right="8"/>
              <w:spacing w:after="0"/>
              <w:rPr>
                <w:sz w:val="20"/>
                <w:szCs w:val="20"/>
                <w:color w:val="auto"/>
              </w:rPr>
            </w:pPr>
            <w:r>
              <w:rPr>
                <w:rFonts w:ascii="Arial" w:cs="Arial" w:eastAsia="Arial" w:hAnsi="Arial"/>
                <w:sz w:val="14"/>
                <w:szCs w:val="14"/>
                <w:color w:val="032E5C"/>
              </w:rPr>
              <w:t>No</w:t>
            </w:r>
          </w:p>
        </w:tc>
        <w:tc>
          <w:tcPr>
            <w:tcW w:w="680" w:type="dxa"/>
            <w:vAlign w:val="bottom"/>
            <w:shd w:val="clear" w:color="auto" w:fill="F3EFE9"/>
          </w:tcPr>
          <w:p>
            <w:pPr>
              <w:spacing w:after="0"/>
              <w:rPr>
                <w:sz w:val="24"/>
                <w:szCs w:val="24"/>
                <w:color w:val="auto"/>
              </w:rPr>
            </w:pPr>
          </w:p>
        </w:tc>
        <w:tc>
          <w:tcPr>
            <w:tcW w:w="680" w:type="dxa"/>
            <w:vAlign w:val="bottom"/>
            <w:shd w:val="clear" w:color="auto" w:fill="F3EFE9"/>
          </w:tcPr>
          <w:p>
            <w:pPr>
              <w:spacing w:after="0"/>
              <w:rPr>
                <w:sz w:val="24"/>
                <w:szCs w:val="24"/>
                <w:color w:val="auto"/>
              </w:rPr>
            </w:pPr>
          </w:p>
        </w:tc>
        <w:tc>
          <w:tcPr>
            <w:tcW w:w="7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520" w:type="dxa"/>
            <w:vAlign w:val="bottom"/>
            <w:vMerge w:val="restart"/>
            <w:shd w:val="clear" w:color="auto" w:fill="F3EFE9"/>
          </w:tcPr>
          <w:p>
            <w:pPr>
              <w:jc w:val="center"/>
              <w:ind w:right="88"/>
              <w:spacing w:after="0"/>
              <w:rPr>
                <w:sz w:val="20"/>
                <w:szCs w:val="20"/>
                <w:color w:val="auto"/>
              </w:rPr>
            </w:pPr>
            <w:r>
              <w:rPr>
                <w:rFonts w:ascii="Wingdings" w:cs="Wingdings" w:eastAsia="Wingdings" w:hAnsi="Wingdings"/>
                <w:sz w:val="14"/>
                <w:szCs w:val="14"/>
                <w:b w:val="1"/>
                <w:bCs w:val="1"/>
                <w:color w:val="3E5C7C"/>
              </w:rPr>
              <w:t>n</w:t>
            </w: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032E5C"/>
              </w:rPr>
              <w:t>Lynch</w:t>
            </w:r>
          </w:p>
        </w:tc>
        <w:tc>
          <w:tcPr>
            <w:tcW w:w="820" w:type="dxa"/>
            <w:vAlign w:val="bottom"/>
            <w:vMerge w:val="continue"/>
          </w:tcPr>
          <w:p>
            <w:pPr>
              <w:spacing w:after="0"/>
              <w:rPr>
                <w:sz w:val="9"/>
                <w:szCs w:val="9"/>
                <w:color w:val="auto"/>
              </w:rPr>
            </w:pPr>
          </w:p>
        </w:tc>
        <w:tc>
          <w:tcPr>
            <w:tcW w:w="278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80" w:type="dxa"/>
            <w:vAlign w:val="bottom"/>
            <w:shd w:val="clear" w:color="auto" w:fill="F3EFE9"/>
          </w:tcPr>
          <w:p>
            <w:pPr>
              <w:spacing w:after="0"/>
              <w:rPr>
                <w:sz w:val="9"/>
                <w:szCs w:val="9"/>
                <w:color w:val="auto"/>
              </w:rPr>
            </w:pPr>
          </w:p>
        </w:tc>
        <w:tc>
          <w:tcPr>
            <w:tcW w:w="680" w:type="dxa"/>
            <w:vAlign w:val="bottom"/>
            <w:shd w:val="clear" w:color="auto" w:fill="F3EFE9"/>
          </w:tcPr>
          <w:p>
            <w:pPr>
              <w:spacing w:after="0"/>
              <w:rPr>
                <w:sz w:val="9"/>
                <w:szCs w:val="9"/>
                <w:color w:val="auto"/>
              </w:rPr>
            </w:pPr>
          </w:p>
        </w:tc>
        <w:tc>
          <w:tcPr>
            <w:tcW w:w="7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520" w:type="dxa"/>
            <w:vAlign w:val="bottom"/>
            <w:vMerge w:val="continue"/>
            <w:shd w:val="clear" w:color="auto" w:fill="F3EFE9"/>
          </w:tcPr>
          <w:p>
            <w:pPr>
              <w:spacing w:after="0"/>
              <w:rPr>
                <w:sz w:val="9"/>
                <w:szCs w:val="9"/>
                <w:color w:val="auto"/>
              </w:rPr>
            </w:pPr>
          </w:p>
        </w:tc>
        <w:tc>
          <w:tcPr>
            <w:tcW w:w="10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7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520" w:type="dxa"/>
            <w:vAlign w:val="bottom"/>
            <w:shd w:val="clear" w:color="auto" w:fill="F3EFE9"/>
          </w:tcPr>
          <w:p>
            <w:pPr>
              <w:spacing w:after="0"/>
              <w:rPr>
                <w:sz w:val="7"/>
                <w:szCs w:val="7"/>
                <w:color w:val="auto"/>
              </w:rPr>
            </w:pPr>
          </w:p>
        </w:tc>
        <w:tc>
          <w:tcPr>
            <w:tcW w:w="10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98BDE2"/>
            </w:tcBorders>
          </w:tcPr>
          <w:p>
            <w:pPr>
              <w:spacing w:after="0"/>
              <w:rPr>
                <w:sz w:val="11"/>
                <w:szCs w:val="11"/>
                <w:color w:val="auto"/>
              </w:rPr>
            </w:pPr>
          </w:p>
        </w:tc>
        <w:tc>
          <w:tcPr>
            <w:tcW w:w="820" w:type="dxa"/>
            <w:vAlign w:val="bottom"/>
            <w:tcBorders>
              <w:bottom w:val="single" w:sz="8" w:color="98BDE2"/>
            </w:tcBorders>
          </w:tcPr>
          <w:p>
            <w:pPr>
              <w:spacing w:after="0"/>
              <w:rPr>
                <w:sz w:val="11"/>
                <w:szCs w:val="11"/>
                <w:color w:val="auto"/>
              </w:rPr>
            </w:pPr>
          </w:p>
        </w:tc>
        <w:tc>
          <w:tcPr>
            <w:tcW w:w="2780" w:type="dxa"/>
            <w:vAlign w:val="bottom"/>
            <w:tcBorders>
              <w:bottom w:val="single" w:sz="8" w:color="98BDE2"/>
            </w:tcBorders>
          </w:tcPr>
          <w:p>
            <w:pPr>
              <w:spacing w:after="0"/>
              <w:rPr>
                <w:sz w:val="11"/>
                <w:szCs w:val="11"/>
                <w:color w:val="auto"/>
              </w:rPr>
            </w:pPr>
          </w:p>
        </w:tc>
        <w:tc>
          <w:tcPr>
            <w:tcW w:w="1780" w:type="dxa"/>
            <w:vAlign w:val="bottom"/>
            <w:tcBorders>
              <w:bottom w:val="single" w:sz="8" w:color="98BDE2"/>
            </w:tcBorders>
          </w:tcPr>
          <w:p>
            <w:pPr>
              <w:spacing w:after="0"/>
              <w:rPr>
                <w:sz w:val="11"/>
                <w:szCs w:val="11"/>
                <w:color w:val="auto"/>
              </w:rPr>
            </w:pPr>
          </w:p>
        </w:tc>
        <w:tc>
          <w:tcPr>
            <w:tcW w:w="1220" w:type="dxa"/>
            <w:vAlign w:val="bottom"/>
            <w:tcBorders>
              <w:bottom w:val="single" w:sz="8" w:color="98BDE2"/>
            </w:tcBorders>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7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520" w:type="dxa"/>
            <w:vAlign w:val="bottom"/>
            <w:tcBorders>
              <w:bottom w:val="single" w:sz="8" w:color="98BDE2"/>
            </w:tcBorders>
            <w:shd w:val="clear" w:color="auto" w:fill="F3EFE9"/>
          </w:tcPr>
          <w:p>
            <w:pPr>
              <w:spacing w:after="0"/>
              <w:rPr>
                <w:sz w:val="11"/>
                <w:szCs w:val="11"/>
                <w:color w:val="auto"/>
              </w:rPr>
            </w:pPr>
          </w:p>
        </w:tc>
        <w:tc>
          <w:tcPr>
            <w:tcW w:w="10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800" w:type="dxa"/>
            <w:vAlign w:val="bottom"/>
          </w:tcPr>
          <w:p>
            <w:pPr>
              <w:ind w:left="720"/>
              <w:spacing w:after="0"/>
              <w:rPr>
                <w:sz w:val="20"/>
                <w:szCs w:val="20"/>
                <w:color w:val="auto"/>
              </w:rPr>
            </w:pPr>
            <w:r>
              <w:rPr>
                <w:rFonts w:ascii="Arial" w:cs="Arial" w:eastAsia="Arial" w:hAnsi="Arial"/>
                <w:sz w:val="14"/>
                <w:szCs w:val="14"/>
                <w:b w:val="1"/>
                <w:bCs w:val="1"/>
                <w:color w:val="032E5C"/>
              </w:rPr>
              <w:t>Nadia N.</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color w:val="032E5C"/>
              </w:rPr>
              <w:t>2019</w:t>
            </w:r>
          </w:p>
        </w:tc>
        <w:tc>
          <w:tcPr>
            <w:tcW w:w="4560" w:type="dxa"/>
            <w:vAlign w:val="bottom"/>
            <w:gridSpan w:val="2"/>
            <w:vMerge w:val="restart"/>
          </w:tcPr>
          <w:p>
            <w:pPr>
              <w:ind w:left="100"/>
              <w:spacing w:after="0"/>
              <w:rPr>
                <w:sz w:val="20"/>
                <w:szCs w:val="20"/>
                <w:color w:val="auto"/>
              </w:rPr>
            </w:pPr>
            <w:r>
              <w:rPr>
                <w:rFonts w:ascii="Arial" w:cs="Arial" w:eastAsia="Arial" w:hAnsi="Arial"/>
                <w:sz w:val="14"/>
                <w:szCs w:val="14"/>
                <w:color w:val="032E5C"/>
              </w:rPr>
              <w:t>Co-Owner and Operating Chairman, WNBA Chicago Sky</w:t>
            </w:r>
          </w:p>
        </w:tc>
        <w:tc>
          <w:tcPr>
            <w:tcW w:w="1220" w:type="dxa"/>
            <w:vAlign w:val="bottom"/>
            <w:vMerge w:val="restart"/>
          </w:tcPr>
          <w:p>
            <w:pPr>
              <w:jc w:val="center"/>
              <w:ind w:right="28"/>
              <w:spacing w:after="0"/>
              <w:rPr>
                <w:sz w:val="20"/>
                <w:szCs w:val="20"/>
                <w:color w:val="auto"/>
              </w:rPr>
            </w:pPr>
            <w:r>
              <w:rPr>
                <w:rFonts w:ascii="Arial" w:cs="Arial" w:eastAsia="Arial" w:hAnsi="Arial"/>
                <w:sz w:val="14"/>
                <w:szCs w:val="14"/>
                <w:color w:val="032E5C"/>
                <w:w w:val="99"/>
              </w:rPr>
              <w:t>Yes</w:t>
            </w:r>
          </w:p>
        </w:tc>
        <w:tc>
          <w:tcPr>
            <w:tcW w:w="680" w:type="dxa"/>
            <w:vAlign w:val="bottom"/>
            <w:shd w:val="clear" w:color="auto" w:fill="F3EFE9"/>
          </w:tcPr>
          <w:p>
            <w:pPr>
              <w:spacing w:after="0"/>
              <w:rPr>
                <w:sz w:val="24"/>
                <w:szCs w:val="24"/>
                <w:color w:val="auto"/>
              </w:rPr>
            </w:pPr>
          </w:p>
        </w:tc>
        <w:tc>
          <w:tcPr>
            <w:tcW w:w="680" w:type="dxa"/>
            <w:vAlign w:val="bottom"/>
            <w:vMerge w:val="restart"/>
            <w:shd w:val="clear" w:color="auto" w:fill="F3EFE9"/>
          </w:tcPr>
          <w:p>
            <w:pPr>
              <w:jc w:val="center"/>
              <w:spacing w:after="0"/>
              <w:rPr>
                <w:sz w:val="20"/>
                <w:szCs w:val="20"/>
                <w:color w:val="auto"/>
              </w:rPr>
            </w:pPr>
            <w:r>
              <w:rPr>
                <w:rFonts w:ascii="Arial" w:cs="Arial" w:eastAsia="Arial" w:hAnsi="Arial"/>
                <w:sz w:val="14"/>
                <w:szCs w:val="14"/>
                <w:color w:val="032E5C"/>
              </w:rPr>
              <w:t>Chair</w:t>
            </w:r>
          </w:p>
        </w:tc>
        <w:tc>
          <w:tcPr>
            <w:tcW w:w="7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52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032E5C"/>
              </w:rPr>
              <w:t>Rawlinson</w:t>
            </w:r>
          </w:p>
        </w:tc>
        <w:tc>
          <w:tcPr>
            <w:tcW w:w="820" w:type="dxa"/>
            <w:vAlign w:val="bottom"/>
            <w:vMerge w:val="continue"/>
          </w:tcPr>
          <w:p>
            <w:pPr>
              <w:spacing w:after="0"/>
              <w:rPr>
                <w:sz w:val="9"/>
                <w:szCs w:val="9"/>
                <w:color w:val="auto"/>
              </w:rPr>
            </w:pPr>
          </w:p>
        </w:tc>
        <w:tc>
          <w:tcPr>
            <w:tcW w:w="456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80" w:type="dxa"/>
            <w:vAlign w:val="bottom"/>
            <w:shd w:val="clear" w:color="auto" w:fill="F3EFE9"/>
          </w:tcPr>
          <w:p>
            <w:pPr>
              <w:spacing w:after="0"/>
              <w:rPr>
                <w:sz w:val="9"/>
                <w:szCs w:val="9"/>
                <w:color w:val="auto"/>
              </w:rPr>
            </w:pPr>
          </w:p>
        </w:tc>
        <w:tc>
          <w:tcPr>
            <w:tcW w:w="680" w:type="dxa"/>
            <w:vAlign w:val="bottom"/>
            <w:vMerge w:val="continue"/>
            <w:shd w:val="clear" w:color="auto" w:fill="F3EFE9"/>
          </w:tcPr>
          <w:p>
            <w:pPr>
              <w:spacing w:after="0"/>
              <w:rPr>
                <w:sz w:val="9"/>
                <w:szCs w:val="9"/>
                <w:color w:val="auto"/>
              </w:rPr>
            </w:pPr>
          </w:p>
        </w:tc>
        <w:tc>
          <w:tcPr>
            <w:tcW w:w="7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520" w:type="dxa"/>
            <w:vAlign w:val="bottom"/>
            <w:shd w:val="clear" w:color="auto" w:fill="F3EFE9"/>
          </w:tcPr>
          <w:p>
            <w:pPr>
              <w:spacing w:after="0"/>
              <w:rPr>
                <w:sz w:val="9"/>
                <w:szCs w:val="9"/>
                <w:color w:val="auto"/>
              </w:rPr>
            </w:pPr>
          </w:p>
        </w:tc>
        <w:tc>
          <w:tcPr>
            <w:tcW w:w="10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7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520" w:type="dxa"/>
            <w:vAlign w:val="bottom"/>
            <w:shd w:val="clear" w:color="auto" w:fill="F3EFE9"/>
          </w:tcPr>
          <w:p>
            <w:pPr>
              <w:spacing w:after="0"/>
              <w:rPr>
                <w:sz w:val="7"/>
                <w:szCs w:val="7"/>
                <w:color w:val="auto"/>
              </w:rPr>
            </w:pPr>
          </w:p>
        </w:tc>
        <w:tc>
          <w:tcPr>
            <w:tcW w:w="10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98BDE2"/>
            </w:tcBorders>
          </w:tcPr>
          <w:p>
            <w:pPr>
              <w:spacing w:after="0"/>
              <w:rPr>
                <w:sz w:val="11"/>
                <w:szCs w:val="11"/>
                <w:color w:val="auto"/>
              </w:rPr>
            </w:pPr>
          </w:p>
        </w:tc>
        <w:tc>
          <w:tcPr>
            <w:tcW w:w="820" w:type="dxa"/>
            <w:vAlign w:val="bottom"/>
            <w:tcBorders>
              <w:bottom w:val="single" w:sz="8" w:color="98BDE2"/>
            </w:tcBorders>
          </w:tcPr>
          <w:p>
            <w:pPr>
              <w:spacing w:after="0"/>
              <w:rPr>
                <w:sz w:val="11"/>
                <w:szCs w:val="11"/>
                <w:color w:val="auto"/>
              </w:rPr>
            </w:pPr>
          </w:p>
        </w:tc>
        <w:tc>
          <w:tcPr>
            <w:tcW w:w="2780" w:type="dxa"/>
            <w:vAlign w:val="bottom"/>
            <w:tcBorders>
              <w:bottom w:val="single" w:sz="8" w:color="98BDE2"/>
            </w:tcBorders>
          </w:tcPr>
          <w:p>
            <w:pPr>
              <w:spacing w:after="0"/>
              <w:rPr>
                <w:sz w:val="11"/>
                <w:szCs w:val="11"/>
                <w:color w:val="auto"/>
              </w:rPr>
            </w:pPr>
          </w:p>
        </w:tc>
        <w:tc>
          <w:tcPr>
            <w:tcW w:w="1780" w:type="dxa"/>
            <w:vAlign w:val="bottom"/>
            <w:tcBorders>
              <w:bottom w:val="single" w:sz="8" w:color="98BDE2"/>
            </w:tcBorders>
          </w:tcPr>
          <w:p>
            <w:pPr>
              <w:spacing w:after="0"/>
              <w:rPr>
                <w:sz w:val="11"/>
                <w:szCs w:val="11"/>
                <w:color w:val="auto"/>
              </w:rPr>
            </w:pPr>
          </w:p>
        </w:tc>
        <w:tc>
          <w:tcPr>
            <w:tcW w:w="1220" w:type="dxa"/>
            <w:vAlign w:val="bottom"/>
            <w:tcBorders>
              <w:bottom w:val="single" w:sz="8" w:color="98BDE2"/>
            </w:tcBorders>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7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520" w:type="dxa"/>
            <w:vAlign w:val="bottom"/>
            <w:tcBorders>
              <w:bottom w:val="single" w:sz="8" w:color="98BDE2"/>
            </w:tcBorders>
            <w:shd w:val="clear" w:color="auto" w:fill="F3EFE9"/>
          </w:tcPr>
          <w:p>
            <w:pPr>
              <w:spacing w:after="0"/>
              <w:rPr>
                <w:sz w:val="11"/>
                <w:szCs w:val="11"/>
                <w:color w:val="auto"/>
              </w:rPr>
            </w:pPr>
          </w:p>
        </w:tc>
        <w:tc>
          <w:tcPr>
            <w:tcW w:w="10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410"/>
        </w:trPr>
        <w:tc>
          <w:tcPr>
            <w:tcW w:w="1800" w:type="dxa"/>
            <w:vAlign w:val="bottom"/>
          </w:tcPr>
          <w:p>
            <w:pPr>
              <w:ind w:left="720"/>
              <w:spacing w:after="0"/>
              <w:rPr>
                <w:sz w:val="20"/>
                <w:szCs w:val="20"/>
                <w:color w:val="auto"/>
              </w:rPr>
            </w:pPr>
            <w:r>
              <w:rPr>
                <w:rFonts w:ascii="Arial" w:cs="Arial" w:eastAsia="Arial" w:hAnsi="Arial"/>
                <w:sz w:val="14"/>
                <w:szCs w:val="14"/>
                <w:b w:val="1"/>
                <w:bCs w:val="1"/>
                <w:color w:val="032E5C"/>
              </w:rPr>
              <w:t>John Redmond</w:t>
            </w:r>
          </w:p>
        </w:tc>
        <w:tc>
          <w:tcPr>
            <w:tcW w:w="820" w:type="dxa"/>
            <w:vAlign w:val="bottom"/>
          </w:tcPr>
          <w:p>
            <w:pPr>
              <w:jc w:val="center"/>
              <w:ind w:left="28"/>
              <w:spacing w:after="0"/>
              <w:rPr>
                <w:sz w:val="20"/>
                <w:szCs w:val="20"/>
                <w:color w:val="auto"/>
              </w:rPr>
            </w:pPr>
            <w:r>
              <w:rPr>
                <w:rFonts w:ascii="Arial" w:cs="Arial" w:eastAsia="Arial" w:hAnsi="Arial"/>
                <w:sz w:val="14"/>
                <w:szCs w:val="14"/>
                <w:color w:val="032E5C"/>
              </w:rPr>
              <w:t>2008</w:t>
            </w:r>
          </w:p>
        </w:tc>
        <w:tc>
          <w:tcPr>
            <w:tcW w:w="2780" w:type="dxa"/>
            <w:vAlign w:val="bottom"/>
          </w:tcPr>
          <w:p>
            <w:pPr>
              <w:ind w:left="100"/>
              <w:spacing w:after="0"/>
              <w:rPr>
                <w:sz w:val="20"/>
                <w:szCs w:val="20"/>
                <w:color w:val="auto"/>
              </w:rPr>
            </w:pPr>
            <w:r>
              <w:rPr>
                <w:rFonts w:ascii="Arial" w:cs="Arial" w:eastAsia="Arial" w:hAnsi="Arial"/>
                <w:sz w:val="14"/>
                <w:szCs w:val="14"/>
                <w:color w:val="032E5C"/>
              </w:rPr>
              <w:t>Former CEO, Allegiant Travel Company</w:t>
            </w:r>
          </w:p>
        </w:tc>
        <w:tc>
          <w:tcPr>
            <w:tcW w:w="1780" w:type="dxa"/>
            <w:vAlign w:val="bottom"/>
          </w:tcPr>
          <w:p>
            <w:pPr>
              <w:spacing w:after="0"/>
              <w:rPr>
                <w:sz w:val="24"/>
                <w:szCs w:val="24"/>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color w:val="032E5C"/>
                <w:w w:val="99"/>
              </w:rPr>
              <w:t>Yes</w:t>
            </w:r>
          </w:p>
        </w:tc>
        <w:tc>
          <w:tcPr>
            <w:tcW w:w="680" w:type="dxa"/>
            <w:vAlign w:val="bottom"/>
            <w:shd w:val="clear" w:color="auto" w:fill="F3EFE9"/>
          </w:tcPr>
          <w:p>
            <w:pPr>
              <w:jc w:val="center"/>
              <w:spacing w:after="0"/>
              <w:rPr>
                <w:sz w:val="20"/>
                <w:szCs w:val="20"/>
                <w:color w:val="auto"/>
              </w:rPr>
            </w:pPr>
            <w:r>
              <w:rPr>
                <w:rFonts w:ascii="Arial" w:cs="Arial" w:eastAsia="Arial" w:hAnsi="Arial"/>
                <w:sz w:val="14"/>
                <w:szCs w:val="14"/>
                <w:b w:val="1"/>
                <w:bCs w:val="1"/>
                <w:color w:val="032E5C"/>
                <w:w w:val="92"/>
              </w:rPr>
              <w:t>F</w:t>
            </w:r>
          </w:p>
        </w:tc>
        <w:tc>
          <w:tcPr>
            <w:tcW w:w="680" w:type="dxa"/>
            <w:vAlign w:val="bottom"/>
            <w:shd w:val="clear" w:color="auto" w:fill="F3EFE9"/>
          </w:tcPr>
          <w:p>
            <w:pPr>
              <w:spacing w:after="0"/>
              <w:rPr>
                <w:sz w:val="24"/>
                <w:szCs w:val="24"/>
                <w:color w:val="auto"/>
              </w:rPr>
            </w:pPr>
          </w:p>
        </w:tc>
        <w:tc>
          <w:tcPr>
            <w:tcW w:w="7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52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00" w:type="dxa"/>
            <w:vAlign w:val="bottom"/>
            <w:tcBorders>
              <w:bottom w:val="single" w:sz="8" w:color="98BDE2"/>
            </w:tcBorders>
          </w:tcPr>
          <w:p>
            <w:pPr>
              <w:spacing w:after="0"/>
              <w:rPr>
                <w:sz w:val="18"/>
                <w:szCs w:val="18"/>
                <w:color w:val="auto"/>
              </w:rPr>
            </w:pPr>
          </w:p>
        </w:tc>
        <w:tc>
          <w:tcPr>
            <w:tcW w:w="820" w:type="dxa"/>
            <w:vAlign w:val="bottom"/>
            <w:tcBorders>
              <w:bottom w:val="single" w:sz="8" w:color="98BDE2"/>
            </w:tcBorders>
          </w:tcPr>
          <w:p>
            <w:pPr>
              <w:spacing w:after="0"/>
              <w:rPr>
                <w:sz w:val="18"/>
                <w:szCs w:val="18"/>
                <w:color w:val="auto"/>
              </w:rPr>
            </w:pPr>
          </w:p>
        </w:tc>
        <w:tc>
          <w:tcPr>
            <w:tcW w:w="2780" w:type="dxa"/>
            <w:vAlign w:val="bottom"/>
            <w:tcBorders>
              <w:bottom w:val="single" w:sz="8" w:color="98BDE2"/>
            </w:tcBorders>
          </w:tcPr>
          <w:p>
            <w:pPr>
              <w:spacing w:after="0"/>
              <w:rPr>
                <w:sz w:val="18"/>
                <w:szCs w:val="18"/>
                <w:color w:val="auto"/>
              </w:rPr>
            </w:pPr>
          </w:p>
        </w:tc>
        <w:tc>
          <w:tcPr>
            <w:tcW w:w="1780" w:type="dxa"/>
            <w:vAlign w:val="bottom"/>
            <w:tcBorders>
              <w:bottom w:val="single" w:sz="8" w:color="98BDE2"/>
            </w:tcBorders>
          </w:tcPr>
          <w:p>
            <w:pPr>
              <w:spacing w:after="0"/>
              <w:rPr>
                <w:sz w:val="18"/>
                <w:szCs w:val="18"/>
                <w:color w:val="auto"/>
              </w:rPr>
            </w:pPr>
          </w:p>
        </w:tc>
        <w:tc>
          <w:tcPr>
            <w:tcW w:w="1220" w:type="dxa"/>
            <w:vAlign w:val="bottom"/>
            <w:tcBorders>
              <w:bottom w:val="single" w:sz="8" w:color="98BDE2"/>
            </w:tcBorders>
          </w:tcPr>
          <w:p>
            <w:pPr>
              <w:spacing w:after="0"/>
              <w:rPr>
                <w:sz w:val="18"/>
                <w:szCs w:val="18"/>
                <w:color w:val="auto"/>
              </w:rPr>
            </w:pPr>
          </w:p>
        </w:tc>
        <w:tc>
          <w:tcPr>
            <w:tcW w:w="680" w:type="dxa"/>
            <w:vAlign w:val="bottom"/>
            <w:tcBorders>
              <w:bottom w:val="single" w:sz="8" w:color="98BDE2"/>
            </w:tcBorders>
            <w:shd w:val="clear" w:color="auto" w:fill="F3EFE9"/>
          </w:tcPr>
          <w:p>
            <w:pPr>
              <w:spacing w:after="0"/>
              <w:rPr>
                <w:sz w:val="18"/>
                <w:szCs w:val="18"/>
                <w:color w:val="auto"/>
              </w:rPr>
            </w:pPr>
          </w:p>
        </w:tc>
        <w:tc>
          <w:tcPr>
            <w:tcW w:w="680" w:type="dxa"/>
            <w:vAlign w:val="bottom"/>
            <w:tcBorders>
              <w:bottom w:val="single" w:sz="8" w:color="98BDE2"/>
            </w:tcBorders>
            <w:shd w:val="clear" w:color="auto" w:fill="F3EFE9"/>
          </w:tcPr>
          <w:p>
            <w:pPr>
              <w:spacing w:after="0"/>
              <w:rPr>
                <w:sz w:val="18"/>
                <w:szCs w:val="18"/>
                <w:color w:val="auto"/>
              </w:rPr>
            </w:pPr>
          </w:p>
        </w:tc>
        <w:tc>
          <w:tcPr>
            <w:tcW w:w="700" w:type="dxa"/>
            <w:vAlign w:val="bottom"/>
            <w:tcBorders>
              <w:bottom w:val="single" w:sz="8" w:color="98BDE2"/>
            </w:tcBorders>
            <w:shd w:val="clear" w:color="auto" w:fill="F3EFE9"/>
          </w:tcPr>
          <w:p>
            <w:pPr>
              <w:spacing w:after="0"/>
              <w:rPr>
                <w:sz w:val="18"/>
                <w:szCs w:val="18"/>
                <w:color w:val="auto"/>
              </w:rPr>
            </w:pPr>
          </w:p>
        </w:tc>
        <w:tc>
          <w:tcPr>
            <w:tcW w:w="160" w:type="dxa"/>
            <w:vAlign w:val="bottom"/>
            <w:tcBorders>
              <w:bottom w:val="single" w:sz="8" w:color="98BDE2"/>
            </w:tcBorders>
            <w:shd w:val="clear" w:color="auto" w:fill="F3EFE9"/>
          </w:tcPr>
          <w:p>
            <w:pPr>
              <w:spacing w:after="0"/>
              <w:rPr>
                <w:sz w:val="18"/>
                <w:szCs w:val="18"/>
                <w:color w:val="auto"/>
              </w:rPr>
            </w:pPr>
          </w:p>
        </w:tc>
        <w:tc>
          <w:tcPr>
            <w:tcW w:w="520" w:type="dxa"/>
            <w:vAlign w:val="bottom"/>
            <w:tcBorders>
              <w:bottom w:val="single" w:sz="8" w:color="98BDE2"/>
            </w:tcBorders>
            <w:shd w:val="clear" w:color="auto" w:fill="F3EFE9"/>
          </w:tcPr>
          <w:p>
            <w:pPr>
              <w:spacing w:after="0"/>
              <w:rPr>
                <w:sz w:val="18"/>
                <w:szCs w:val="18"/>
                <w:color w:val="auto"/>
              </w:rPr>
            </w:pPr>
          </w:p>
        </w:tc>
        <w:tc>
          <w:tcPr>
            <w:tcW w:w="100" w:type="dxa"/>
            <w:vAlign w:val="bottom"/>
            <w:tcBorders>
              <w:bottom w:val="single" w:sz="8" w:color="98BDE2"/>
            </w:tcBorders>
            <w:shd w:val="clear" w:color="auto" w:fill="F3EFE9"/>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800" w:type="dxa"/>
            <w:vAlign w:val="bottom"/>
          </w:tcPr>
          <w:p>
            <w:pPr>
              <w:ind w:left="720"/>
              <w:spacing w:after="0"/>
              <w:rPr>
                <w:sz w:val="20"/>
                <w:szCs w:val="20"/>
                <w:color w:val="auto"/>
              </w:rPr>
            </w:pPr>
            <w:r>
              <w:rPr>
                <w:rFonts w:ascii="Arial" w:cs="Arial" w:eastAsia="Arial" w:hAnsi="Arial"/>
                <w:sz w:val="14"/>
                <w:szCs w:val="14"/>
                <w:b w:val="1"/>
                <w:bCs w:val="1"/>
                <w:color w:val="032E5C"/>
              </w:rPr>
              <w:t>Michele</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color w:val="032E5C"/>
              </w:rPr>
              <w:t>2016</w:t>
            </w:r>
          </w:p>
        </w:tc>
        <w:tc>
          <w:tcPr>
            <w:tcW w:w="4560" w:type="dxa"/>
            <w:vAlign w:val="bottom"/>
            <w:gridSpan w:val="2"/>
            <w:vMerge w:val="restart"/>
          </w:tcPr>
          <w:p>
            <w:pPr>
              <w:ind w:left="100"/>
              <w:spacing w:after="0"/>
              <w:rPr>
                <w:sz w:val="20"/>
                <w:szCs w:val="20"/>
                <w:color w:val="auto"/>
              </w:rPr>
            </w:pPr>
            <w:r>
              <w:rPr>
                <w:rFonts w:ascii="Arial" w:cs="Arial" w:eastAsia="Arial" w:hAnsi="Arial"/>
                <w:sz w:val="14"/>
                <w:szCs w:val="14"/>
                <w:color w:val="032E5C"/>
              </w:rPr>
              <w:t>Co-Founder and Executive Chairman, Clearco</w:t>
            </w:r>
          </w:p>
        </w:tc>
        <w:tc>
          <w:tcPr>
            <w:tcW w:w="1220" w:type="dxa"/>
            <w:vAlign w:val="bottom"/>
            <w:vMerge w:val="restart"/>
          </w:tcPr>
          <w:p>
            <w:pPr>
              <w:jc w:val="center"/>
              <w:ind w:right="28"/>
              <w:spacing w:after="0"/>
              <w:rPr>
                <w:sz w:val="20"/>
                <w:szCs w:val="20"/>
                <w:color w:val="auto"/>
              </w:rPr>
            </w:pPr>
            <w:r>
              <w:rPr>
                <w:rFonts w:ascii="Arial" w:cs="Arial" w:eastAsia="Arial" w:hAnsi="Arial"/>
                <w:sz w:val="14"/>
                <w:szCs w:val="14"/>
                <w:color w:val="032E5C"/>
                <w:w w:val="99"/>
              </w:rPr>
              <w:t>Yes</w:t>
            </w:r>
          </w:p>
        </w:tc>
        <w:tc>
          <w:tcPr>
            <w:tcW w:w="680" w:type="dxa"/>
            <w:vAlign w:val="bottom"/>
            <w:shd w:val="clear" w:color="auto" w:fill="F3EFE9"/>
          </w:tcPr>
          <w:p>
            <w:pPr>
              <w:spacing w:after="0"/>
              <w:rPr>
                <w:sz w:val="24"/>
                <w:szCs w:val="24"/>
                <w:color w:val="auto"/>
              </w:rPr>
            </w:pPr>
          </w:p>
        </w:tc>
        <w:tc>
          <w:tcPr>
            <w:tcW w:w="68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7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52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032E5C"/>
              </w:rPr>
              <w:t>Romanow</w:t>
            </w:r>
          </w:p>
        </w:tc>
        <w:tc>
          <w:tcPr>
            <w:tcW w:w="820" w:type="dxa"/>
            <w:vAlign w:val="bottom"/>
            <w:vMerge w:val="continue"/>
          </w:tcPr>
          <w:p>
            <w:pPr>
              <w:spacing w:after="0"/>
              <w:rPr>
                <w:sz w:val="9"/>
                <w:szCs w:val="9"/>
                <w:color w:val="auto"/>
              </w:rPr>
            </w:pPr>
          </w:p>
        </w:tc>
        <w:tc>
          <w:tcPr>
            <w:tcW w:w="456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80" w:type="dxa"/>
            <w:vAlign w:val="bottom"/>
            <w:shd w:val="clear" w:color="auto" w:fill="F3EFE9"/>
          </w:tcPr>
          <w:p>
            <w:pPr>
              <w:spacing w:after="0"/>
              <w:rPr>
                <w:sz w:val="9"/>
                <w:szCs w:val="9"/>
                <w:color w:val="auto"/>
              </w:rPr>
            </w:pPr>
          </w:p>
        </w:tc>
        <w:tc>
          <w:tcPr>
            <w:tcW w:w="680" w:type="dxa"/>
            <w:vAlign w:val="bottom"/>
            <w:vMerge w:val="continue"/>
            <w:shd w:val="clear" w:color="auto" w:fill="F3EFE9"/>
          </w:tcPr>
          <w:p>
            <w:pPr>
              <w:spacing w:after="0"/>
              <w:rPr>
                <w:sz w:val="9"/>
                <w:szCs w:val="9"/>
                <w:color w:val="auto"/>
              </w:rPr>
            </w:pPr>
          </w:p>
        </w:tc>
        <w:tc>
          <w:tcPr>
            <w:tcW w:w="7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520" w:type="dxa"/>
            <w:vAlign w:val="bottom"/>
            <w:shd w:val="clear" w:color="auto" w:fill="F3EFE9"/>
          </w:tcPr>
          <w:p>
            <w:pPr>
              <w:spacing w:after="0"/>
              <w:rPr>
                <w:sz w:val="9"/>
                <w:szCs w:val="9"/>
                <w:color w:val="auto"/>
              </w:rPr>
            </w:pPr>
          </w:p>
        </w:tc>
        <w:tc>
          <w:tcPr>
            <w:tcW w:w="10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7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520" w:type="dxa"/>
            <w:vAlign w:val="bottom"/>
            <w:shd w:val="clear" w:color="auto" w:fill="F3EFE9"/>
          </w:tcPr>
          <w:p>
            <w:pPr>
              <w:spacing w:after="0"/>
              <w:rPr>
                <w:sz w:val="7"/>
                <w:szCs w:val="7"/>
                <w:color w:val="auto"/>
              </w:rPr>
            </w:pPr>
          </w:p>
        </w:tc>
        <w:tc>
          <w:tcPr>
            <w:tcW w:w="10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98BDE2"/>
            </w:tcBorders>
          </w:tcPr>
          <w:p>
            <w:pPr>
              <w:spacing w:after="0"/>
              <w:rPr>
                <w:sz w:val="11"/>
                <w:szCs w:val="11"/>
                <w:color w:val="auto"/>
              </w:rPr>
            </w:pPr>
          </w:p>
        </w:tc>
        <w:tc>
          <w:tcPr>
            <w:tcW w:w="820" w:type="dxa"/>
            <w:vAlign w:val="bottom"/>
            <w:tcBorders>
              <w:bottom w:val="single" w:sz="8" w:color="98BDE2"/>
            </w:tcBorders>
          </w:tcPr>
          <w:p>
            <w:pPr>
              <w:spacing w:after="0"/>
              <w:rPr>
                <w:sz w:val="11"/>
                <w:szCs w:val="11"/>
                <w:color w:val="auto"/>
              </w:rPr>
            </w:pPr>
          </w:p>
        </w:tc>
        <w:tc>
          <w:tcPr>
            <w:tcW w:w="2780" w:type="dxa"/>
            <w:vAlign w:val="bottom"/>
            <w:tcBorders>
              <w:bottom w:val="single" w:sz="8" w:color="98BDE2"/>
            </w:tcBorders>
          </w:tcPr>
          <w:p>
            <w:pPr>
              <w:spacing w:after="0"/>
              <w:rPr>
                <w:sz w:val="11"/>
                <w:szCs w:val="11"/>
                <w:color w:val="auto"/>
              </w:rPr>
            </w:pPr>
          </w:p>
        </w:tc>
        <w:tc>
          <w:tcPr>
            <w:tcW w:w="1780" w:type="dxa"/>
            <w:vAlign w:val="bottom"/>
            <w:tcBorders>
              <w:bottom w:val="single" w:sz="8" w:color="98BDE2"/>
            </w:tcBorders>
          </w:tcPr>
          <w:p>
            <w:pPr>
              <w:spacing w:after="0"/>
              <w:rPr>
                <w:sz w:val="11"/>
                <w:szCs w:val="11"/>
                <w:color w:val="auto"/>
              </w:rPr>
            </w:pPr>
          </w:p>
        </w:tc>
        <w:tc>
          <w:tcPr>
            <w:tcW w:w="1220" w:type="dxa"/>
            <w:vAlign w:val="bottom"/>
            <w:tcBorders>
              <w:bottom w:val="single" w:sz="8" w:color="98BDE2"/>
            </w:tcBorders>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7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520" w:type="dxa"/>
            <w:vAlign w:val="bottom"/>
            <w:tcBorders>
              <w:bottom w:val="single" w:sz="8" w:color="98BDE2"/>
            </w:tcBorders>
            <w:shd w:val="clear" w:color="auto" w:fill="F3EFE9"/>
          </w:tcPr>
          <w:p>
            <w:pPr>
              <w:spacing w:after="0"/>
              <w:rPr>
                <w:sz w:val="11"/>
                <w:szCs w:val="11"/>
                <w:color w:val="auto"/>
              </w:rPr>
            </w:pPr>
          </w:p>
        </w:tc>
        <w:tc>
          <w:tcPr>
            <w:tcW w:w="10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800" w:type="dxa"/>
            <w:vAlign w:val="bottom"/>
          </w:tcPr>
          <w:p>
            <w:pPr>
              <w:ind w:left="720"/>
              <w:spacing w:after="0"/>
              <w:rPr>
                <w:sz w:val="20"/>
                <w:szCs w:val="20"/>
                <w:color w:val="auto"/>
              </w:rPr>
            </w:pPr>
            <w:r>
              <w:rPr>
                <w:rFonts w:ascii="Arial" w:cs="Arial" w:eastAsia="Arial" w:hAnsi="Arial"/>
                <w:sz w:val="14"/>
                <w:szCs w:val="14"/>
                <w:b w:val="1"/>
                <w:bCs w:val="1"/>
                <w:color w:val="032E5C"/>
              </w:rPr>
              <w:t>Hilary</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color w:val="032E5C"/>
              </w:rPr>
              <w:t>2010</w:t>
            </w:r>
          </w:p>
        </w:tc>
        <w:tc>
          <w:tcPr>
            <w:tcW w:w="4560" w:type="dxa"/>
            <w:vAlign w:val="bottom"/>
            <w:gridSpan w:val="2"/>
            <w:vMerge w:val="restart"/>
          </w:tcPr>
          <w:p>
            <w:pPr>
              <w:ind w:left="100"/>
              <w:spacing w:after="0"/>
              <w:rPr>
                <w:sz w:val="20"/>
                <w:szCs w:val="20"/>
                <w:color w:val="auto"/>
              </w:rPr>
            </w:pPr>
            <w:r>
              <w:rPr>
                <w:rFonts w:ascii="Arial" w:cs="Arial" w:eastAsia="Arial" w:hAnsi="Arial"/>
                <w:sz w:val="14"/>
                <w:szCs w:val="14"/>
                <w:color w:val="032E5C"/>
              </w:rPr>
              <w:t>Strategic Advisor to the Board, Shutterfly, LLC</w:t>
            </w:r>
          </w:p>
        </w:tc>
        <w:tc>
          <w:tcPr>
            <w:tcW w:w="1220" w:type="dxa"/>
            <w:vAlign w:val="bottom"/>
            <w:vMerge w:val="restart"/>
          </w:tcPr>
          <w:p>
            <w:pPr>
              <w:jc w:val="center"/>
              <w:ind w:right="28"/>
              <w:spacing w:after="0"/>
              <w:rPr>
                <w:sz w:val="20"/>
                <w:szCs w:val="20"/>
                <w:color w:val="auto"/>
              </w:rPr>
            </w:pPr>
            <w:r>
              <w:rPr>
                <w:rFonts w:ascii="Arial" w:cs="Arial" w:eastAsia="Arial" w:hAnsi="Arial"/>
                <w:sz w:val="14"/>
                <w:szCs w:val="14"/>
                <w:color w:val="032E5C"/>
                <w:w w:val="99"/>
              </w:rPr>
              <w:t>Yes</w:t>
            </w:r>
          </w:p>
        </w:tc>
        <w:tc>
          <w:tcPr>
            <w:tcW w:w="680" w:type="dxa"/>
            <w:vAlign w:val="bottom"/>
            <w:shd w:val="clear" w:color="auto" w:fill="F3EFE9"/>
          </w:tcPr>
          <w:p>
            <w:pPr>
              <w:spacing w:after="0"/>
              <w:rPr>
                <w:sz w:val="24"/>
                <w:szCs w:val="24"/>
                <w:color w:val="auto"/>
              </w:rPr>
            </w:pPr>
          </w:p>
        </w:tc>
        <w:tc>
          <w:tcPr>
            <w:tcW w:w="68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7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52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032E5C"/>
              </w:rPr>
              <w:t>Schneider</w:t>
            </w:r>
          </w:p>
        </w:tc>
        <w:tc>
          <w:tcPr>
            <w:tcW w:w="820" w:type="dxa"/>
            <w:vAlign w:val="bottom"/>
            <w:vMerge w:val="continue"/>
          </w:tcPr>
          <w:p>
            <w:pPr>
              <w:spacing w:after="0"/>
              <w:rPr>
                <w:sz w:val="9"/>
                <w:szCs w:val="9"/>
                <w:color w:val="auto"/>
              </w:rPr>
            </w:pPr>
          </w:p>
        </w:tc>
        <w:tc>
          <w:tcPr>
            <w:tcW w:w="456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80" w:type="dxa"/>
            <w:vAlign w:val="bottom"/>
            <w:shd w:val="clear" w:color="auto" w:fill="F3EFE9"/>
          </w:tcPr>
          <w:p>
            <w:pPr>
              <w:spacing w:after="0"/>
              <w:rPr>
                <w:sz w:val="9"/>
                <w:szCs w:val="9"/>
                <w:color w:val="auto"/>
              </w:rPr>
            </w:pPr>
          </w:p>
        </w:tc>
        <w:tc>
          <w:tcPr>
            <w:tcW w:w="680" w:type="dxa"/>
            <w:vAlign w:val="bottom"/>
            <w:vMerge w:val="continue"/>
            <w:shd w:val="clear" w:color="auto" w:fill="F3EFE9"/>
          </w:tcPr>
          <w:p>
            <w:pPr>
              <w:spacing w:after="0"/>
              <w:rPr>
                <w:sz w:val="9"/>
                <w:szCs w:val="9"/>
                <w:color w:val="auto"/>
              </w:rPr>
            </w:pPr>
          </w:p>
        </w:tc>
        <w:tc>
          <w:tcPr>
            <w:tcW w:w="7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520" w:type="dxa"/>
            <w:vAlign w:val="bottom"/>
            <w:shd w:val="clear" w:color="auto" w:fill="F3EFE9"/>
          </w:tcPr>
          <w:p>
            <w:pPr>
              <w:spacing w:after="0"/>
              <w:rPr>
                <w:sz w:val="9"/>
                <w:szCs w:val="9"/>
                <w:color w:val="auto"/>
              </w:rPr>
            </w:pPr>
          </w:p>
        </w:tc>
        <w:tc>
          <w:tcPr>
            <w:tcW w:w="10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7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520" w:type="dxa"/>
            <w:vAlign w:val="bottom"/>
            <w:shd w:val="clear" w:color="auto" w:fill="F3EFE9"/>
          </w:tcPr>
          <w:p>
            <w:pPr>
              <w:spacing w:after="0"/>
              <w:rPr>
                <w:sz w:val="7"/>
                <w:szCs w:val="7"/>
                <w:color w:val="auto"/>
              </w:rPr>
            </w:pPr>
          </w:p>
        </w:tc>
        <w:tc>
          <w:tcPr>
            <w:tcW w:w="10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98BDE2"/>
            </w:tcBorders>
          </w:tcPr>
          <w:p>
            <w:pPr>
              <w:spacing w:after="0"/>
              <w:rPr>
                <w:sz w:val="11"/>
                <w:szCs w:val="11"/>
                <w:color w:val="auto"/>
              </w:rPr>
            </w:pPr>
          </w:p>
        </w:tc>
        <w:tc>
          <w:tcPr>
            <w:tcW w:w="820" w:type="dxa"/>
            <w:vAlign w:val="bottom"/>
            <w:tcBorders>
              <w:bottom w:val="single" w:sz="8" w:color="98BDE2"/>
            </w:tcBorders>
          </w:tcPr>
          <w:p>
            <w:pPr>
              <w:spacing w:after="0"/>
              <w:rPr>
                <w:sz w:val="11"/>
                <w:szCs w:val="11"/>
                <w:color w:val="auto"/>
              </w:rPr>
            </w:pPr>
          </w:p>
        </w:tc>
        <w:tc>
          <w:tcPr>
            <w:tcW w:w="2780" w:type="dxa"/>
            <w:vAlign w:val="bottom"/>
            <w:tcBorders>
              <w:bottom w:val="single" w:sz="8" w:color="98BDE2"/>
            </w:tcBorders>
          </w:tcPr>
          <w:p>
            <w:pPr>
              <w:spacing w:after="0"/>
              <w:rPr>
                <w:sz w:val="11"/>
                <w:szCs w:val="11"/>
                <w:color w:val="auto"/>
              </w:rPr>
            </w:pPr>
          </w:p>
        </w:tc>
        <w:tc>
          <w:tcPr>
            <w:tcW w:w="1780" w:type="dxa"/>
            <w:vAlign w:val="bottom"/>
            <w:tcBorders>
              <w:bottom w:val="single" w:sz="8" w:color="98BDE2"/>
            </w:tcBorders>
          </w:tcPr>
          <w:p>
            <w:pPr>
              <w:spacing w:after="0"/>
              <w:rPr>
                <w:sz w:val="11"/>
                <w:szCs w:val="11"/>
                <w:color w:val="auto"/>
              </w:rPr>
            </w:pPr>
          </w:p>
        </w:tc>
        <w:tc>
          <w:tcPr>
            <w:tcW w:w="1220" w:type="dxa"/>
            <w:vAlign w:val="bottom"/>
            <w:tcBorders>
              <w:bottom w:val="single" w:sz="8" w:color="98BDE2"/>
            </w:tcBorders>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7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520" w:type="dxa"/>
            <w:vAlign w:val="bottom"/>
            <w:tcBorders>
              <w:bottom w:val="single" w:sz="8" w:color="98BDE2"/>
            </w:tcBorders>
            <w:shd w:val="clear" w:color="auto" w:fill="F3EFE9"/>
          </w:tcPr>
          <w:p>
            <w:pPr>
              <w:spacing w:after="0"/>
              <w:rPr>
                <w:sz w:val="11"/>
                <w:szCs w:val="11"/>
                <w:color w:val="auto"/>
              </w:rPr>
            </w:pPr>
          </w:p>
        </w:tc>
        <w:tc>
          <w:tcPr>
            <w:tcW w:w="10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800" w:type="dxa"/>
            <w:vAlign w:val="bottom"/>
          </w:tcPr>
          <w:p>
            <w:pPr>
              <w:ind w:left="720"/>
              <w:spacing w:after="0"/>
              <w:rPr>
                <w:sz w:val="20"/>
                <w:szCs w:val="20"/>
                <w:color w:val="auto"/>
              </w:rPr>
            </w:pPr>
            <w:r>
              <w:rPr>
                <w:rFonts w:ascii="Arial" w:cs="Arial" w:eastAsia="Arial" w:hAnsi="Arial"/>
                <w:sz w:val="14"/>
                <w:szCs w:val="14"/>
                <w:b w:val="1"/>
                <w:bCs w:val="1"/>
                <w:color w:val="032E5C"/>
              </w:rPr>
              <w:t>D. Bruce</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color w:val="032E5C"/>
              </w:rPr>
              <w:t>2013</w:t>
            </w:r>
          </w:p>
        </w:tc>
        <w:tc>
          <w:tcPr>
            <w:tcW w:w="4560" w:type="dxa"/>
            <w:vAlign w:val="bottom"/>
            <w:gridSpan w:val="2"/>
            <w:vMerge w:val="restart"/>
          </w:tcPr>
          <w:p>
            <w:pPr>
              <w:ind w:left="100"/>
              <w:spacing w:after="0"/>
              <w:rPr>
                <w:sz w:val="20"/>
                <w:szCs w:val="20"/>
                <w:color w:val="auto"/>
              </w:rPr>
            </w:pPr>
            <w:r>
              <w:rPr>
                <w:rFonts w:ascii="Arial" w:cs="Arial" w:eastAsia="Arial" w:hAnsi="Arial"/>
                <w:sz w:val="14"/>
                <w:szCs w:val="14"/>
                <w:color w:val="032E5C"/>
              </w:rPr>
              <w:t>Former SVP, General Counsel and Secretary, Apple Inc.</w:t>
            </w:r>
          </w:p>
        </w:tc>
        <w:tc>
          <w:tcPr>
            <w:tcW w:w="1220" w:type="dxa"/>
            <w:vAlign w:val="bottom"/>
            <w:vMerge w:val="restart"/>
          </w:tcPr>
          <w:p>
            <w:pPr>
              <w:jc w:val="center"/>
              <w:ind w:right="28"/>
              <w:spacing w:after="0"/>
              <w:rPr>
                <w:sz w:val="20"/>
                <w:szCs w:val="20"/>
                <w:color w:val="auto"/>
              </w:rPr>
            </w:pPr>
            <w:r>
              <w:rPr>
                <w:rFonts w:ascii="Arial" w:cs="Arial" w:eastAsia="Arial" w:hAnsi="Arial"/>
                <w:sz w:val="14"/>
                <w:szCs w:val="14"/>
                <w:color w:val="032E5C"/>
                <w:w w:val="99"/>
              </w:rPr>
              <w:t>Yes</w:t>
            </w:r>
          </w:p>
        </w:tc>
        <w:tc>
          <w:tcPr>
            <w:tcW w:w="680" w:type="dxa"/>
            <w:vAlign w:val="bottom"/>
            <w:vMerge w:val="restart"/>
            <w:shd w:val="clear" w:color="auto" w:fill="F3EFE9"/>
          </w:tcPr>
          <w:p>
            <w:pPr>
              <w:jc w:val="center"/>
              <w:spacing w:after="0"/>
              <w:rPr>
                <w:sz w:val="20"/>
                <w:szCs w:val="20"/>
                <w:color w:val="auto"/>
              </w:rPr>
            </w:pPr>
            <w:r>
              <w:rPr>
                <w:rFonts w:ascii="Arial" w:cs="Arial" w:eastAsia="Arial" w:hAnsi="Arial"/>
                <w:sz w:val="14"/>
                <w:szCs w:val="14"/>
                <w:b w:val="1"/>
                <w:bCs w:val="1"/>
                <w:color w:val="032E5C"/>
                <w:w w:val="92"/>
              </w:rPr>
              <w:t>F</w:t>
            </w:r>
          </w:p>
        </w:tc>
        <w:tc>
          <w:tcPr>
            <w:tcW w:w="680" w:type="dxa"/>
            <w:vAlign w:val="bottom"/>
            <w:shd w:val="clear" w:color="auto" w:fill="F3EFE9"/>
          </w:tcPr>
          <w:p>
            <w:pPr>
              <w:spacing w:after="0"/>
              <w:rPr>
                <w:sz w:val="24"/>
                <w:szCs w:val="24"/>
                <w:color w:val="auto"/>
              </w:rPr>
            </w:pPr>
          </w:p>
        </w:tc>
        <w:tc>
          <w:tcPr>
            <w:tcW w:w="70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160" w:type="dxa"/>
            <w:vAlign w:val="bottom"/>
            <w:shd w:val="clear" w:color="auto" w:fill="F3EFE9"/>
          </w:tcPr>
          <w:p>
            <w:pPr>
              <w:spacing w:after="0"/>
              <w:rPr>
                <w:sz w:val="24"/>
                <w:szCs w:val="24"/>
                <w:color w:val="auto"/>
              </w:rPr>
            </w:pPr>
          </w:p>
        </w:tc>
        <w:tc>
          <w:tcPr>
            <w:tcW w:w="520" w:type="dxa"/>
            <w:vAlign w:val="bottom"/>
            <w:vMerge w:val="restart"/>
            <w:shd w:val="clear" w:color="auto" w:fill="F3EFE9"/>
          </w:tcPr>
          <w:p>
            <w:pPr>
              <w:jc w:val="center"/>
              <w:ind w:right="88"/>
              <w:spacing w:after="0"/>
              <w:rPr>
                <w:sz w:val="20"/>
                <w:szCs w:val="20"/>
                <w:color w:val="auto"/>
              </w:rPr>
            </w:pPr>
            <w:r>
              <w:rPr>
                <w:rFonts w:ascii="Wingdings" w:cs="Wingdings" w:eastAsia="Wingdings" w:hAnsi="Wingdings"/>
                <w:sz w:val="14"/>
                <w:szCs w:val="14"/>
                <w:b w:val="1"/>
                <w:bCs w:val="1"/>
                <w:color w:val="3E5C7C"/>
              </w:rPr>
              <w:t>n</w:t>
            </w: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032E5C"/>
              </w:rPr>
              <w:t>Sewell♦</w:t>
            </w:r>
          </w:p>
        </w:tc>
        <w:tc>
          <w:tcPr>
            <w:tcW w:w="820" w:type="dxa"/>
            <w:vAlign w:val="bottom"/>
            <w:vMerge w:val="continue"/>
          </w:tcPr>
          <w:p>
            <w:pPr>
              <w:spacing w:after="0"/>
              <w:rPr>
                <w:sz w:val="10"/>
                <w:szCs w:val="10"/>
                <w:color w:val="auto"/>
              </w:rPr>
            </w:pPr>
          </w:p>
        </w:tc>
        <w:tc>
          <w:tcPr>
            <w:tcW w:w="456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shd w:val="clear" w:color="auto" w:fill="F3EFE9"/>
          </w:tcPr>
          <w:p>
            <w:pPr>
              <w:spacing w:after="0"/>
              <w:rPr>
                <w:sz w:val="10"/>
                <w:szCs w:val="10"/>
                <w:color w:val="auto"/>
              </w:rPr>
            </w:pPr>
          </w:p>
        </w:tc>
        <w:tc>
          <w:tcPr>
            <w:tcW w:w="680" w:type="dxa"/>
            <w:vAlign w:val="bottom"/>
            <w:shd w:val="clear" w:color="auto" w:fill="F3EFE9"/>
          </w:tcPr>
          <w:p>
            <w:pPr>
              <w:spacing w:after="0"/>
              <w:rPr>
                <w:sz w:val="10"/>
                <w:szCs w:val="10"/>
                <w:color w:val="auto"/>
              </w:rPr>
            </w:pPr>
          </w:p>
        </w:tc>
        <w:tc>
          <w:tcPr>
            <w:tcW w:w="700" w:type="dxa"/>
            <w:vAlign w:val="bottom"/>
            <w:vMerge w:val="continue"/>
            <w:shd w:val="clear" w:color="auto" w:fill="F3EFE9"/>
          </w:tcPr>
          <w:p>
            <w:pPr>
              <w:spacing w:after="0"/>
              <w:rPr>
                <w:sz w:val="10"/>
                <w:szCs w:val="10"/>
                <w:color w:val="auto"/>
              </w:rPr>
            </w:pPr>
          </w:p>
        </w:tc>
        <w:tc>
          <w:tcPr>
            <w:tcW w:w="160" w:type="dxa"/>
            <w:vAlign w:val="bottom"/>
            <w:shd w:val="clear" w:color="auto" w:fill="F3EFE9"/>
          </w:tcPr>
          <w:p>
            <w:pPr>
              <w:spacing w:after="0"/>
              <w:rPr>
                <w:sz w:val="10"/>
                <w:szCs w:val="10"/>
                <w:color w:val="auto"/>
              </w:rPr>
            </w:pPr>
          </w:p>
        </w:tc>
        <w:tc>
          <w:tcPr>
            <w:tcW w:w="520" w:type="dxa"/>
            <w:vAlign w:val="bottom"/>
            <w:vMerge w:val="continue"/>
            <w:shd w:val="clear" w:color="auto" w:fill="F3EFE9"/>
          </w:tcPr>
          <w:p>
            <w:pPr>
              <w:spacing w:after="0"/>
              <w:rPr>
                <w:sz w:val="10"/>
                <w:szCs w:val="10"/>
                <w:color w:val="auto"/>
              </w:rPr>
            </w:pPr>
          </w:p>
        </w:tc>
        <w:tc>
          <w:tcPr>
            <w:tcW w:w="100" w:type="dxa"/>
            <w:vAlign w:val="bottom"/>
            <w:shd w:val="clear" w:color="auto" w:fill="F3EFE9"/>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7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520" w:type="dxa"/>
            <w:vAlign w:val="bottom"/>
            <w:shd w:val="clear" w:color="auto" w:fill="F3EFE9"/>
          </w:tcPr>
          <w:p>
            <w:pPr>
              <w:spacing w:after="0"/>
              <w:rPr>
                <w:sz w:val="7"/>
                <w:szCs w:val="7"/>
                <w:color w:val="auto"/>
              </w:rPr>
            </w:pPr>
          </w:p>
        </w:tc>
        <w:tc>
          <w:tcPr>
            <w:tcW w:w="10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98BDE2"/>
            </w:tcBorders>
          </w:tcPr>
          <w:p>
            <w:pPr>
              <w:spacing w:after="0"/>
              <w:rPr>
                <w:sz w:val="11"/>
                <w:szCs w:val="11"/>
                <w:color w:val="auto"/>
              </w:rPr>
            </w:pPr>
          </w:p>
        </w:tc>
        <w:tc>
          <w:tcPr>
            <w:tcW w:w="820" w:type="dxa"/>
            <w:vAlign w:val="bottom"/>
            <w:tcBorders>
              <w:bottom w:val="single" w:sz="8" w:color="98BDE2"/>
            </w:tcBorders>
          </w:tcPr>
          <w:p>
            <w:pPr>
              <w:spacing w:after="0"/>
              <w:rPr>
                <w:sz w:val="11"/>
                <w:szCs w:val="11"/>
                <w:color w:val="auto"/>
              </w:rPr>
            </w:pPr>
          </w:p>
        </w:tc>
        <w:tc>
          <w:tcPr>
            <w:tcW w:w="2780" w:type="dxa"/>
            <w:vAlign w:val="bottom"/>
            <w:tcBorders>
              <w:bottom w:val="single" w:sz="8" w:color="98BDE2"/>
            </w:tcBorders>
          </w:tcPr>
          <w:p>
            <w:pPr>
              <w:spacing w:after="0"/>
              <w:rPr>
                <w:sz w:val="11"/>
                <w:szCs w:val="11"/>
                <w:color w:val="auto"/>
              </w:rPr>
            </w:pPr>
          </w:p>
        </w:tc>
        <w:tc>
          <w:tcPr>
            <w:tcW w:w="1780" w:type="dxa"/>
            <w:vAlign w:val="bottom"/>
            <w:tcBorders>
              <w:bottom w:val="single" w:sz="8" w:color="98BDE2"/>
            </w:tcBorders>
          </w:tcPr>
          <w:p>
            <w:pPr>
              <w:spacing w:after="0"/>
              <w:rPr>
                <w:sz w:val="11"/>
                <w:szCs w:val="11"/>
                <w:color w:val="auto"/>
              </w:rPr>
            </w:pPr>
          </w:p>
        </w:tc>
        <w:tc>
          <w:tcPr>
            <w:tcW w:w="1220" w:type="dxa"/>
            <w:vAlign w:val="bottom"/>
            <w:tcBorders>
              <w:bottom w:val="single" w:sz="8" w:color="98BDE2"/>
            </w:tcBorders>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7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520" w:type="dxa"/>
            <w:vAlign w:val="bottom"/>
            <w:tcBorders>
              <w:bottom w:val="single" w:sz="8" w:color="98BDE2"/>
            </w:tcBorders>
            <w:shd w:val="clear" w:color="auto" w:fill="F3EFE9"/>
          </w:tcPr>
          <w:p>
            <w:pPr>
              <w:spacing w:after="0"/>
              <w:rPr>
                <w:sz w:val="11"/>
                <w:szCs w:val="11"/>
                <w:color w:val="auto"/>
              </w:rPr>
            </w:pPr>
          </w:p>
        </w:tc>
        <w:tc>
          <w:tcPr>
            <w:tcW w:w="10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032E5C"/>
              </w:rPr>
              <w:t>John F. Sorte</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color w:val="032E5C"/>
              </w:rPr>
              <w:t>1993</w:t>
            </w:r>
          </w:p>
        </w:tc>
        <w:tc>
          <w:tcPr>
            <w:tcW w:w="4560" w:type="dxa"/>
            <w:vAlign w:val="bottom"/>
            <w:gridSpan w:val="2"/>
            <w:vMerge w:val="restart"/>
          </w:tcPr>
          <w:p>
            <w:pPr>
              <w:ind w:left="100"/>
              <w:spacing w:after="0"/>
              <w:rPr>
                <w:sz w:val="20"/>
                <w:szCs w:val="20"/>
                <w:color w:val="auto"/>
              </w:rPr>
            </w:pPr>
            <w:r>
              <w:rPr>
                <w:rFonts w:ascii="Arial" w:cs="Arial" w:eastAsia="Arial" w:hAnsi="Arial"/>
                <w:sz w:val="14"/>
                <w:szCs w:val="14"/>
                <w:color w:val="032E5C"/>
              </w:rPr>
              <w:t>Executive Chairman of Morgan Joseph TriArtisan Group, Inc.</w:t>
            </w:r>
          </w:p>
        </w:tc>
        <w:tc>
          <w:tcPr>
            <w:tcW w:w="1220" w:type="dxa"/>
            <w:vAlign w:val="bottom"/>
            <w:vMerge w:val="restart"/>
          </w:tcPr>
          <w:p>
            <w:pPr>
              <w:jc w:val="center"/>
              <w:ind w:right="28"/>
              <w:spacing w:after="0"/>
              <w:rPr>
                <w:sz w:val="20"/>
                <w:szCs w:val="20"/>
                <w:color w:val="auto"/>
              </w:rPr>
            </w:pPr>
            <w:r>
              <w:rPr>
                <w:rFonts w:ascii="Arial" w:cs="Arial" w:eastAsia="Arial" w:hAnsi="Arial"/>
                <w:sz w:val="14"/>
                <w:szCs w:val="14"/>
                <w:color w:val="032E5C"/>
                <w:w w:val="99"/>
              </w:rPr>
              <w:t>Yes</w:t>
            </w:r>
          </w:p>
        </w:tc>
        <w:tc>
          <w:tcPr>
            <w:tcW w:w="680" w:type="dxa"/>
            <w:vAlign w:val="bottom"/>
            <w:shd w:val="clear" w:color="auto" w:fill="F3EFE9"/>
          </w:tcPr>
          <w:p>
            <w:pPr>
              <w:jc w:val="center"/>
              <w:spacing w:after="0"/>
              <w:rPr>
                <w:sz w:val="20"/>
                <w:szCs w:val="20"/>
                <w:color w:val="auto"/>
              </w:rPr>
            </w:pPr>
            <w:r>
              <w:rPr>
                <w:rFonts w:ascii="Arial" w:cs="Arial" w:eastAsia="Arial" w:hAnsi="Arial"/>
                <w:sz w:val="14"/>
                <w:szCs w:val="14"/>
                <w:color w:val="032E5C"/>
              </w:rPr>
              <w:t>Chair</w:t>
            </w:r>
          </w:p>
        </w:tc>
        <w:tc>
          <w:tcPr>
            <w:tcW w:w="680" w:type="dxa"/>
            <w:vAlign w:val="bottom"/>
            <w:shd w:val="clear" w:color="auto" w:fill="F3EFE9"/>
          </w:tcPr>
          <w:p>
            <w:pPr>
              <w:spacing w:after="0"/>
              <w:rPr>
                <w:sz w:val="23"/>
                <w:szCs w:val="23"/>
                <w:color w:val="auto"/>
              </w:rPr>
            </w:pPr>
          </w:p>
        </w:tc>
        <w:tc>
          <w:tcPr>
            <w:tcW w:w="70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160" w:type="dxa"/>
            <w:vAlign w:val="bottom"/>
            <w:shd w:val="clear" w:color="auto" w:fill="F3EFE9"/>
          </w:tcPr>
          <w:p>
            <w:pPr>
              <w:spacing w:after="0"/>
              <w:rPr>
                <w:sz w:val="23"/>
                <w:szCs w:val="23"/>
                <w:color w:val="auto"/>
              </w:rPr>
            </w:pPr>
          </w:p>
        </w:tc>
        <w:tc>
          <w:tcPr>
            <w:tcW w:w="520" w:type="dxa"/>
            <w:vAlign w:val="bottom"/>
            <w:vMerge w:val="restart"/>
            <w:shd w:val="clear" w:color="auto" w:fill="F3EFE9"/>
          </w:tcPr>
          <w:p>
            <w:pPr>
              <w:jc w:val="center"/>
              <w:ind w:right="88"/>
              <w:spacing w:after="0"/>
              <w:rPr>
                <w:sz w:val="20"/>
                <w:szCs w:val="20"/>
                <w:color w:val="auto"/>
              </w:rPr>
            </w:pPr>
            <w:r>
              <w:rPr>
                <w:rFonts w:ascii="Wingdings" w:cs="Wingdings" w:eastAsia="Wingdings" w:hAnsi="Wingdings"/>
                <w:sz w:val="14"/>
                <w:szCs w:val="14"/>
                <w:b w:val="1"/>
                <w:bCs w:val="1"/>
                <w:color w:val="3E5C7C"/>
              </w:rPr>
              <w:t>n</w:t>
            </w:r>
          </w:p>
        </w:tc>
        <w:tc>
          <w:tcPr>
            <w:tcW w:w="100" w:type="dxa"/>
            <w:vAlign w:val="bottom"/>
            <w:shd w:val="clear" w:color="auto" w:fill="F3EFE9"/>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18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56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680" w:type="dxa"/>
            <w:vAlign w:val="bottom"/>
            <w:vMerge w:val="restart"/>
            <w:shd w:val="clear" w:color="auto" w:fill="F3EFE9"/>
          </w:tcPr>
          <w:p>
            <w:pPr>
              <w:jc w:val="center"/>
              <w:spacing w:after="0"/>
              <w:rPr>
                <w:sz w:val="20"/>
                <w:szCs w:val="20"/>
                <w:color w:val="auto"/>
              </w:rPr>
            </w:pPr>
            <w:r>
              <w:rPr>
                <w:rFonts w:ascii="Arial" w:cs="Arial" w:eastAsia="Arial" w:hAnsi="Arial"/>
                <w:sz w:val="14"/>
                <w:szCs w:val="14"/>
                <w:b w:val="1"/>
                <w:bCs w:val="1"/>
                <w:color w:val="032E5C"/>
                <w:w w:val="92"/>
              </w:rPr>
              <w:t>F</w:t>
            </w:r>
          </w:p>
        </w:tc>
        <w:tc>
          <w:tcPr>
            <w:tcW w:w="680" w:type="dxa"/>
            <w:vAlign w:val="bottom"/>
            <w:shd w:val="clear" w:color="auto" w:fill="F3EFE9"/>
          </w:tcPr>
          <w:p>
            <w:pPr>
              <w:spacing w:after="0"/>
              <w:rPr>
                <w:sz w:val="12"/>
                <w:szCs w:val="12"/>
                <w:color w:val="auto"/>
              </w:rPr>
            </w:pPr>
          </w:p>
        </w:tc>
        <w:tc>
          <w:tcPr>
            <w:tcW w:w="700" w:type="dxa"/>
            <w:vAlign w:val="bottom"/>
            <w:vMerge w:val="continue"/>
            <w:shd w:val="clear" w:color="auto" w:fill="F3EFE9"/>
          </w:tcPr>
          <w:p>
            <w:pPr>
              <w:spacing w:after="0"/>
              <w:rPr>
                <w:sz w:val="12"/>
                <w:szCs w:val="12"/>
                <w:color w:val="auto"/>
              </w:rPr>
            </w:pPr>
          </w:p>
        </w:tc>
        <w:tc>
          <w:tcPr>
            <w:tcW w:w="160" w:type="dxa"/>
            <w:vAlign w:val="bottom"/>
            <w:shd w:val="clear" w:color="auto" w:fill="F3EFE9"/>
          </w:tcPr>
          <w:p>
            <w:pPr>
              <w:spacing w:after="0"/>
              <w:rPr>
                <w:sz w:val="12"/>
                <w:szCs w:val="12"/>
                <w:color w:val="auto"/>
              </w:rPr>
            </w:pPr>
          </w:p>
        </w:tc>
        <w:tc>
          <w:tcPr>
            <w:tcW w:w="520" w:type="dxa"/>
            <w:vAlign w:val="bottom"/>
            <w:vMerge w:val="continue"/>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80" w:type="dxa"/>
            <w:vAlign w:val="bottom"/>
            <w:vMerge w:val="continue"/>
            <w:shd w:val="clear" w:color="auto" w:fill="F3EFE9"/>
          </w:tcPr>
          <w:p>
            <w:pPr>
              <w:spacing w:after="0"/>
              <w:rPr>
                <w:sz w:val="4"/>
                <w:szCs w:val="4"/>
                <w:color w:val="auto"/>
              </w:rPr>
            </w:pPr>
          </w:p>
        </w:tc>
        <w:tc>
          <w:tcPr>
            <w:tcW w:w="680" w:type="dxa"/>
            <w:vAlign w:val="bottom"/>
            <w:shd w:val="clear" w:color="auto" w:fill="F3EFE9"/>
          </w:tcPr>
          <w:p>
            <w:pPr>
              <w:spacing w:after="0"/>
              <w:rPr>
                <w:sz w:val="4"/>
                <w:szCs w:val="4"/>
                <w:color w:val="auto"/>
              </w:rPr>
            </w:pPr>
          </w:p>
        </w:tc>
        <w:tc>
          <w:tcPr>
            <w:tcW w:w="700" w:type="dxa"/>
            <w:vAlign w:val="bottom"/>
            <w:shd w:val="clear" w:color="auto" w:fill="F3EFE9"/>
          </w:tcPr>
          <w:p>
            <w:pPr>
              <w:spacing w:after="0"/>
              <w:rPr>
                <w:sz w:val="4"/>
                <w:szCs w:val="4"/>
                <w:color w:val="auto"/>
              </w:rPr>
            </w:pPr>
          </w:p>
        </w:tc>
        <w:tc>
          <w:tcPr>
            <w:tcW w:w="160" w:type="dxa"/>
            <w:vAlign w:val="bottom"/>
            <w:shd w:val="clear" w:color="auto" w:fill="F3EFE9"/>
          </w:tcPr>
          <w:p>
            <w:pPr>
              <w:spacing w:after="0"/>
              <w:rPr>
                <w:sz w:val="4"/>
                <w:szCs w:val="4"/>
                <w:color w:val="auto"/>
              </w:rPr>
            </w:pPr>
          </w:p>
        </w:tc>
        <w:tc>
          <w:tcPr>
            <w:tcW w:w="520" w:type="dxa"/>
            <w:vAlign w:val="bottom"/>
            <w:shd w:val="clear" w:color="auto" w:fill="F3EFE9"/>
          </w:tcPr>
          <w:p>
            <w:pPr>
              <w:spacing w:after="0"/>
              <w:rPr>
                <w:sz w:val="4"/>
                <w:szCs w:val="4"/>
                <w:color w:val="auto"/>
              </w:rPr>
            </w:pPr>
          </w:p>
        </w:tc>
        <w:tc>
          <w:tcPr>
            <w:tcW w:w="100" w:type="dxa"/>
            <w:vAlign w:val="bottom"/>
            <w:shd w:val="clear" w:color="auto" w:fill="F3EFE9"/>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800" w:type="dxa"/>
            <w:vAlign w:val="bottom"/>
            <w:tcBorders>
              <w:bottom w:val="single" w:sz="8" w:color="98BDE2"/>
            </w:tcBorders>
          </w:tcPr>
          <w:p>
            <w:pPr>
              <w:spacing w:after="0"/>
              <w:rPr>
                <w:sz w:val="14"/>
                <w:szCs w:val="14"/>
                <w:color w:val="auto"/>
              </w:rPr>
            </w:pPr>
          </w:p>
        </w:tc>
        <w:tc>
          <w:tcPr>
            <w:tcW w:w="820" w:type="dxa"/>
            <w:vAlign w:val="bottom"/>
            <w:tcBorders>
              <w:bottom w:val="single" w:sz="8" w:color="98BDE2"/>
            </w:tcBorders>
          </w:tcPr>
          <w:p>
            <w:pPr>
              <w:spacing w:after="0"/>
              <w:rPr>
                <w:sz w:val="14"/>
                <w:szCs w:val="14"/>
                <w:color w:val="auto"/>
              </w:rPr>
            </w:pPr>
          </w:p>
        </w:tc>
        <w:tc>
          <w:tcPr>
            <w:tcW w:w="2780" w:type="dxa"/>
            <w:vAlign w:val="bottom"/>
            <w:tcBorders>
              <w:bottom w:val="single" w:sz="8" w:color="98BDE2"/>
            </w:tcBorders>
          </w:tcPr>
          <w:p>
            <w:pPr>
              <w:spacing w:after="0"/>
              <w:rPr>
                <w:sz w:val="14"/>
                <w:szCs w:val="14"/>
                <w:color w:val="auto"/>
              </w:rPr>
            </w:pPr>
          </w:p>
        </w:tc>
        <w:tc>
          <w:tcPr>
            <w:tcW w:w="1780" w:type="dxa"/>
            <w:vAlign w:val="bottom"/>
            <w:tcBorders>
              <w:bottom w:val="single" w:sz="8" w:color="98BDE2"/>
            </w:tcBorders>
          </w:tcPr>
          <w:p>
            <w:pPr>
              <w:spacing w:after="0"/>
              <w:rPr>
                <w:sz w:val="14"/>
                <w:szCs w:val="14"/>
                <w:color w:val="auto"/>
              </w:rPr>
            </w:pPr>
          </w:p>
        </w:tc>
        <w:tc>
          <w:tcPr>
            <w:tcW w:w="1220" w:type="dxa"/>
            <w:vAlign w:val="bottom"/>
            <w:tcBorders>
              <w:bottom w:val="single" w:sz="8" w:color="98BDE2"/>
            </w:tcBorders>
          </w:tcPr>
          <w:p>
            <w:pPr>
              <w:spacing w:after="0"/>
              <w:rPr>
                <w:sz w:val="14"/>
                <w:szCs w:val="14"/>
                <w:color w:val="auto"/>
              </w:rPr>
            </w:pPr>
          </w:p>
        </w:tc>
        <w:tc>
          <w:tcPr>
            <w:tcW w:w="680" w:type="dxa"/>
            <w:vAlign w:val="bottom"/>
            <w:tcBorders>
              <w:bottom w:val="single" w:sz="8" w:color="98BDE2"/>
            </w:tcBorders>
            <w:shd w:val="clear" w:color="auto" w:fill="F3EFE9"/>
          </w:tcPr>
          <w:p>
            <w:pPr>
              <w:spacing w:after="0"/>
              <w:rPr>
                <w:sz w:val="14"/>
                <w:szCs w:val="14"/>
                <w:color w:val="auto"/>
              </w:rPr>
            </w:pPr>
          </w:p>
        </w:tc>
        <w:tc>
          <w:tcPr>
            <w:tcW w:w="680" w:type="dxa"/>
            <w:vAlign w:val="bottom"/>
            <w:tcBorders>
              <w:bottom w:val="single" w:sz="8" w:color="98BDE2"/>
            </w:tcBorders>
            <w:shd w:val="clear" w:color="auto" w:fill="F3EFE9"/>
          </w:tcPr>
          <w:p>
            <w:pPr>
              <w:spacing w:after="0"/>
              <w:rPr>
                <w:sz w:val="14"/>
                <w:szCs w:val="14"/>
                <w:color w:val="auto"/>
              </w:rPr>
            </w:pPr>
          </w:p>
        </w:tc>
        <w:tc>
          <w:tcPr>
            <w:tcW w:w="700" w:type="dxa"/>
            <w:vAlign w:val="bottom"/>
            <w:tcBorders>
              <w:bottom w:val="single" w:sz="8" w:color="98BDE2"/>
            </w:tcBorders>
            <w:shd w:val="clear" w:color="auto" w:fill="F3EFE9"/>
          </w:tcPr>
          <w:p>
            <w:pPr>
              <w:spacing w:after="0"/>
              <w:rPr>
                <w:sz w:val="14"/>
                <w:szCs w:val="14"/>
                <w:color w:val="auto"/>
              </w:rPr>
            </w:pPr>
          </w:p>
        </w:tc>
        <w:tc>
          <w:tcPr>
            <w:tcW w:w="160" w:type="dxa"/>
            <w:vAlign w:val="bottom"/>
            <w:tcBorders>
              <w:bottom w:val="single" w:sz="8" w:color="98BDE2"/>
            </w:tcBorders>
            <w:shd w:val="clear" w:color="auto" w:fill="F3EFE9"/>
          </w:tcPr>
          <w:p>
            <w:pPr>
              <w:spacing w:after="0"/>
              <w:rPr>
                <w:sz w:val="14"/>
                <w:szCs w:val="14"/>
                <w:color w:val="auto"/>
              </w:rPr>
            </w:pPr>
          </w:p>
        </w:tc>
        <w:tc>
          <w:tcPr>
            <w:tcW w:w="520" w:type="dxa"/>
            <w:vAlign w:val="bottom"/>
            <w:tcBorders>
              <w:bottom w:val="single" w:sz="8" w:color="98BDE2"/>
            </w:tcBorders>
            <w:shd w:val="clear" w:color="auto" w:fill="F3EFE9"/>
          </w:tcPr>
          <w:p>
            <w:pPr>
              <w:spacing w:after="0"/>
              <w:rPr>
                <w:sz w:val="14"/>
                <w:szCs w:val="14"/>
                <w:color w:val="auto"/>
              </w:rPr>
            </w:pPr>
          </w:p>
        </w:tc>
        <w:tc>
          <w:tcPr>
            <w:tcW w:w="100" w:type="dxa"/>
            <w:vAlign w:val="bottom"/>
            <w:tcBorders>
              <w:bottom w:val="single" w:sz="8" w:color="98BDE2"/>
            </w:tcBorders>
            <w:shd w:val="clear" w:color="auto" w:fill="F3EFE9"/>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800" w:type="dxa"/>
            <w:vAlign w:val="bottom"/>
          </w:tcPr>
          <w:p>
            <w:pPr>
              <w:ind w:left="720"/>
              <w:spacing w:after="0"/>
              <w:rPr>
                <w:sz w:val="20"/>
                <w:szCs w:val="20"/>
                <w:color w:val="auto"/>
              </w:rPr>
            </w:pPr>
            <w:r>
              <w:rPr>
                <w:rFonts w:ascii="Arial" w:cs="Arial" w:eastAsia="Arial" w:hAnsi="Arial"/>
                <w:sz w:val="14"/>
                <w:szCs w:val="14"/>
                <w:b w:val="1"/>
                <w:bCs w:val="1"/>
                <w:color w:val="032E5C"/>
              </w:rPr>
              <w:t>Peter A.</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color w:val="032E5C"/>
              </w:rPr>
              <w:t>2013</w:t>
            </w:r>
          </w:p>
        </w:tc>
        <w:tc>
          <w:tcPr>
            <w:tcW w:w="4560" w:type="dxa"/>
            <w:vAlign w:val="bottom"/>
            <w:gridSpan w:val="2"/>
            <w:vMerge w:val="restart"/>
          </w:tcPr>
          <w:p>
            <w:pPr>
              <w:ind w:left="100"/>
              <w:spacing w:after="0"/>
              <w:rPr>
                <w:sz w:val="20"/>
                <w:szCs w:val="20"/>
                <w:color w:val="auto"/>
              </w:rPr>
            </w:pPr>
            <w:r>
              <w:rPr>
                <w:rFonts w:ascii="Arial" w:cs="Arial" w:eastAsia="Arial" w:hAnsi="Arial"/>
                <w:sz w:val="14"/>
                <w:szCs w:val="14"/>
                <w:color w:val="032E5C"/>
              </w:rPr>
              <w:t>Founding and Managing Director, Vaughn Advisory Group, LLC</w:t>
            </w:r>
          </w:p>
        </w:tc>
        <w:tc>
          <w:tcPr>
            <w:tcW w:w="1220" w:type="dxa"/>
            <w:vAlign w:val="bottom"/>
            <w:vMerge w:val="restart"/>
          </w:tcPr>
          <w:p>
            <w:pPr>
              <w:jc w:val="center"/>
              <w:ind w:right="28"/>
              <w:spacing w:after="0"/>
              <w:rPr>
                <w:sz w:val="20"/>
                <w:szCs w:val="20"/>
                <w:color w:val="auto"/>
              </w:rPr>
            </w:pPr>
            <w:r>
              <w:rPr>
                <w:rFonts w:ascii="Arial" w:cs="Arial" w:eastAsia="Arial" w:hAnsi="Arial"/>
                <w:sz w:val="14"/>
                <w:szCs w:val="14"/>
                <w:color w:val="032E5C"/>
                <w:w w:val="99"/>
              </w:rPr>
              <w:t>Yes</w:t>
            </w:r>
          </w:p>
        </w:tc>
        <w:tc>
          <w:tcPr>
            <w:tcW w:w="68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680" w:type="dxa"/>
            <w:vAlign w:val="bottom"/>
            <w:shd w:val="clear" w:color="auto" w:fill="F3EFE9"/>
          </w:tcPr>
          <w:p>
            <w:pPr>
              <w:spacing w:after="0"/>
              <w:rPr>
                <w:sz w:val="24"/>
                <w:szCs w:val="24"/>
                <w:color w:val="auto"/>
              </w:rPr>
            </w:pPr>
          </w:p>
        </w:tc>
        <w:tc>
          <w:tcPr>
            <w:tcW w:w="700" w:type="dxa"/>
            <w:vAlign w:val="bottom"/>
            <w:vMerge w:val="restart"/>
            <w:shd w:val="clear" w:color="auto" w:fill="F3EFE9"/>
          </w:tcPr>
          <w:p>
            <w:pPr>
              <w:jc w:val="center"/>
              <w:spacing w:after="0"/>
              <w:rPr>
                <w:sz w:val="20"/>
                <w:szCs w:val="20"/>
                <w:color w:val="auto"/>
              </w:rPr>
            </w:pPr>
            <w:r>
              <w:rPr>
                <w:rFonts w:ascii="Arial" w:cs="Arial" w:eastAsia="Arial" w:hAnsi="Arial"/>
                <w:sz w:val="14"/>
                <w:szCs w:val="14"/>
                <w:color w:val="032E5C"/>
              </w:rPr>
              <w:t>Chair</w:t>
            </w:r>
          </w:p>
        </w:tc>
        <w:tc>
          <w:tcPr>
            <w:tcW w:w="160" w:type="dxa"/>
            <w:vAlign w:val="bottom"/>
            <w:shd w:val="clear" w:color="auto" w:fill="F3EFE9"/>
          </w:tcPr>
          <w:p>
            <w:pPr>
              <w:spacing w:after="0"/>
              <w:rPr>
                <w:sz w:val="24"/>
                <w:szCs w:val="24"/>
                <w:color w:val="auto"/>
              </w:rPr>
            </w:pPr>
          </w:p>
        </w:tc>
        <w:tc>
          <w:tcPr>
            <w:tcW w:w="52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032E5C"/>
              </w:rPr>
              <w:t>Vaughn</w:t>
            </w:r>
          </w:p>
        </w:tc>
        <w:tc>
          <w:tcPr>
            <w:tcW w:w="820" w:type="dxa"/>
            <w:vAlign w:val="bottom"/>
            <w:vMerge w:val="continue"/>
          </w:tcPr>
          <w:p>
            <w:pPr>
              <w:spacing w:after="0"/>
              <w:rPr>
                <w:sz w:val="9"/>
                <w:szCs w:val="9"/>
                <w:color w:val="auto"/>
              </w:rPr>
            </w:pPr>
          </w:p>
        </w:tc>
        <w:tc>
          <w:tcPr>
            <w:tcW w:w="456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80" w:type="dxa"/>
            <w:vAlign w:val="bottom"/>
            <w:vMerge w:val="continue"/>
            <w:shd w:val="clear" w:color="auto" w:fill="F3EFE9"/>
          </w:tcPr>
          <w:p>
            <w:pPr>
              <w:spacing w:after="0"/>
              <w:rPr>
                <w:sz w:val="9"/>
                <w:szCs w:val="9"/>
                <w:color w:val="auto"/>
              </w:rPr>
            </w:pPr>
          </w:p>
        </w:tc>
        <w:tc>
          <w:tcPr>
            <w:tcW w:w="680" w:type="dxa"/>
            <w:vAlign w:val="bottom"/>
            <w:shd w:val="clear" w:color="auto" w:fill="F3EFE9"/>
          </w:tcPr>
          <w:p>
            <w:pPr>
              <w:spacing w:after="0"/>
              <w:rPr>
                <w:sz w:val="9"/>
                <w:szCs w:val="9"/>
                <w:color w:val="auto"/>
              </w:rPr>
            </w:pPr>
          </w:p>
        </w:tc>
        <w:tc>
          <w:tcPr>
            <w:tcW w:w="700" w:type="dxa"/>
            <w:vAlign w:val="bottom"/>
            <w:vMerge w:val="continue"/>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520" w:type="dxa"/>
            <w:vAlign w:val="bottom"/>
            <w:shd w:val="clear" w:color="auto" w:fill="F3EFE9"/>
          </w:tcPr>
          <w:p>
            <w:pPr>
              <w:spacing w:after="0"/>
              <w:rPr>
                <w:sz w:val="9"/>
                <w:szCs w:val="9"/>
                <w:color w:val="auto"/>
              </w:rPr>
            </w:pPr>
          </w:p>
        </w:tc>
        <w:tc>
          <w:tcPr>
            <w:tcW w:w="10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680" w:type="dxa"/>
            <w:vAlign w:val="bottom"/>
            <w:shd w:val="clear" w:color="auto" w:fill="F3EFE9"/>
          </w:tcPr>
          <w:p>
            <w:pPr>
              <w:spacing w:after="0"/>
              <w:rPr>
                <w:sz w:val="7"/>
                <w:szCs w:val="7"/>
                <w:color w:val="auto"/>
              </w:rPr>
            </w:pPr>
          </w:p>
        </w:tc>
        <w:tc>
          <w:tcPr>
            <w:tcW w:w="7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520" w:type="dxa"/>
            <w:vAlign w:val="bottom"/>
            <w:shd w:val="clear" w:color="auto" w:fill="F3EFE9"/>
          </w:tcPr>
          <w:p>
            <w:pPr>
              <w:spacing w:after="0"/>
              <w:rPr>
                <w:sz w:val="7"/>
                <w:szCs w:val="7"/>
                <w:color w:val="auto"/>
              </w:rPr>
            </w:pPr>
          </w:p>
        </w:tc>
        <w:tc>
          <w:tcPr>
            <w:tcW w:w="10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98BDE2"/>
            </w:tcBorders>
          </w:tcPr>
          <w:p>
            <w:pPr>
              <w:spacing w:after="0"/>
              <w:rPr>
                <w:sz w:val="11"/>
                <w:szCs w:val="11"/>
                <w:color w:val="auto"/>
              </w:rPr>
            </w:pPr>
          </w:p>
        </w:tc>
        <w:tc>
          <w:tcPr>
            <w:tcW w:w="820" w:type="dxa"/>
            <w:vAlign w:val="bottom"/>
            <w:tcBorders>
              <w:bottom w:val="single" w:sz="8" w:color="98BDE2"/>
            </w:tcBorders>
          </w:tcPr>
          <w:p>
            <w:pPr>
              <w:spacing w:after="0"/>
              <w:rPr>
                <w:sz w:val="11"/>
                <w:szCs w:val="11"/>
                <w:color w:val="auto"/>
              </w:rPr>
            </w:pPr>
          </w:p>
        </w:tc>
        <w:tc>
          <w:tcPr>
            <w:tcW w:w="2780" w:type="dxa"/>
            <w:vAlign w:val="bottom"/>
            <w:tcBorders>
              <w:bottom w:val="single" w:sz="8" w:color="98BDE2"/>
            </w:tcBorders>
          </w:tcPr>
          <w:p>
            <w:pPr>
              <w:spacing w:after="0"/>
              <w:rPr>
                <w:sz w:val="11"/>
                <w:szCs w:val="11"/>
                <w:color w:val="auto"/>
              </w:rPr>
            </w:pPr>
          </w:p>
        </w:tc>
        <w:tc>
          <w:tcPr>
            <w:tcW w:w="1780" w:type="dxa"/>
            <w:vAlign w:val="bottom"/>
            <w:tcBorders>
              <w:bottom w:val="single" w:sz="8" w:color="98BDE2"/>
            </w:tcBorders>
          </w:tcPr>
          <w:p>
            <w:pPr>
              <w:spacing w:after="0"/>
              <w:rPr>
                <w:sz w:val="11"/>
                <w:szCs w:val="11"/>
                <w:color w:val="auto"/>
              </w:rPr>
            </w:pPr>
          </w:p>
        </w:tc>
        <w:tc>
          <w:tcPr>
            <w:tcW w:w="1220" w:type="dxa"/>
            <w:vAlign w:val="bottom"/>
            <w:tcBorders>
              <w:bottom w:val="single" w:sz="8" w:color="98BDE2"/>
            </w:tcBorders>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680" w:type="dxa"/>
            <w:vAlign w:val="bottom"/>
            <w:tcBorders>
              <w:bottom w:val="single" w:sz="8" w:color="98BDE2"/>
            </w:tcBorders>
            <w:shd w:val="clear" w:color="auto" w:fill="F3EFE9"/>
          </w:tcPr>
          <w:p>
            <w:pPr>
              <w:spacing w:after="0"/>
              <w:rPr>
                <w:sz w:val="11"/>
                <w:szCs w:val="11"/>
                <w:color w:val="auto"/>
              </w:rPr>
            </w:pPr>
          </w:p>
        </w:tc>
        <w:tc>
          <w:tcPr>
            <w:tcW w:w="7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520" w:type="dxa"/>
            <w:vAlign w:val="bottom"/>
            <w:tcBorders>
              <w:bottom w:val="single" w:sz="8" w:color="98BDE2"/>
            </w:tcBorders>
            <w:shd w:val="clear" w:color="auto" w:fill="F3EFE9"/>
          </w:tcPr>
          <w:p>
            <w:pPr>
              <w:spacing w:after="0"/>
              <w:rPr>
                <w:sz w:val="11"/>
                <w:szCs w:val="11"/>
                <w:color w:val="auto"/>
              </w:rPr>
            </w:pPr>
          </w:p>
        </w:tc>
        <w:tc>
          <w:tcPr>
            <w:tcW w:w="10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Fiscal 2024 Meetings:</w:t>
            </w:r>
          </w:p>
        </w:tc>
        <w:tc>
          <w:tcPr>
            <w:tcW w:w="820" w:type="dxa"/>
            <w:vAlign w:val="bottom"/>
            <w:tcBorders>
              <w:bottom w:val="single" w:sz="8" w:color="3E5C7C"/>
            </w:tcBorders>
          </w:tcPr>
          <w:p>
            <w:pPr>
              <w:spacing w:after="0"/>
              <w:rPr>
                <w:sz w:val="20"/>
                <w:szCs w:val="20"/>
                <w:color w:val="auto"/>
              </w:rPr>
            </w:pPr>
          </w:p>
        </w:tc>
        <w:tc>
          <w:tcPr>
            <w:tcW w:w="2780" w:type="dxa"/>
            <w:vAlign w:val="bottom"/>
            <w:tcBorders>
              <w:bottom w:val="single" w:sz="8" w:color="3E5C7C"/>
            </w:tcBorders>
          </w:tcPr>
          <w:p>
            <w:pPr>
              <w:spacing w:after="0"/>
              <w:rPr>
                <w:sz w:val="20"/>
                <w:szCs w:val="20"/>
                <w:color w:val="auto"/>
              </w:rPr>
            </w:pPr>
          </w:p>
        </w:tc>
        <w:tc>
          <w:tcPr>
            <w:tcW w:w="1780" w:type="dxa"/>
            <w:vAlign w:val="bottom"/>
            <w:tcBorders>
              <w:bottom w:val="single" w:sz="8" w:color="3E5C7C"/>
            </w:tcBorders>
          </w:tcPr>
          <w:p>
            <w:pPr>
              <w:spacing w:after="0"/>
              <w:rPr>
                <w:sz w:val="20"/>
                <w:szCs w:val="20"/>
                <w:color w:val="auto"/>
              </w:rPr>
            </w:pPr>
          </w:p>
        </w:tc>
        <w:tc>
          <w:tcPr>
            <w:tcW w:w="1220" w:type="dxa"/>
            <w:vAlign w:val="bottom"/>
            <w:tcBorders>
              <w:bottom w:val="single" w:sz="8" w:color="3E5C7C"/>
            </w:tcBorders>
          </w:tcPr>
          <w:p>
            <w:pPr>
              <w:spacing w:after="0"/>
              <w:rPr>
                <w:sz w:val="20"/>
                <w:szCs w:val="20"/>
                <w:color w:val="auto"/>
              </w:rPr>
            </w:pPr>
          </w:p>
        </w:tc>
        <w:tc>
          <w:tcPr>
            <w:tcW w:w="680" w:type="dxa"/>
            <w:vAlign w:val="bottom"/>
            <w:tcBorders>
              <w:bottom w:val="single" w:sz="8" w:color="3E5C7C"/>
            </w:tcBorders>
            <w:shd w:val="clear" w:color="auto" w:fill="F3EFE9"/>
          </w:tcPr>
          <w:p>
            <w:pPr>
              <w:jc w:val="center"/>
              <w:spacing w:after="0"/>
              <w:rPr>
                <w:sz w:val="20"/>
                <w:szCs w:val="20"/>
                <w:color w:val="auto"/>
              </w:rPr>
            </w:pPr>
            <w:r>
              <w:rPr>
                <w:rFonts w:ascii="Arial" w:cs="Arial" w:eastAsia="Arial" w:hAnsi="Arial"/>
                <w:sz w:val="14"/>
                <w:szCs w:val="14"/>
                <w:b w:val="1"/>
                <w:bCs w:val="1"/>
                <w:color w:val="032E5C"/>
              </w:rPr>
              <w:t>4</w:t>
            </w:r>
          </w:p>
        </w:tc>
        <w:tc>
          <w:tcPr>
            <w:tcW w:w="680" w:type="dxa"/>
            <w:vAlign w:val="bottom"/>
            <w:tcBorders>
              <w:bottom w:val="single" w:sz="8" w:color="3E5C7C"/>
            </w:tcBorders>
            <w:shd w:val="clear" w:color="auto" w:fill="F3EFE9"/>
          </w:tcPr>
          <w:p>
            <w:pPr>
              <w:jc w:val="center"/>
              <w:spacing w:after="0"/>
              <w:rPr>
                <w:sz w:val="20"/>
                <w:szCs w:val="20"/>
                <w:color w:val="auto"/>
              </w:rPr>
            </w:pPr>
            <w:r>
              <w:rPr>
                <w:rFonts w:ascii="Arial" w:cs="Arial" w:eastAsia="Arial" w:hAnsi="Arial"/>
                <w:sz w:val="14"/>
                <w:szCs w:val="14"/>
                <w:b w:val="1"/>
                <w:bCs w:val="1"/>
                <w:color w:val="032E5C"/>
              </w:rPr>
              <w:t>3</w:t>
            </w:r>
          </w:p>
        </w:tc>
        <w:tc>
          <w:tcPr>
            <w:tcW w:w="700" w:type="dxa"/>
            <w:vAlign w:val="bottom"/>
            <w:tcBorders>
              <w:bottom w:val="single" w:sz="8" w:color="3E5C7C"/>
            </w:tcBorders>
            <w:shd w:val="clear" w:color="auto" w:fill="F3EFE9"/>
          </w:tcPr>
          <w:p>
            <w:pPr>
              <w:jc w:val="center"/>
              <w:spacing w:after="0"/>
              <w:rPr>
                <w:sz w:val="20"/>
                <w:szCs w:val="20"/>
                <w:color w:val="auto"/>
              </w:rPr>
            </w:pPr>
            <w:r>
              <w:rPr>
                <w:rFonts w:ascii="Arial" w:cs="Arial" w:eastAsia="Arial" w:hAnsi="Arial"/>
                <w:sz w:val="14"/>
                <w:szCs w:val="14"/>
                <w:b w:val="1"/>
                <w:bCs w:val="1"/>
                <w:color w:val="032E5C"/>
              </w:rPr>
              <w:t>1</w:t>
            </w:r>
          </w:p>
        </w:tc>
        <w:tc>
          <w:tcPr>
            <w:tcW w:w="160" w:type="dxa"/>
            <w:vAlign w:val="bottom"/>
            <w:tcBorders>
              <w:bottom w:val="single" w:sz="8" w:color="3E5C7C"/>
            </w:tcBorders>
            <w:shd w:val="clear" w:color="auto" w:fill="F3EFE9"/>
          </w:tcPr>
          <w:p>
            <w:pPr>
              <w:spacing w:after="0"/>
              <w:rPr>
                <w:sz w:val="20"/>
                <w:szCs w:val="20"/>
                <w:color w:val="auto"/>
              </w:rPr>
            </w:pPr>
          </w:p>
        </w:tc>
        <w:tc>
          <w:tcPr>
            <w:tcW w:w="520" w:type="dxa"/>
            <w:vAlign w:val="bottom"/>
            <w:tcBorders>
              <w:bottom w:val="single" w:sz="8" w:color="3E5C7C"/>
            </w:tcBorders>
            <w:shd w:val="clear" w:color="auto" w:fill="F3EFE9"/>
          </w:tcPr>
          <w:p>
            <w:pPr>
              <w:jc w:val="center"/>
              <w:ind w:right="88"/>
              <w:spacing w:after="0"/>
              <w:rPr>
                <w:sz w:val="20"/>
                <w:szCs w:val="20"/>
                <w:color w:val="auto"/>
              </w:rPr>
            </w:pPr>
            <w:r>
              <w:rPr>
                <w:rFonts w:ascii="Arial" w:cs="Arial" w:eastAsia="Arial" w:hAnsi="Arial"/>
                <w:sz w:val="14"/>
                <w:szCs w:val="14"/>
                <w:b w:val="1"/>
                <w:bCs w:val="1"/>
                <w:color w:val="032E5C"/>
              </w:rPr>
              <w:t>1</w:t>
            </w:r>
          </w:p>
        </w:tc>
        <w:tc>
          <w:tcPr>
            <w:tcW w:w="100" w:type="dxa"/>
            <w:vAlign w:val="bottom"/>
            <w:tcBorders>
              <w:bottom w:val="single" w:sz="8" w:color="3E5C7C"/>
            </w:tcBorders>
            <w:shd w:val="clear" w:color="auto" w:fill="F3EFE9"/>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00" w:type="dxa"/>
            <w:vAlign w:val="bottom"/>
          </w:tcPr>
          <w:p>
            <w:pPr>
              <w:ind w:left="20"/>
              <w:spacing w:after="0"/>
              <w:rPr>
                <w:sz w:val="20"/>
                <w:szCs w:val="20"/>
                <w:color w:val="auto"/>
              </w:rPr>
            </w:pPr>
            <w:r>
              <w:rPr>
                <w:rFonts w:ascii="Arial" w:cs="Arial" w:eastAsia="Arial" w:hAnsi="Arial"/>
                <w:sz w:val="14"/>
                <w:szCs w:val="14"/>
                <w:b w:val="1"/>
                <w:bCs w:val="1"/>
                <w:color w:val="032E5C"/>
              </w:rPr>
              <w:t xml:space="preserve">Audit </w:t>
            </w:r>
            <w:r>
              <w:rPr>
                <w:rFonts w:ascii="Arial" w:cs="Arial" w:eastAsia="Arial" w:hAnsi="Arial"/>
                <w:sz w:val="14"/>
                <w:szCs w:val="14"/>
                <w:color w:val="032E5C"/>
              </w:rPr>
              <w:t>–</w:t>
            </w:r>
          </w:p>
        </w:tc>
        <w:tc>
          <w:tcPr>
            <w:tcW w:w="820" w:type="dxa"/>
            <w:vAlign w:val="bottom"/>
          </w:tcPr>
          <w:p>
            <w:pPr>
              <w:ind w:left="20"/>
              <w:spacing w:after="0"/>
              <w:rPr>
                <w:sz w:val="20"/>
                <w:szCs w:val="20"/>
                <w:color w:val="auto"/>
              </w:rPr>
            </w:pPr>
            <w:r>
              <w:rPr>
                <w:rFonts w:ascii="Arial" w:cs="Arial" w:eastAsia="Arial" w:hAnsi="Arial"/>
                <w:sz w:val="14"/>
                <w:szCs w:val="14"/>
                <w:b w:val="1"/>
                <w:bCs w:val="1"/>
                <w:color w:val="032E5C"/>
              </w:rPr>
              <w:t xml:space="preserve">Comp </w:t>
            </w:r>
            <w:r>
              <w:rPr>
                <w:rFonts w:ascii="Arial" w:cs="Arial" w:eastAsia="Arial" w:hAnsi="Arial"/>
                <w:sz w:val="14"/>
                <w:szCs w:val="14"/>
                <w:color w:val="032E5C"/>
              </w:rPr>
              <w:t>–</w:t>
            </w:r>
          </w:p>
        </w:tc>
        <w:tc>
          <w:tcPr>
            <w:tcW w:w="2780" w:type="dxa"/>
            <w:vAlign w:val="bottom"/>
          </w:tcPr>
          <w:p>
            <w:pPr>
              <w:ind w:left="1020"/>
              <w:spacing w:after="0"/>
              <w:rPr>
                <w:sz w:val="20"/>
                <w:szCs w:val="20"/>
                <w:color w:val="auto"/>
              </w:rPr>
            </w:pPr>
            <w:r>
              <w:rPr>
                <w:rFonts w:ascii="Arial" w:cs="Arial" w:eastAsia="Arial" w:hAnsi="Arial"/>
                <w:sz w:val="14"/>
                <w:szCs w:val="14"/>
                <w:b w:val="1"/>
                <w:bCs w:val="1"/>
                <w:color w:val="032E5C"/>
              </w:rPr>
              <w:t xml:space="preserve">N&amp;G </w:t>
            </w:r>
            <w:r>
              <w:rPr>
                <w:rFonts w:ascii="Arial" w:cs="Arial" w:eastAsia="Arial" w:hAnsi="Arial"/>
                <w:sz w:val="14"/>
                <w:szCs w:val="14"/>
                <w:color w:val="032E5C"/>
              </w:rPr>
              <w:t>–</w:t>
            </w:r>
          </w:p>
        </w:tc>
        <w:tc>
          <w:tcPr>
            <w:tcW w:w="1780" w:type="dxa"/>
            <w:vAlign w:val="bottom"/>
          </w:tcPr>
          <w:p>
            <w:pPr>
              <w:ind w:left="60"/>
              <w:spacing w:after="0"/>
              <w:rPr>
                <w:sz w:val="20"/>
                <w:szCs w:val="20"/>
                <w:color w:val="auto"/>
              </w:rPr>
            </w:pPr>
            <w:r>
              <w:rPr>
                <w:rFonts w:ascii="Arial" w:cs="Arial" w:eastAsia="Arial" w:hAnsi="Arial"/>
                <w:sz w:val="14"/>
                <w:szCs w:val="14"/>
                <w:b w:val="1"/>
                <w:bCs w:val="1"/>
                <w:color w:val="032E5C"/>
              </w:rPr>
              <w:t xml:space="preserve">Exec </w:t>
            </w:r>
            <w:r>
              <w:rPr>
                <w:rFonts w:ascii="Arial" w:cs="Arial" w:eastAsia="Arial" w:hAnsi="Arial"/>
                <w:sz w:val="14"/>
                <w:szCs w:val="14"/>
                <w:color w:val="032E5C"/>
              </w:rPr>
              <w:t>–</w:t>
            </w:r>
          </w:p>
        </w:tc>
        <w:tc>
          <w:tcPr>
            <w:tcW w:w="1220" w:type="dxa"/>
            <w:vAlign w:val="bottom"/>
          </w:tcPr>
          <w:p>
            <w:pPr>
              <w:ind w:left="100"/>
              <w:spacing w:after="0"/>
              <w:rPr>
                <w:sz w:val="20"/>
                <w:szCs w:val="20"/>
                <w:color w:val="auto"/>
              </w:rPr>
            </w:pPr>
            <w:r>
              <w:rPr>
                <w:rFonts w:ascii="Arial" w:cs="Arial" w:eastAsia="Arial" w:hAnsi="Arial"/>
                <w:sz w:val="14"/>
                <w:szCs w:val="14"/>
                <w:b w:val="1"/>
                <w:bCs w:val="1"/>
                <w:color w:val="032E5C"/>
              </w:rPr>
              <w:t>F –</w:t>
            </w:r>
          </w:p>
        </w:tc>
        <w:tc>
          <w:tcPr>
            <w:tcW w:w="68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032E5C"/>
              </w:rPr>
              <w:t xml:space="preserve">♦ </w:t>
            </w:r>
            <w:r>
              <w:rPr>
                <w:rFonts w:ascii="Arial" w:cs="Arial" w:eastAsia="Arial" w:hAnsi="Arial"/>
                <w:sz w:val="14"/>
                <w:szCs w:val="14"/>
                <w:color w:val="032E5C"/>
              </w:rPr>
              <w: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rPr>
                <w:sz w:val="20"/>
                <w:szCs w:val="20"/>
                <w:color w:val="auto"/>
              </w:rPr>
            </w:pPr>
            <w:r>
              <w:rPr>
                <w:rFonts w:ascii="Arial" w:cs="Arial" w:eastAsia="Arial" w:hAnsi="Arial"/>
                <w:sz w:val="14"/>
                <w:szCs w:val="14"/>
                <w:color w:val="032E5C"/>
              </w:rPr>
              <w:t>Audit Committee</w:t>
            </w:r>
          </w:p>
        </w:tc>
        <w:tc>
          <w:tcPr>
            <w:tcW w:w="3600" w:type="dxa"/>
            <w:vAlign w:val="bottom"/>
            <w:gridSpan w:val="2"/>
          </w:tcPr>
          <w:p>
            <w:pPr>
              <w:ind w:left="20"/>
              <w:spacing w:after="0"/>
              <w:rPr>
                <w:sz w:val="20"/>
                <w:szCs w:val="20"/>
                <w:color w:val="auto"/>
              </w:rPr>
            </w:pPr>
            <w:r>
              <w:rPr>
                <w:rFonts w:ascii="Arial" w:cs="Arial" w:eastAsia="Arial" w:hAnsi="Arial"/>
                <w:sz w:val="14"/>
                <w:szCs w:val="14"/>
                <w:color w:val="032E5C"/>
              </w:rPr>
              <w:t>Compensation Committee  Nominating &amp; Governance</w:t>
            </w:r>
          </w:p>
        </w:tc>
        <w:tc>
          <w:tcPr>
            <w:tcW w:w="1780" w:type="dxa"/>
            <w:vAlign w:val="bottom"/>
          </w:tcPr>
          <w:p>
            <w:pPr>
              <w:ind w:left="60"/>
              <w:spacing w:after="0"/>
              <w:rPr>
                <w:sz w:val="20"/>
                <w:szCs w:val="20"/>
                <w:color w:val="auto"/>
              </w:rPr>
            </w:pPr>
            <w:r>
              <w:rPr>
                <w:rFonts w:ascii="Arial" w:cs="Arial" w:eastAsia="Arial" w:hAnsi="Arial"/>
                <w:sz w:val="14"/>
                <w:szCs w:val="14"/>
                <w:color w:val="032E5C"/>
              </w:rPr>
              <w:t>Executive</w:t>
            </w:r>
          </w:p>
        </w:tc>
        <w:tc>
          <w:tcPr>
            <w:tcW w:w="1900" w:type="dxa"/>
            <w:vAlign w:val="bottom"/>
            <w:gridSpan w:val="2"/>
          </w:tcPr>
          <w:p>
            <w:pPr>
              <w:ind w:left="100"/>
              <w:spacing w:after="0"/>
              <w:rPr>
                <w:sz w:val="20"/>
                <w:szCs w:val="20"/>
                <w:color w:val="auto"/>
              </w:rPr>
            </w:pPr>
            <w:r>
              <w:rPr>
                <w:rFonts w:ascii="Arial" w:cs="Arial" w:eastAsia="Arial" w:hAnsi="Arial"/>
                <w:sz w:val="14"/>
                <w:szCs w:val="14"/>
                <w:color w:val="032E5C"/>
              </w:rPr>
              <w:t>Audit Committee Financial</w:t>
            </w:r>
          </w:p>
        </w:tc>
        <w:tc>
          <w:tcPr>
            <w:tcW w:w="2160" w:type="dxa"/>
            <w:vAlign w:val="bottom"/>
            <w:gridSpan w:val="5"/>
          </w:tcPr>
          <w:p>
            <w:pPr>
              <w:ind w:left="40"/>
              <w:spacing w:after="0"/>
              <w:rPr>
                <w:sz w:val="20"/>
                <w:szCs w:val="20"/>
                <w:color w:val="auto"/>
              </w:rPr>
            </w:pPr>
            <w:r>
              <w:rPr>
                <w:rFonts w:ascii="Arial" w:cs="Arial" w:eastAsia="Arial" w:hAnsi="Arial"/>
                <w:sz w:val="14"/>
                <w:szCs w:val="14"/>
                <w:color w:val="032E5C"/>
              </w:rPr>
              <w:t>Lead Independent Director</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80" w:type="dxa"/>
            <w:vAlign w:val="bottom"/>
          </w:tcPr>
          <w:p>
            <w:pPr>
              <w:ind w:left="1020"/>
              <w:spacing w:after="0"/>
              <w:rPr>
                <w:sz w:val="20"/>
                <w:szCs w:val="20"/>
                <w:color w:val="auto"/>
              </w:rPr>
            </w:pPr>
            <w:r>
              <w:rPr>
                <w:rFonts w:ascii="Arial" w:cs="Arial" w:eastAsia="Arial" w:hAnsi="Arial"/>
                <w:sz w:val="14"/>
                <w:szCs w:val="14"/>
                <w:color w:val="032E5C"/>
              </w:rPr>
              <w:t>Committee</w:t>
            </w:r>
          </w:p>
        </w:tc>
        <w:tc>
          <w:tcPr>
            <w:tcW w:w="1780" w:type="dxa"/>
            <w:vAlign w:val="bottom"/>
          </w:tcPr>
          <w:p>
            <w:pPr>
              <w:ind w:left="60"/>
              <w:spacing w:after="0"/>
              <w:rPr>
                <w:sz w:val="20"/>
                <w:szCs w:val="20"/>
                <w:color w:val="auto"/>
              </w:rPr>
            </w:pPr>
            <w:r>
              <w:rPr>
                <w:rFonts w:ascii="Arial" w:cs="Arial" w:eastAsia="Arial" w:hAnsi="Arial"/>
                <w:sz w:val="14"/>
                <w:szCs w:val="14"/>
                <w:color w:val="032E5C"/>
              </w:rPr>
              <w:t>Committee</w:t>
            </w:r>
          </w:p>
        </w:tc>
        <w:tc>
          <w:tcPr>
            <w:tcW w:w="1220" w:type="dxa"/>
            <w:vAlign w:val="bottom"/>
          </w:tcPr>
          <w:p>
            <w:pPr>
              <w:ind w:left="100"/>
              <w:spacing w:after="0"/>
              <w:rPr>
                <w:sz w:val="20"/>
                <w:szCs w:val="20"/>
                <w:color w:val="auto"/>
              </w:rPr>
            </w:pPr>
            <w:r>
              <w:rPr>
                <w:rFonts w:ascii="Arial" w:cs="Arial" w:eastAsia="Arial" w:hAnsi="Arial"/>
                <w:sz w:val="14"/>
                <w:szCs w:val="14"/>
                <w:color w:val="032E5C"/>
              </w:rPr>
              <w:t>Expert</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-5532120</wp:posOffset>
            </wp:positionV>
            <wp:extent cx="30861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-5120640</wp:posOffset>
            </wp:positionV>
            <wp:extent cx="30861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-4709160</wp:posOffset>
            </wp:positionV>
            <wp:extent cx="30861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-4297680</wp:posOffset>
            </wp:positionV>
            <wp:extent cx="30861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-3886200</wp:posOffset>
            </wp:positionV>
            <wp:extent cx="30861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-3474720</wp:posOffset>
            </wp:positionV>
            <wp:extent cx="30861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-3063240</wp:posOffset>
            </wp:positionV>
            <wp:extent cx="30861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-2651760</wp:posOffset>
            </wp:positionV>
            <wp:extent cx="30861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-2240280</wp:posOffset>
            </wp:positionV>
            <wp:extent cx="30861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-1828800</wp:posOffset>
            </wp:positionV>
            <wp:extent cx="308610"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-1417320</wp:posOffset>
            </wp:positionV>
            <wp:extent cx="30861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-1005840</wp:posOffset>
            </wp:positionV>
            <wp:extent cx="30861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392"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29292B"/>
        </w:rPr>
        <w:t>The Board held four meetings during fiscal 2024. Each of our then-serving directors attended at least 75% of the meetings held by the Board and Board committees on which he or she served during the fiscal year.</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40" w:type="dxa"/>
            <w:vAlign w:val="bottom"/>
          </w:tcPr>
          <w:p>
            <w:pPr>
              <w:jc w:val="right"/>
              <w:ind w:right="2259"/>
              <w:spacing w:after="0"/>
              <w:rPr>
                <w:sz w:val="20"/>
                <w:szCs w:val="20"/>
                <w:color w:val="auto"/>
              </w:rPr>
            </w:pPr>
            <w:r>
              <w:rPr>
                <w:rFonts w:ascii="Arial" w:cs="Arial" w:eastAsia="Arial" w:hAnsi="Arial"/>
                <w:sz w:val="16"/>
                <w:szCs w:val="16"/>
                <w:b w:val="1"/>
                <w:bCs w:val="1"/>
                <w:color w:val="032E5C"/>
                <w:w w:val="89"/>
              </w:rPr>
              <w:t>6</w:t>
            </w:r>
          </w:p>
        </w:tc>
        <w:tc>
          <w:tcPr>
            <w:tcW w:w="3960" w:type="dxa"/>
            <w:vAlign w:val="bottom"/>
            <w:vMerge w:val="restart"/>
          </w:tcPr>
          <w:p>
            <w:pPr>
              <w:ind w:left="234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40" w:type="dxa"/>
            <w:vAlign w:val="bottom"/>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190"/>
        </w:trPr>
        <w:tc>
          <w:tcPr>
            <w:tcW w:w="5520" w:type="dxa"/>
            <w:vAlign w:val="bottom"/>
          </w:tcPr>
          <w:p>
            <w:pPr>
              <w:spacing w:after="0"/>
              <w:rPr>
                <w:sz w:val="20"/>
                <w:szCs w:val="20"/>
                <w:color w:val="auto"/>
              </w:rPr>
            </w:pPr>
            <w:r>
              <w:rPr>
                <w:rFonts w:ascii="Arial" w:cs="Arial" w:eastAsia="Arial" w:hAnsi="Arial"/>
                <w:sz w:val="14"/>
                <w:szCs w:val="14"/>
                <w:color w:val="032E5C"/>
              </w:rPr>
              <w:t>Table of Contents</w:t>
            </w:r>
          </w:p>
        </w:tc>
        <w:tc>
          <w:tcPr>
            <w:tcW w:w="5500" w:type="dxa"/>
            <w:vAlign w:val="bottom"/>
            <w:vMerge w:val="restart"/>
          </w:tcPr>
          <w:p>
            <w:pPr>
              <w:ind w:left="4380"/>
              <w:spacing w:after="0"/>
              <w:rPr>
                <w:sz w:val="20"/>
                <w:szCs w:val="20"/>
                <w:color w:val="auto"/>
              </w:rPr>
            </w:pPr>
            <w:r>
              <w:rPr>
                <w:rFonts w:ascii="Arial" w:cs="Arial" w:eastAsia="Arial" w:hAnsi="Arial"/>
                <w:sz w:val="13"/>
                <w:szCs w:val="13"/>
                <w:b w:val="1"/>
                <w:bCs w:val="1"/>
                <w:color w:val="032E5C"/>
                <w:w w:val="94"/>
              </w:rPr>
              <w:t>PROXY SUMMARY</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5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6380480</wp:posOffset>
            </wp:positionH>
            <wp:positionV relativeFrom="page">
              <wp:posOffset>106045</wp:posOffset>
            </wp:positionV>
            <wp:extent cx="96012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0120" cy="24003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Board Composition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29292B"/>
        </w:rPr>
        <w:t>Our twelve director nominees have an effective mix of skills, experience, background and diversity of perspective.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shd w:val="clear" w:color="auto" w:fill="F3EFE9"/>
          </w:tcPr>
          <w:p>
            <w:pPr>
              <w:spacing w:after="0"/>
              <w:rPr>
                <w:sz w:val="18"/>
                <w:szCs w:val="18"/>
                <w:color w:val="auto"/>
              </w:rPr>
            </w:pPr>
          </w:p>
        </w:tc>
        <w:tc>
          <w:tcPr>
            <w:tcW w:w="560" w:type="dxa"/>
            <w:vAlign w:val="bottom"/>
            <w:shd w:val="clear" w:color="auto" w:fill="F3EFE9"/>
          </w:tcPr>
          <w:p>
            <w:pPr>
              <w:spacing w:after="0"/>
              <w:rPr>
                <w:sz w:val="18"/>
                <w:szCs w:val="18"/>
                <w:color w:val="auto"/>
              </w:rPr>
            </w:pPr>
          </w:p>
        </w:tc>
        <w:tc>
          <w:tcPr>
            <w:tcW w:w="2460" w:type="dxa"/>
            <w:vAlign w:val="bottom"/>
            <w:gridSpan w:val="24"/>
            <w:vMerge w:val="restart"/>
            <w:shd w:val="clear" w:color="auto" w:fill="F3EFE9"/>
          </w:tcPr>
          <w:p>
            <w:pPr>
              <w:jc w:val="center"/>
              <w:ind w:right="520"/>
              <w:spacing w:after="0"/>
              <w:rPr>
                <w:sz w:val="20"/>
                <w:szCs w:val="20"/>
                <w:color w:val="auto"/>
              </w:rPr>
            </w:pPr>
            <w:r>
              <w:rPr>
                <w:rFonts w:ascii="Arial" w:cs="Arial" w:eastAsia="Arial" w:hAnsi="Arial"/>
                <w:sz w:val="16"/>
                <w:szCs w:val="16"/>
                <w:b w:val="1"/>
                <w:bCs w:val="1"/>
                <w:color w:val="032E5C"/>
              </w:rPr>
              <w:t>GLOBAL LEADERSHIP</w:t>
            </w:r>
          </w:p>
        </w:tc>
        <w:tc>
          <w:tcPr>
            <w:tcW w:w="380" w:type="dxa"/>
            <w:vAlign w:val="bottom"/>
            <w:tcBorders>
              <w:right w:val="single" w:sz="8" w:color="F3EFE9"/>
            </w:tcBorders>
            <w:shd w:val="clear" w:color="auto" w:fill="F3EFE9"/>
          </w:tcPr>
          <w:p>
            <w:pPr>
              <w:spacing w:after="0"/>
              <w:rPr>
                <w:sz w:val="18"/>
                <w:szCs w:val="18"/>
                <w:color w:val="auto"/>
              </w:rPr>
            </w:pPr>
          </w:p>
        </w:tc>
        <w:tc>
          <w:tcPr>
            <w:tcW w:w="340" w:type="dxa"/>
            <w:vAlign w:val="bottom"/>
            <w:shd w:val="clear" w:color="auto" w:fill="F3EFE9"/>
          </w:tcPr>
          <w:p>
            <w:pPr>
              <w:spacing w:after="0"/>
              <w:rPr>
                <w:sz w:val="18"/>
                <w:szCs w:val="18"/>
                <w:color w:val="auto"/>
              </w:rPr>
            </w:pPr>
          </w:p>
        </w:tc>
        <w:tc>
          <w:tcPr>
            <w:tcW w:w="3040" w:type="dxa"/>
            <w:vAlign w:val="bottom"/>
            <w:gridSpan w:val="25"/>
            <w:vMerge w:val="restart"/>
            <w:shd w:val="clear" w:color="auto" w:fill="F3EFE9"/>
          </w:tcPr>
          <w:p>
            <w:pPr>
              <w:jc w:val="center"/>
              <w:ind w:right="20"/>
              <w:spacing w:after="0"/>
              <w:rPr>
                <w:sz w:val="20"/>
                <w:szCs w:val="20"/>
                <w:color w:val="auto"/>
              </w:rPr>
            </w:pPr>
            <w:r>
              <w:rPr>
                <w:rFonts w:ascii="Arial" w:cs="Arial" w:eastAsia="Arial" w:hAnsi="Arial"/>
                <w:sz w:val="16"/>
                <w:szCs w:val="16"/>
                <w:b w:val="1"/>
                <w:bCs w:val="1"/>
                <w:color w:val="032E5C"/>
              </w:rPr>
              <w:t>INNOVATION &amp; TECHNOLOGY</w:t>
            </w:r>
          </w:p>
        </w:tc>
        <w:tc>
          <w:tcPr>
            <w:tcW w:w="380" w:type="dxa"/>
            <w:vAlign w:val="bottom"/>
            <w:tcBorders>
              <w:right w:val="single" w:sz="8" w:color="F3EFE9"/>
            </w:tcBorders>
            <w:shd w:val="clear" w:color="auto" w:fill="F3EFE9"/>
          </w:tcPr>
          <w:p>
            <w:pPr>
              <w:spacing w:after="0"/>
              <w:rPr>
                <w:sz w:val="18"/>
                <w:szCs w:val="18"/>
                <w:color w:val="auto"/>
              </w:rPr>
            </w:pPr>
          </w:p>
        </w:tc>
        <w:tc>
          <w:tcPr>
            <w:tcW w:w="900" w:type="dxa"/>
            <w:vAlign w:val="bottom"/>
            <w:shd w:val="clear" w:color="auto" w:fill="F3EFE9"/>
          </w:tcPr>
          <w:p>
            <w:pPr>
              <w:spacing w:after="0"/>
              <w:rPr>
                <w:sz w:val="18"/>
                <w:szCs w:val="18"/>
                <w:color w:val="auto"/>
              </w:rPr>
            </w:pPr>
          </w:p>
        </w:tc>
        <w:tc>
          <w:tcPr>
            <w:tcW w:w="100" w:type="dxa"/>
            <w:vAlign w:val="bottom"/>
            <w:shd w:val="clear" w:color="auto" w:fill="F3EFE9"/>
          </w:tcPr>
          <w:p>
            <w:pPr>
              <w:spacing w:after="0"/>
              <w:rPr>
                <w:sz w:val="18"/>
                <w:szCs w:val="18"/>
                <w:color w:val="auto"/>
              </w:rPr>
            </w:pPr>
          </w:p>
        </w:tc>
        <w:tc>
          <w:tcPr>
            <w:tcW w:w="60" w:type="dxa"/>
            <w:vAlign w:val="bottom"/>
            <w:shd w:val="clear" w:color="auto" w:fill="F3EFE9"/>
          </w:tcPr>
          <w:p>
            <w:pPr>
              <w:spacing w:after="0"/>
              <w:rPr>
                <w:sz w:val="18"/>
                <w:szCs w:val="18"/>
                <w:color w:val="auto"/>
              </w:rPr>
            </w:pPr>
          </w:p>
        </w:tc>
        <w:tc>
          <w:tcPr>
            <w:tcW w:w="2680" w:type="dxa"/>
            <w:vAlign w:val="bottom"/>
            <w:gridSpan w:val="22"/>
            <w:vMerge w:val="restart"/>
            <w:shd w:val="clear" w:color="auto" w:fill="F3EFE9"/>
          </w:tcPr>
          <w:p>
            <w:pPr>
              <w:jc w:val="center"/>
              <w:ind w:right="1100"/>
              <w:spacing w:after="0"/>
              <w:rPr>
                <w:sz w:val="20"/>
                <w:szCs w:val="20"/>
                <w:color w:val="auto"/>
              </w:rPr>
            </w:pPr>
            <w:r>
              <w:rPr>
                <w:rFonts w:ascii="Arial" w:cs="Arial" w:eastAsia="Arial" w:hAnsi="Arial"/>
                <w:sz w:val="16"/>
                <w:szCs w:val="16"/>
                <w:b w:val="1"/>
                <w:bCs w:val="1"/>
                <w:color w:val="032E5C"/>
              </w:rPr>
              <w:t>TRAVEL &amp; LEISURE</w:t>
            </w:r>
          </w:p>
        </w:tc>
        <w:tc>
          <w:tcPr>
            <w:tcW w:w="0" w:type="dxa"/>
            <w:vAlign w:val="bottom"/>
          </w:tcPr>
          <w:p>
            <w:pPr>
              <w:spacing w:after="0"/>
              <w:rPr>
                <w:sz w:val="1"/>
                <w:szCs w:val="1"/>
                <w:color w:val="auto"/>
              </w:rPr>
            </w:pPr>
          </w:p>
        </w:tc>
      </w:tr>
      <w:tr>
        <w:trPr>
          <w:trHeight w:val="235"/>
        </w:trPr>
        <w:tc>
          <w:tcPr>
            <w:tcW w:w="340" w:type="dxa"/>
            <w:vAlign w:val="bottom"/>
            <w:shd w:val="clear" w:color="auto" w:fill="F3EFE9"/>
          </w:tcPr>
          <w:p>
            <w:pPr>
              <w:spacing w:after="0"/>
              <w:rPr>
                <w:sz w:val="20"/>
                <w:szCs w:val="20"/>
                <w:color w:val="auto"/>
              </w:rPr>
            </w:pPr>
          </w:p>
        </w:tc>
        <w:tc>
          <w:tcPr>
            <w:tcW w:w="560" w:type="dxa"/>
            <w:vAlign w:val="bottom"/>
            <w:shd w:val="clear" w:color="auto" w:fill="F3EFE9"/>
          </w:tcPr>
          <w:p>
            <w:pPr>
              <w:spacing w:after="0"/>
              <w:rPr>
                <w:sz w:val="20"/>
                <w:szCs w:val="20"/>
                <w:color w:val="auto"/>
              </w:rPr>
            </w:pPr>
          </w:p>
        </w:tc>
        <w:tc>
          <w:tcPr>
            <w:tcW w:w="2460" w:type="dxa"/>
            <w:vAlign w:val="bottom"/>
            <w:gridSpan w:val="24"/>
            <w:vMerge w:val="continue"/>
            <w:shd w:val="clear" w:color="auto" w:fill="F3EFE9"/>
          </w:tcPr>
          <w:p>
            <w:pPr>
              <w:spacing w:after="0"/>
              <w:rPr>
                <w:sz w:val="20"/>
                <w:szCs w:val="20"/>
                <w:color w:val="auto"/>
              </w:rPr>
            </w:pPr>
          </w:p>
        </w:tc>
        <w:tc>
          <w:tcPr>
            <w:tcW w:w="380" w:type="dxa"/>
            <w:vAlign w:val="bottom"/>
            <w:tcBorders>
              <w:right w:val="single" w:sz="8" w:color="98BDE2"/>
            </w:tcBorders>
            <w:shd w:val="clear" w:color="auto" w:fill="F3EFE9"/>
          </w:tcPr>
          <w:p>
            <w:pPr>
              <w:spacing w:after="0"/>
              <w:rPr>
                <w:sz w:val="20"/>
                <w:szCs w:val="20"/>
                <w:color w:val="auto"/>
              </w:rPr>
            </w:pPr>
          </w:p>
        </w:tc>
        <w:tc>
          <w:tcPr>
            <w:tcW w:w="340" w:type="dxa"/>
            <w:vAlign w:val="bottom"/>
            <w:shd w:val="clear" w:color="auto" w:fill="F3EFE9"/>
          </w:tcPr>
          <w:p>
            <w:pPr>
              <w:spacing w:after="0"/>
              <w:rPr>
                <w:sz w:val="20"/>
                <w:szCs w:val="20"/>
                <w:color w:val="auto"/>
              </w:rPr>
            </w:pPr>
          </w:p>
        </w:tc>
        <w:tc>
          <w:tcPr>
            <w:tcW w:w="3040" w:type="dxa"/>
            <w:vAlign w:val="bottom"/>
            <w:gridSpan w:val="25"/>
            <w:vMerge w:val="continue"/>
            <w:shd w:val="clear" w:color="auto" w:fill="F3EFE9"/>
          </w:tcPr>
          <w:p>
            <w:pPr>
              <w:spacing w:after="0"/>
              <w:rPr>
                <w:sz w:val="20"/>
                <w:szCs w:val="20"/>
                <w:color w:val="auto"/>
              </w:rPr>
            </w:pPr>
          </w:p>
        </w:tc>
        <w:tc>
          <w:tcPr>
            <w:tcW w:w="380" w:type="dxa"/>
            <w:vAlign w:val="bottom"/>
            <w:tcBorders>
              <w:right w:val="single" w:sz="8" w:color="98BDE2"/>
            </w:tcBorders>
            <w:shd w:val="clear" w:color="auto" w:fill="F3EFE9"/>
          </w:tcPr>
          <w:p>
            <w:pPr>
              <w:spacing w:after="0"/>
              <w:rPr>
                <w:sz w:val="20"/>
                <w:szCs w:val="20"/>
                <w:color w:val="auto"/>
              </w:rPr>
            </w:pPr>
          </w:p>
        </w:tc>
        <w:tc>
          <w:tcPr>
            <w:tcW w:w="900" w:type="dxa"/>
            <w:vAlign w:val="bottom"/>
            <w:shd w:val="clear" w:color="auto" w:fill="F3EFE9"/>
          </w:tcPr>
          <w:p>
            <w:pPr>
              <w:spacing w:after="0"/>
              <w:rPr>
                <w:sz w:val="20"/>
                <w:szCs w:val="20"/>
                <w:color w:val="auto"/>
              </w:rPr>
            </w:pPr>
          </w:p>
        </w:tc>
        <w:tc>
          <w:tcPr>
            <w:tcW w:w="100" w:type="dxa"/>
            <w:vAlign w:val="bottom"/>
            <w:shd w:val="clear" w:color="auto" w:fill="F3EFE9"/>
          </w:tcPr>
          <w:p>
            <w:pPr>
              <w:spacing w:after="0"/>
              <w:rPr>
                <w:sz w:val="20"/>
                <w:szCs w:val="20"/>
                <w:color w:val="auto"/>
              </w:rPr>
            </w:pPr>
          </w:p>
        </w:tc>
        <w:tc>
          <w:tcPr>
            <w:tcW w:w="60" w:type="dxa"/>
            <w:vAlign w:val="bottom"/>
            <w:shd w:val="clear" w:color="auto" w:fill="F3EFE9"/>
          </w:tcPr>
          <w:p>
            <w:pPr>
              <w:spacing w:after="0"/>
              <w:rPr>
                <w:sz w:val="20"/>
                <w:szCs w:val="20"/>
                <w:color w:val="auto"/>
              </w:rPr>
            </w:pPr>
          </w:p>
        </w:tc>
        <w:tc>
          <w:tcPr>
            <w:tcW w:w="2680" w:type="dxa"/>
            <w:vAlign w:val="bottom"/>
            <w:gridSpan w:val="22"/>
            <w:vMerge w:val="continue"/>
            <w:shd w:val="clear" w:color="auto" w:fill="F3EFE9"/>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40" w:type="dxa"/>
            <w:vAlign w:val="bottom"/>
            <w:shd w:val="clear" w:color="auto" w:fill="F3EFE9"/>
          </w:tcPr>
          <w:p>
            <w:pPr>
              <w:spacing w:after="0"/>
              <w:rPr>
                <w:sz w:val="22"/>
                <w:szCs w:val="22"/>
                <w:color w:val="auto"/>
              </w:rPr>
            </w:pPr>
          </w:p>
        </w:tc>
        <w:tc>
          <w:tcPr>
            <w:tcW w:w="5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2140" w:type="dxa"/>
            <w:vAlign w:val="bottom"/>
            <w:gridSpan w:val="20"/>
            <w:shd w:val="clear" w:color="auto" w:fill="F3EFE9"/>
          </w:tcPr>
          <w:p>
            <w:pPr>
              <w:jc w:val="center"/>
              <w:ind w:right="880"/>
              <w:spacing w:after="0"/>
              <w:rPr>
                <w:sz w:val="20"/>
                <w:szCs w:val="20"/>
                <w:color w:val="auto"/>
              </w:rPr>
            </w:pPr>
            <w:r>
              <w:rPr>
                <w:rFonts w:ascii="Arial" w:cs="Arial" w:eastAsia="Arial" w:hAnsi="Arial"/>
                <w:sz w:val="14"/>
                <w:szCs w:val="14"/>
                <w:b w:val="1"/>
                <w:bCs w:val="1"/>
                <w:color w:val="032E5C"/>
              </w:rPr>
              <w:t>(12/12 nominees)</w:t>
            </w:r>
          </w:p>
        </w:tc>
        <w:tc>
          <w:tcPr>
            <w:tcW w:w="380" w:type="dxa"/>
            <w:vAlign w:val="bottom"/>
            <w:tcBorders>
              <w:right w:val="single" w:sz="8" w:color="98BDE2"/>
            </w:tcBorders>
            <w:shd w:val="clear" w:color="auto" w:fill="F3EFE9"/>
          </w:tcPr>
          <w:p>
            <w:pPr>
              <w:spacing w:after="0"/>
              <w:rPr>
                <w:sz w:val="22"/>
                <w:szCs w:val="22"/>
                <w:color w:val="auto"/>
              </w:rPr>
            </w:pPr>
          </w:p>
        </w:tc>
        <w:tc>
          <w:tcPr>
            <w:tcW w:w="340" w:type="dxa"/>
            <w:vAlign w:val="bottom"/>
            <w:shd w:val="clear" w:color="auto" w:fill="F3EFE9"/>
          </w:tcPr>
          <w:p>
            <w:pPr>
              <w:spacing w:after="0"/>
              <w:rPr>
                <w:sz w:val="22"/>
                <w:szCs w:val="22"/>
                <w:color w:val="auto"/>
              </w:rPr>
            </w:pPr>
          </w:p>
        </w:tc>
        <w:tc>
          <w:tcPr>
            <w:tcW w:w="5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2160" w:type="dxa"/>
            <w:vAlign w:val="bottom"/>
            <w:gridSpan w:val="20"/>
            <w:shd w:val="clear" w:color="auto" w:fill="F3EFE9"/>
          </w:tcPr>
          <w:p>
            <w:pPr>
              <w:jc w:val="center"/>
              <w:ind w:right="880"/>
              <w:spacing w:after="0"/>
              <w:rPr>
                <w:sz w:val="20"/>
                <w:szCs w:val="20"/>
                <w:color w:val="auto"/>
              </w:rPr>
            </w:pPr>
            <w:r>
              <w:rPr>
                <w:rFonts w:ascii="Arial" w:cs="Arial" w:eastAsia="Arial" w:hAnsi="Arial"/>
                <w:sz w:val="14"/>
                <w:szCs w:val="14"/>
                <w:b w:val="1"/>
                <w:bCs w:val="1"/>
                <w:color w:val="032E5C"/>
              </w:rPr>
              <w:t>(8/12 nominees)</w:t>
            </w:r>
          </w:p>
        </w:tc>
        <w:tc>
          <w:tcPr>
            <w:tcW w:w="380" w:type="dxa"/>
            <w:vAlign w:val="bottom"/>
            <w:tcBorders>
              <w:right w:val="single" w:sz="8" w:color="98BDE2"/>
            </w:tcBorders>
            <w:shd w:val="clear" w:color="auto" w:fill="F3EFE9"/>
          </w:tcPr>
          <w:p>
            <w:pPr>
              <w:spacing w:after="0"/>
              <w:rPr>
                <w:sz w:val="22"/>
                <w:szCs w:val="22"/>
                <w:color w:val="auto"/>
              </w:rPr>
            </w:pPr>
          </w:p>
        </w:tc>
        <w:tc>
          <w:tcPr>
            <w:tcW w:w="90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2520" w:type="dxa"/>
            <w:vAlign w:val="bottom"/>
            <w:gridSpan w:val="20"/>
            <w:shd w:val="clear" w:color="auto" w:fill="F3EFE9"/>
          </w:tcPr>
          <w:p>
            <w:pPr>
              <w:jc w:val="center"/>
              <w:ind w:right="1240"/>
              <w:spacing w:after="0"/>
              <w:rPr>
                <w:sz w:val="20"/>
                <w:szCs w:val="20"/>
                <w:color w:val="auto"/>
              </w:rPr>
            </w:pPr>
            <w:r>
              <w:rPr>
                <w:rFonts w:ascii="Arial" w:cs="Arial" w:eastAsia="Arial" w:hAnsi="Arial"/>
                <w:sz w:val="14"/>
                <w:szCs w:val="14"/>
                <w:b w:val="1"/>
                <w:bCs w:val="1"/>
                <w:color w:val="032E5C"/>
              </w:rPr>
              <w:t>(7/12 nominees)</w:t>
            </w:r>
          </w:p>
        </w:tc>
        <w:tc>
          <w:tcPr>
            <w:tcW w:w="0" w:type="dxa"/>
            <w:vAlign w:val="bottom"/>
          </w:tcPr>
          <w:p>
            <w:pPr>
              <w:spacing w:after="0"/>
              <w:rPr>
                <w:sz w:val="1"/>
                <w:szCs w:val="1"/>
                <w:color w:val="auto"/>
              </w:rPr>
            </w:pPr>
          </w:p>
        </w:tc>
      </w:tr>
      <w:tr>
        <w:trPr>
          <w:trHeight w:val="187"/>
        </w:trPr>
        <w:tc>
          <w:tcPr>
            <w:tcW w:w="340" w:type="dxa"/>
            <w:vAlign w:val="bottom"/>
            <w:shd w:val="clear" w:color="auto" w:fill="F3EFE9"/>
          </w:tcPr>
          <w:p>
            <w:pPr>
              <w:spacing w:after="0"/>
              <w:rPr>
                <w:sz w:val="16"/>
                <w:szCs w:val="16"/>
                <w:color w:val="auto"/>
              </w:rPr>
            </w:pPr>
          </w:p>
        </w:tc>
        <w:tc>
          <w:tcPr>
            <w:tcW w:w="5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2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540" w:type="dxa"/>
            <w:vAlign w:val="bottom"/>
            <w:vMerge w:val="restart"/>
            <w:shd w:val="clear" w:color="auto" w:fill="F3EFE9"/>
          </w:tcPr>
          <w:p>
            <w:pPr>
              <w:spacing w:after="0"/>
              <w:rPr>
                <w:sz w:val="16"/>
                <w:szCs w:val="16"/>
                <w:color w:val="auto"/>
              </w:rPr>
            </w:pPr>
          </w:p>
        </w:tc>
        <w:tc>
          <w:tcPr>
            <w:tcW w:w="380" w:type="dxa"/>
            <w:vAlign w:val="bottom"/>
            <w:tcBorders>
              <w:right w:val="single" w:sz="8" w:color="98BDE2"/>
            </w:tcBorders>
            <w:shd w:val="clear" w:color="auto" w:fill="F3EFE9"/>
          </w:tcPr>
          <w:p>
            <w:pPr>
              <w:spacing w:after="0"/>
              <w:rPr>
                <w:sz w:val="16"/>
                <w:szCs w:val="16"/>
                <w:color w:val="auto"/>
              </w:rPr>
            </w:pPr>
          </w:p>
        </w:tc>
        <w:tc>
          <w:tcPr>
            <w:tcW w:w="340" w:type="dxa"/>
            <w:vAlign w:val="bottom"/>
            <w:shd w:val="clear" w:color="auto" w:fill="F3EFE9"/>
          </w:tcPr>
          <w:p>
            <w:pPr>
              <w:spacing w:after="0"/>
              <w:rPr>
                <w:sz w:val="16"/>
                <w:szCs w:val="16"/>
                <w:color w:val="auto"/>
              </w:rPr>
            </w:pPr>
          </w:p>
        </w:tc>
        <w:tc>
          <w:tcPr>
            <w:tcW w:w="5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2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560" w:type="dxa"/>
            <w:vAlign w:val="bottom"/>
            <w:vMerge w:val="restart"/>
            <w:shd w:val="clear" w:color="auto" w:fill="F3EFE9"/>
          </w:tcPr>
          <w:p>
            <w:pPr>
              <w:spacing w:after="0"/>
              <w:rPr>
                <w:sz w:val="16"/>
                <w:szCs w:val="16"/>
                <w:color w:val="auto"/>
              </w:rPr>
            </w:pPr>
          </w:p>
        </w:tc>
        <w:tc>
          <w:tcPr>
            <w:tcW w:w="380" w:type="dxa"/>
            <w:vAlign w:val="bottom"/>
            <w:tcBorders>
              <w:right w:val="single" w:sz="8" w:color="98BDE2"/>
            </w:tcBorders>
            <w:shd w:val="clear" w:color="auto" w:fill="F3EFE9"/>
          </w:tcPr>
          <w:p>
            <w:pPr>
              <w:spacing w:after="0"/>
              <w:rPr>
                <w:sz w:val="16"/>
                <w:szCs w:val="16"/>
                <w:color w:val="auto"/>
              </w:rPr>
            </w:pPr>
          </w:p>
        </w:tc>
        <w:tc>
          <w:tcPr>
            <w:tcW w:w="90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340" w:type="dxa"/>
            <w:vAlign w:val="bottom"/>
            <w:shd w:val="clear" w:color="auto" w:fill="F3EFE9"/>
          </w:tcPr>
          <w:p>
            <w:pPr>
              <w:spacing w:after="0"/>
              <w:rPr>
                <w:sz w:val="8"/>
                <w:szCs w:val="8"/>
                <w:color w:val="auto"/>
              </w:rPr>
            </w:pPr>
          </w:p>
        </w:tc>
        <w:tc>
          <w:tcPr>
            <w:tcW w:w="5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2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540" w:type="dxa"/>
            <w:vAlign w:val="bottom"/>
            <w:vMerge w:val="continue"/>
            <w:shd w:val="clear" w:color="auto" w:fill="F3EFE9"/>
          </w:tcPr>
          <w:p>
            <w:pPr>
              <w:spacing w:after="0"/>
              <w:rPr>
                <w:sz w:val="8"/>
                <w:szCs w:val="8"/>
                <w:color w:val="auto"/>
              </w:rPr>
            </w:pPr>
          </w:p>
        </w:tc>
        <w:tc>
          <w:tcPr>
            <w:tcW w:w="380" w:type="dxa"/>
            <w:vAlign w:val="bottom"/>
            <w:tcBorders>
              <w:right w:val="single" w:sz="8" w:color="98BDE2"/>
            </w:tcBorders>
            <w:shd w:val="clear" w:color="auto" w:fill="F3EFE9"/>
          </w:tcPr>
          <w:p>
            <w:pPr>
              <w:spacing w:after="0"/>
              <w:rPr>
                <w:sz w:val="8"/>
                <w:szCs w:val="8"/>
                <w:color w:val="auto"/>
              </w:rPr>
            </w:pPr>
          </w:p>
        </w:tc>
        <w:tc>
          <w:tcPr>
            <w:tcW w:w="340" w:type="dxa"/>
            <w:vAlign w:val="bottom"/>
            <w:shd w:val="clear" w:color="auto" w:fill="F3EFE9"/>
          </w:tcPr>
          <w:p>
            <w:pPr>
              <w:spacing w:after="0"/>
              <w:rPr>
                <w:sz w:val="8"/>
                <w:szCs w:val="8"/>
                <w:color w:val="auto"/>
              </w:rPr>
            </w:pPr>
          </w:p>
        </w:tc>
        <w:tc>
          <w:tcPr>
            <w:tcW w:w="5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2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560" w:type="dxa"/>
            <w:vAlign w:val="bottom"/>
            <w:vMerge w:val="continue"/>
            <w:shd w:val="clear" w:color="auto" w:fill="F3EFE9"/>
          </w:tcPr>
          <w:p>
            <w:pPr>
              <w:spacing w:after="0"/>
              <w:rPr>
                <w:sz w:val="8"/>
                <w:szCs w:val="8"/>
                <w:color w:val="auto"/>
              </w:rPr>
            </w:pPr>
          </w:p>
        </w:tc>
        <w:tc>
          <w:tcPr>
            <w:tcW w:w="380" w:type="dxa"/>
            <w:vAlign w:val="bottom"/>
            <w:tcBorders>
              <w:right w:val="single" w:sz="8" w:color="98BDE2"/>
            </w:tcBorders>
            <w:shd w:val="clear" w:color="auto" w:fill="F3EFE9"/>
          </w:tcPr>
          <w:p>
            <w:pPr>
              <w:spacing w:after="0"/>
              <w:rPr>
                <w:sz w:val="8"/>
                <w:szCs w:val="8"/>
                <w:color w:val="auto"/>
              </w:rPr>
            </w:pPr>
          </w:p>
        </w:tc>
        <w:tc>
          <w:tcPr>
            <w:tcW w:w="90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0" w:type="dxa"/>
            <w:vAlign w:val="bottom"/>
          </w:tcPr>
          <w:p>
            <w:pPr>
              <w:spacing w:after="0"/>
              <w:rPr>
                <w:sz w:val="1"/>
                <w:szCs w:val="1"/>
                <w:color w:val="auto"/>
              </w:rPr>
            </w:pPr>
          </w:p>
        </w:tc>
      </w:tr>
      <w:tr>
        <w:trPr>
          <w:trHeight w:val="430"/>
        </w:trPr>
        <w:tc>
          <w:tcPr>
            <w:tcW w:w="3740" w:type="dxa"/>
            <w:vAlign w:val="bottom"/>
            <w:tcBorders>
              <w:bottom w:val="single" w:sz="8" w:color="98BDE2"/>
              <w:right w:val="single" w:sz="8" w:color="98BDE2"/>
            </w:tcBorders>
            <w:gridSpan w:val="27"/>
            <w:shd w:val="clear" w:color="auto" w:fill="F3EFE9"/>
          </w:tcPr>
          <w:p>
            <w:pPr>
              <w:spacing w:after="0"/>
              <w:rPr>
                <w:sz w:val="24"/>
                <w:szCs w:val="24"/>
                <w:color w:val="auto"/>
              </w:rPr>
            </w:pPr>
          </w:p>
        </w:tc>
        <w:tc>
          <w:tcPr>
            <w:tcW w:w="3760" w:type="dxa"/>
            <w:vAlign w:val="bottom"/>
            <w:tcBorders>
              <w:bottom w:val="single" w:sz="8" w:color="98BDE2"/>
              <w:right w:val="single" w:sz="8" w:color="98BDE2"/>
            </w:tcBorders>
            <w:gridSpan w:val="27"/>
            <w:shd w:val="clear" w:color="auto" w:fill="F3EFE9"/>
          </w:tcPr>
          <w:p>
            <w:pPr>
              <w:spacing w:after="0"/>
              <w:rPr>
                <w:sz w:val="24"/>
                <w:szCs w:val="24"/>
                <w:color w:val="auto"/>
              </w:rPr>
            </w:pPr>
          </w:p>
        </w:tc>
        <w:tc>
          <w:tcPr>
            <w:tcW w:w="3740" w:type="dxa"/>
            <w:vAlign w:val="bottom"/>
            <w:tcBorders>
              <w:bottom w:val="single" w:sz="8" w:color="98BDE2"/>
            </w:tcBorders>
            <w:gridSpan w:val="25"/>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40" w:type="dxa"/>
            <w:vAlign w:val="bottom"/>
            <w:shd w:val="clear" w:color="auto" w:fill="F3EFE9"/>
          </w:tcPr>
          <w:p>
            <w:pPr>
              <w:spacing w:after="0"/>
              <w:rPr>
                <w:sz w:val="24"/>
                <w:szCs w:val="24"/>
                <w:color w:val="auto"/>
              </w:rPr>
            </w:pPr>
          </w:p>
        </w:tc>
        <w:tc>
          <w:tcPr>
            <w:tcW w:w="560" w:type="dxa"/>
            <w:vAlign w:val="bottom"/>
            <w:shd w:val="clear" w:color="auto" w:fill="F3EFE9"/>
          </w:tcPr>
          <w:p>
            <w:pPr>
              <w:spacing w:after="0"/>
              <w:rPr>
                <w:sz w:val="24"/>
                <w:szCs w:val="24"/>
                <w:color w:val="auto"/>
              </w:rPr>
            </w:pPr>
          </w:p>
        </w:tc>
        <w:tc>
          <w:tcPr>
            <w:tcW w:w="2460" w:type="dxa"/>
            <w:vAlign w:val="bottom"/>
            <w:gridSpan w:val="24"/>
            <w:shd w:val="clear" w:color="auto" w:fill="F3EFE9"/>
          </w:tcPr>
          <w:p>
            <w:pPr>
              <w:jc w:val="center"/>
              <w:ind w:right="560"/>
              <w:spacing w:after="0"/>
              <w:rPr>
                <w:sz w:val="20"/>
                <w:szCs w:val="20"/>
                <w:color w:val="auto"/>
              </w:rPr>
            </w:pPr>
            <w:r>
              <w:rPr>
                <w:rFonts w:ascii="Arial" w:cs="Arial" w:eastAsia="Arial" w:hAnsi="Arial"/>
                <w:sz w:val="16"/>
                <w:szCs w:val="16"/>
                <w:b w:val="1"/>
                <w:bCs w:val="1"/>
                <w:color w:val="032E5C"/>
              </w:rPr>
              <w:t>FINANCIAL EXPERTISE</w:t>
            </w:r>
          </w:p>
        </w:tc>
        <w:tc>
          <w:tcPr>
            <w:tcW w:w="380" w:type="dxa"/>
            <w:vAlign w:val="bottom"/>
            <w:tcBorders>
              <w:right w:val="single" w:sz="8" w:color="98BDE2"/>
            </w:tcBorders>
            <w:shd w:val="clear" w:color="auto" w:fill="F3EFE9"/>
          </w:tcPr>
          <w:p>
            <w:pPr>
              <w:spacing w:after="0"/>
              <w:rPr>
                <w:sz w:val="24"/>
                <w:szCs w:val="24"/>
                <w:color w:val="auto"/>
              </w:rPr>
            </w:pPr>
          </w:p>
        </w:tc>
        <w:tc>
          <w:tcPr>
            <w:tcW w:w="340" w:type="dxa"/>
            <w:vAlign w:val="bottom"/>
            <w:shd w:val="clear" w:color="auto" w:fill="F3EFE9"/>
          </w:tcPr>
          <w:p>
            <w:pPr>
              <w:spacing w:after="0"/>
              <w:rPr>
                <w:sz w:val="24"/>
                <w:szCs w:val="24"/>
                <w:color w:val="auto"/>
              </w:rPr>
            </w:pPr>
          </w:p>
        </w:tc>
        <w:tc>
          <w:tcPr>
            <w:tcW w:w="5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2220" w:type="dxa"/>
            <w:vAlign w:val="bottom"/>
            <w:gridSpan w:val="21"/>
            <w:shd w:val="clear" w:color="auto" w:fill="F3EFE9"/>
          </w:tcPr>
          <w:p>
            <w:pPr>
              <w:jc w:val="center"/>
              <w:ind w:right="820"/>
              <w:spacing w:after="0"/>
              <w:rPr>
                <w:sz w:val="20"/>
                <w:szCs w:val="20"/>
                <w:color w:val="auto"/>
              </w:rPr>
            </w:pPr>
            <w:r>
              <w:rPr>
                <w:rFonts w:ascii="Arial" w:cs="Arial" w:eastAsia="Arial" w:hAnsi="Arial"/>
                <w:sz w:val="16"/>
                <w:szCs w:val="16"/>
                <w:b w:val="1"/>
                <w:bCs w:val="1"/>
                <w:color w:val="032E5C"/>
              </w:rPr>
              <w:t>INTERNATIONAL</w:t>
            </w:r>
          </w:p>
        </w:tc>
        <w:tc>
          <w:tcPr>
            <w:tcW w:w="380" w:type="dxa"/>
            <w:vAlign w:val="bottom"/>
            <w:tcBorders>
              <w:right w:val="single" w:sz="8" w:color="98BDE2"/>
            </w:tcBorders>
            <w:shd w:val="clear" w:color="auto" w:fill="F3EFE9"/>
          </w:tcPr>
          <w:p>
            <w:pPr>
              <w:spacing w:after="0"/>
              <w:rPr>
                <w:sz w:val="24"/>
                <w:szCs w:val="24"/>
                <w:color w:val="auto"/>
              </w:rPr>
            </w:pPr>
          </w:p>
        </w:tc>
        <w:tc>
          <w:tcPr>
            <w:tcW w:w="900" w:type="dxa"/>
            <w:vAlign w:val="bottom"/>
            <w:shd w:val="clear" w:color="auto" w:fill="F3EFE9"/>
          </w:tcPr>
          <w:p>
            <w:pPr>
              <w:spacing w:after="0"/>
              <w:rPr>
                <w:sz w:val="24"/>
                <w:szCs w:val="24"/>
                <w:color w:val="auto"/>
              </w:rPr>
            </w:pPr>
          </w:p>
        </w:tc>
        <w:tc>
          <w:tcPr>
            <w:tcW w:w="2840" w:type="dxa"/>
            <w:vAlign w:val="bottom"/>
            <w:gridSpan w:val="24"/>
            <w:shd w:val="clear" w:color="auto" w:fill="F3EFE9"/>
          </w:tcPr>
          <w:p>
            <w:pPr>
              <w:jc w:val="center"/>
              <w:ind w:right="920"/>
              <w:spacing w:after="0"/>
              <w:rPr>
                <w:sz w:val="20"/>
                <w:szCs w:val="20"/>
                <w:color w:val="auto"/>
              </w:rPr>
            </w:pPr>
            <w:r>
              <w:rPr>
                <w:rFonts w:ascii="Arial" w:cs="Arial" w:eastAsia="Arial" w:hAnsi="Arial"/>
                <w:sz w:val="16"/>
                <w:szCs w:val="16"/>
                <w:b w:val="1"/>
                <w:bCs w:val="1"/>
                <w:color w:val="032E5C"/>
              </w:rPr>
              <w:t>SALES &amp; MARKETING</w:t>
            </w:r>
          </w:p>
        </w:tc>
        <w:tc>
          <w:tcPr>
            <w:tcW w:w="0" w:type="dxa"/>
            <w:vAlign w:val="bottom"/>
          </w:tcPr>
          <w:p>
            <w:pPr>
              <w:spacing w:after="0"/>
              <w:rPr>
                <w:sz w:val="1"/>
                <w:szCs w:val="1"/>
                <w:color w:val="auto"/>
              </w:rPr>
            </w:pPr>
          </w:p>
        </w:tc>
      </w:tr>
      <w:tr>
        <w:trPr>
          <w:trHeight w:val="262"/>
        </w:trPr>
        <w:tc>
          <w:tcPr>
            <w:tcW w:w="340" w:type="dxa"/>
            <w:vAlign w:val="bottom"/>
            <w:shd w:val="clear" w:color="auto" w:fill="F3EFE9"/>
          </w:tcPr>
          <w:p>
            <w:pPr>
              <w:spacing w:after="0"/>
              <w:rPr>
                <w:sz w:val="22"/>
                <w:szCs w:val="22"/>
                <w:color w:val="auto"/>
              </w:rPr>
            </w:pPr>
          </w:p>
        </w:tc>
        <w:tc>
          <w:tcPr>
            <w:tcW w:w="5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2140" w:type="dxa"/>
            <w:vAlign w:val="bottom"/>
            <w:gridSpan w:val="20"/>
            <w:shd w:val="clear" w:color="auto" w:fill="F3EFE9"/>
          </w:tcPr>
          <w:p>
            <w:pPr>
              <w:jc w:val="center"/>
              <w:ind w:right="880"/>
              <w:spacing w:after="0"/>
              <w:rPr>
                <w:sz w:val="20"/>
                <w:szCs w:val="20"/>
                <w:color w:val="auto"/>
              </w:rPr>
            </w:pPr>
            <w:r>
              <w:rPr>
                <w:rFonts w:ascii="Arial" w:cs="Arial" w:eastAsia="Arial" w:hAnsi="Arial"/>
                <w:sz w:val="14"/>
                <w:szCs w:val="14"/>
                <w:b w:val="1"/>
                <w:bCs w:val="1"/>
                <w:color w:val="032E5C"/>
              </w:rPr>
              <w:t>(7/12 nominees)</w:t>
            </w:r>
          </w:p>
        </w:tc>
        <w:tc>
          <w:tcPr>
            <w:tcW w:w="380" w:type="dxa"/>
            <w:vAlign w:val="bottom"/>
            <w:tcBorders>
              <w:right w:val="single" w:sz="8" w:color="98BDE2"/>
            </w:tcBorders>
            <w:shd w:val="clear" w:color="auto" w:fill="F3EFE9"/>
          </w:tcPr>
          <w:p>
            <w:pPr>
              <w:spacing w:after="0"/>
              <w:rPr>
                <w:sz w:val="22"/>
                <w:szCs w:val="22"/>
                <w:color w:val="auto"/>
              </w:rPr>
            </w:pPr>
          </w:p>
        </w:tc>
        <w:tc>
          <w:tcPr>
            <w:tcW w:w="340" w:type="dxa"/>
            <w:vAlign w:val="bottom"/>
            <w:shd w:val="clear" w:color="auto" w:fill="F3EFE9"/>
          </w:tcPr>
          <w:p>
            <w:pPr>
              <w:spacing w:after="0"/>
              <w:rPr>
                <w:sz w:val="22"/>
                <w:szCs w:val="22"/>
                <w:color w:val="auto"/>
              </w:rPr>
            </w:pPr>
          </w:p>
        </w:tc>
        <w:tc>
          <w:tcPr>
            <w:tcW w:w="5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2160" w:type="dxa"/>
            <w:vAlign w:val="bottom"/>
            <w:gridSpan w:val="20"/>
            <w:shd w:val="clear" w:color="auto" w:fill="F3EFE9"/>
          </w:tcPr>
          <w:p>
            <w:pPr>
              <w:jc w:val="center"/>
              <w:ind w:right="880"/>
              <w:spacing w:after="0"/>
              <w:rPr>
                <w:sz w:val="20"/>
                <w:szCs w:val="20"/>
                <w:color w:val="auto"/>
              </w:rPr>
            </w:pPr>
            <w:r>
              <w:rPr>
                <w:rFonts w:ascii="Arial" w:cs="Arial" w:eastAsia="Arial" w:hAnsi="Arial"/>
                <w:sz w:val="14"/>
                <w:szCs w:val="14"/>
                <w:b w:val="1"/>
                <w:bCs w:val="1"/>
                <w:color w:val="032E5C"/>
              </w:rPr>
              <w:t>(11/12 nominees)</w:t>
            </w:r>
          </w:p>
        </w:tc>
        <w:tc>
          <w:tcPr>
            <w:tcW w:w="380" w:type="dxa"/>
            <w:vAlign w:val="bottom"/>
            <w:tcBorders>
              <w:right w:val="single" w:sz="8" w:color="98BDE2"/>
            </w:tcBorders>
            <w:shd w:val="clear" w:color="auto" w:fill="F3EFE9"/>
          </w:tcPr>
          <w:p>
            <w:pPr>
              <w:spacing w:after="0"/>
              <w:rPr>
                <w:sz w:val="22"/>
                <w:szCs w:val="22"/>
                <w:color w:val="auto"/>
              </w:rPr>
            </w:pPr>
          </w:p>
        </w:tc>
        <w:tc>
          <w:tcPr>
            <w:tcW w:w="90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2520" w:type="dxa"/>
            <w:vAlign w:val="bottom"/>
            <w:gridSpan w:val="20"/>
            <w:shd w:val="clear" w:color="auto" w:fill="F3EFE9"/>
          </w:tcPr>
          <w:p>
            <w:pPr>
              <w:jc w:val="center"/>
              <w:ind w:right="1240"/>
              <w:spacing w:after="0"/>
              <w:rPr>
                <w:sz w:val="20"/>
                <w:szCs w:val="20"/>
                <w:color w:val="auto"/>
              </w:rPr>
            </w:pPr>
            <w:r>
              <w:rPr>
                <w:rFonts w:ascii="Arial" w:cs="Arial" w:eastAsia="Arial" w:hAnsi="Arial"/>
                <w:sz w:val="14"/>
                <w:szCs w:val="14"/>
                <w:b w:val="1"/>
                <w:bCs w:val="1"/>
                <w:color w:val="032E5C"/>
              </w:rPr>
              <w:t>(6/12 nominees)</w:t>
            </w:r>
          </w:p>
        </w:tc>
        <w:tc>
          <w:tcPr>
            <w:tcW w:w="0" w:type="dxa"/>
            <w:vAlign w:val="bottom"/>
          </w:tcPr>
          <w:p>
            <w:pPr>
              <w:spacing w:after="0"/>
              <w:rPr>
                <w:sz w:val="1"/>
                <w:szCs w:val="1"/>
                <w:color w:val="auto"/>
              </w:rPr>
            </w:pPr>
          </w:p>
        </w:tc>
      </w:tr>
      <w:tr>
        <w:trPr>
          <w:trHeight w:val="187"/>
        </w:trPr>
        <w:tc>
          <w:tcPr>
            <w:tcW w:w="340" w:type="dxa"/>
            <w:vAlign w:val="bottom"/>
            <w:shd w:val="clear" w:color="auto" w:fill="F3EFE9"/>
          </w:tcPr>
          <w:p>
            <w:pPr>
              <w:spacing w:after="0"/>
              <w:rPr>
                <w:sz w:val="16"/>
                <w:szCs w:val="16"/>
                <w:color w:val="auto"/>
              </w:rPr>
            </w:pPr>
          </w:p>
        </w:tc>
        <w:tc>
          <w:tcPr>
            <w:tcW w:w="5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2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540" w:type="dxa"/>
            <w:vAlign w:val="bottom"/>
            <w:vMerge w:val="restart"/>
            <w:shd w:val="clear" w:color="auto" w:fill="F3EFE9"/>
          </w:tcPr>
          <w:p>
            <w:pPr>
              <w:spacing w:after="0"/>
              <w:rPr>
                <w:sz w:val="16"/>
                <w:szCs w:val="16"/>
                <w:color w:val="auto"/>
              </w:rPr>
            </w:pPr>
          </w:p>
        </w:tc>
        <w:tc>
          <w:tcPr>
            <w:tcW w:w="380" w:type="dxa"/>
            <w:vAlign w:val="bottom"/>
            <w:tcBorders>
              <w:right w:val="single" w:sz="8" w:color="98BDE2"/>
            </w:tcBorders>
            <w:shd w:val="clear" w:color="auto" w:fill="F3EFE9"/>
          </w:tcPr>
          <w:p>
            <w:pPr>
              <w:spacing w:after="0"/>
              <w:rPr>
                <w:sz w:val="16"/>
                <w:szCs w:val="16"/>
                <w:color w:val="auto"/>
              </w:rPr>
            </w:pPr>
          </w:p>
        </w:tc>
        <w:tc>
          <w:tcPr>
            <w:tcW w:w="340" w:type="dxa"/>
            <w:vAlign w:val="bottom"/>
            <w:shd w:val="clear" w:color="auto" w:fill="F3EFE9"/>
          </w:tcPr>
          <w:p>
            <w:pPr>
              <w:spacing w:after="0"/>
              <w:rPr>
                <w:sz w:val="16"/>
                <w:szCs w:val="16"/>
                <w:color w:val="auto"/>
              </w:rPr>
            </w:pPr>
          </w:p>
        </w:tc>
        <w:tc>
          <w:tcPr>
            <w:tcW w:w="5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2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560" w:type="dxa"/>
            <w:vAlign w:val="bottom"/>
            <w:vMerge w:val="restart"/>
            <w:shd w:val="clear" w:color="auto" w:fill="F3EFE9"/>
          </w:tcPr>
          <w:p>
            <w:pPr>
              <w:spacing w:after="0"/>
              <w:rPr>
                <w:sz w:val="16"/>
                <w:szCs w:val="16"/>
                <w:color w:val="auto"/>
              </w:rPr>
            </w:pPr>
          </w:p>
        </w:tc>
        <w:tc>
          <w:tcPr>
            <w:tcW w:w="380" w:type="dxa"/>
            <w:vAlign w:val="bottom"/>
            <w:tcBorders>
              <w:right w:val="single" w:sz="8" w:color="98BDE2"/>
            </w:tcBorders>
            <w:shd w:val="clear" w:color="auto" w:fill="F3EFE9"/>
          </w:tcPr>
          <w:p>
            <w:pPr>
              <w:spacing w:after="0"/>
              <w:rPr>
                <w:sz w:val="16"/>
                <w:szCs w:val="16"/>
                <w:color w:val="auto"/>
              </w:rPr>
            </w:pPr>
          </w:p>
        </w:tc>
        <w:tc>
          <w:tcPr>
            <w:tcW w:w="90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vMerge w:val="restart"/>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340" w:type="dxa"/>
            <w:vAlign w:val="bottom"/>
            <w:shd w:val="clear" w:color="auto" w:fill="F3EFE9"/>
          </w:tcPr>
          <w:p>
            <w:pPr>
              <w:spacing w:after="0"/>
              <w:rPr>
                <w:sz w:val="8"/>
                <w:szCs w:val="8"/>
                <w:color w:val="auto"/>
              </w:rPr>
            </w:pPr>
          </w:p>
        </w:tc>
        <w:tc>
          <w:tcPr>
            <w:tcW w:w="5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2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540" w:type="dxa"/>
            <w:vAlign w:val="bottom"/>
            <w:vMerge w:val="continue"/>
            <w:shd w:val="clear" w:color="auto" w:fill="F3EFE9"/>
          </w:tcPr>
          <w:p>
            <w:pPr>
              <w:spacing w:after="0"/>
              <w:rPr>
                <w:sz w:val="8"/>
                <w:szCs w:val="8"/>
                <w:color w:val="auto"/>
              </w:rPr>
            </w:pPr>
          </w:p>
        </w:tc>
        <w:tc>
          <w:tcPr>
            <w:tcW w:w="380" w:type="dxa"/>
            <w:vAlign w:val="bottom"/>
            <w:tcBorders>
              <w:right w:val="single" w:sz="8" w:color="98BDE2"/>
            </w:tcBorders>
            <w:shd w:val="clear" w:color="auto" w:fill="F3EFE9"/>
          </w:tcPr>
          <w:p>
            <w:pPr>
              <w:spacing w:after="0"/>
              <w:rPr>
                <w:sz w:val="8"/>
                <w:szCs w:val="8"/>
                <w:color w:val="auto"/>
              </w:rPr>
            </w:pPr>
          </w:p>
        </w:tc>
        <w:tc>
          <w:tcPr>
            <w:tcW w:w="340" w:type="dxa"/>
            <w:vAlign w:val="bottom"/>
            <w:shd w:val="clear" w:color="auto" w:fill="F3EFE9"/>
          </w:tcPr>
          <w:p>
            <w:pPr>
              <w:spacing w:after="0"/>
              <w:rPr>
                <w:sz w:val="8"/>
                <w:szCs w:val="8"/>
                <w:color w:val="auto"/>
              </w:rPr>
            </w:pPr>
          </w:p>
        </w:tc>
        <w:tc>
          <w:tcPr>
            <w:tcW w:w="5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2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560" w:type="dxa"/>
            <w:vAlign w:val="bottom"/>
            <w:vMerge w:val="continue"/>
            <w:shd w:val="clear" w:color="auto" w:fill="F3EFE9"/>
          </w:tcPr>
          <w:p>
            <w:pPr>
              <w:spacing w:after="0"/>
              <w:rPr>
                <w:sz w:val="8"/>
                <w:szCs w:val="8"/>
                <w:color w:val="auto"/>
              </w:rPr>
            </w:pPr>
          </w:p>
        </w:tc>
        <w:tc>
          <w:tcPr>
            <w:tcW w:w="380" w:type="dxa"/>
            <w:vAlign w:val="bottom"/>
            <w:tcBorders>
              <w:right w:val="single" w:sz="8" w:color="98BDE2"/>
            </w:tcBorders>
            <w:shd w:val="clear" w:color="auto" w:fill="F3EFE9"/>
          </w:tcPr>
          <w:p>
            <w:pPr>
              <w:spacing w:after="0"/>
              <w:rPr>
                <w:sz w:val="8"/>
                <w:szCs w:val="8"/>
                <w:color w:val="auto"/>
              </w:rPr>
            </w:pPr>
          </w:p>
        </w:tc>
        <w:tc>
          <w:tcPr>
            <w:tcW w:w="90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0" w:type="dxa"/>
            <w:vAlign w:val="bottom"/>
          </w:tcPr>
          <w:p>
            <w:pPr>
              <w:spacing w:after="0"/>
              <w:rPr>
                <w:sz w:val="1"/>
                <w:szCs w:val="1"/>
                <w:color w:val="auto"/>
              </w:rPr>
            </w:pPr>
          </w:p>
        </w:tc>
      </w:tr>
      <w:tr>
        <w:trPr>
          <w:trHeight w:val="430"/>
        </w:trPr>
        <w:tc>
          <w:tcPr>
            <w:tcW w:w="3740" w:type="dxa"/>
            <w:vAlign w:val="bottom"/>
            <w:tcBorders>
              <w:right w:val="single" w:sz="8" w:color="98BDE2"/>
            </w:tcBorders>
            <w:gridSpan w:val="27"/>
            <w:shd w:val="clear" w:color="auto" w:fill="F3EFE9"/>
          </w:tcPr>
          <w:p>
            <w:pPr>
              <w:spacing w:after="0"/>
              <w:rPr>
                <w:sz w:val="24"/>
                <w:szCs w:val="24"/>
                <w:color w:val="auto"/>
              </w:rPr>
            </w:pPr>
          </w:p>
        </w:tc>
        <w:tc>
          <w:tcPr>
            <w:tcW w:w="3760" w:type="dxa"/>
            <w:vAlign w:val="bottom"/>
            <w:tcBorders>
              <w:right w:val="single" w:sz="8" w:color="98BDE2"/>
            </w:tcBorders>
            <w:gridSpan w:val="27"/>
            <w:shd w:val="clear" w:color="auto" w:fill="F3EFE9"/>
          </w:tcPr>
          <w:p>
            <w:pPr>
              <w:spacing w:after="0"/>
              <w:rPr>
                <w:sz w:val="24"/>
                <w:szCs w:val="24"/>
                <w:color w:val="auto"/>
              </w:rPr>
            </w:pPr>
          </w:p>
        </w:tc>
        <w:tc>
          <w:tcPr>
            <w:tcW w:w="3740" w:type="dxa"/>
            <w:vAlign w:val="bottom"/>
            <w:gridSpan w:val="25"/>
            <w:shd w:val="clear" w:color="auto" w:fill="F3EFE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265430</wp:posOffset>
            </wp:positionV>
            <wp:extent cx="5949315" cy="5151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49315" cy="515175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20"/>
        <w:spacing w:after="0"/>
        <w:tabs>
          <w:tab w:leader="none" w:pos="11120" w:val="left"/>
        </w:tabs>
        <w:rPr>
          <w:sz w:val="20"/>
          <w:szCs w:val="20"/>
          <w:color w:val="auto"/>
        </w:rPr>
      </w:pPr>
      <w:r>
        <w:rPr>
          <w:rFonts w:ascii="Arial" w:cs="Arial" w:eastAsia="Arial" w:hAnsi="Arial"/>
          <w:sz w:val="16"/>
          <w:szCs w:val="16"/>
          <w:color w:val="98BDE2"/>
        </w:rPr>
        <w:t>2024 Proxy Statement</w:t>
      </w:r>
      <w:r>
        <w:rPr>
          <w:sz w:val="20"/>
          <w:szCs w:val="20"/>
          <w:color w:val="auto"/>
        </w:rPr>
        <w:tab/>
      </w:r>
      <w:r>
        <w:rPr>
          <w:rFonts w:ascii="Arial" w:cs="Arial" w:eastAsia="Arial" w:hAnsi="Arial"/>
          <w:sz w:val="21"/>
          <w:szCs w:val="21"/>
          <w:b w:val="1"/>
          <w:bCs w:val="1"/>
          <w:color w:val="032E5C"/>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-118110</wp:posOffset>
            </wp:positionV>
            <wp:extent cx="925830"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0"/>
        </w:trPr>
        <w:tc>
          <w:tcPr>
            <w:tcW w:w="1480" w:type="dxa"/>
            <w:vAlign w:val="bottom"/>
            <w:vMerge w:val="restart"/>
            <w:shd w:val="clear" w:color="auto" w:fill="98BDE2"/>
          </w:tcPr>
          <w:p>
            <w:pPr>
              <w:ind w:left="180"/>
              <w:spacing w:after="0"/>
              <w:rPr>
                <w:sz w:val="20"/>
                <w:szCs w:val="20"/>
                <w:color w:val="auto"/>
              </w:rPr>
            </w:pPr>
            <w:r>
              <w:rPr>
                <w:rFonts w:ascii="Arial" w:cs="Arial" w:eastAsia="Arial" w:hAnsi="Arial"/>
                <w:sz w:val="13"/>
                <w:szCs w:val="13"/>
                <w:b w:val="1"/>
                <w:bCs w:val="1"/>
                <w:color w:val="032E5C"/>
              </w:rPr>
              <w:t>PROXY SUMMARY</w:t>
            </w:r>
          </w:p>
        </w:tc>
        <w:tc>
          <w:tcPr>
            <w:tcW w:w="9740" w:type="dxa"/>
            <w:vAlign w:val="bottom"/>
          </w:tcPr>
          <w:p>
            <w:pPr>
              <w:ind w:left="86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480" w:type="dxa"/>
            <w:vAlign w:val="bottom"/>
            <w:vMerge w:val="continue"/>
            <w:shd w:val="clear" w:color="auto" w:fill="98BDE2"/>
          </w:tcPr>
          <w:p>
            <w:pPr>
              <w:spacing w:after="0"/>
              <w:rPr>
                <w:sz w:val="4"/>
                <w:szCs w:val="4"/>
                <w:color w:val="auto"/>
              </w:rPr>
            </w:pPr>
          </w:p>
        </w:tc>
        <w:tc>
          <w:tcPr>
            <w:tcW w:w="9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480" w:type="dxa"/>
            <w:vAlign w:val="bottom"/>
            <w:shd w:val="clear" w:color="auto" w:fill="98BDE2"/>
          </w:tcPr>
          <w:p>
            <w:pPr>
              <w:spacing w:after="0"/>
              <w:rPr>
                <w:sz w:val="10"/>
                <w:szCs w:val="10"/>
                <w:color w:val="auto"/>
              </w:rPr>
            </w:pPr>
          </w:p>
        </w:tc>
        <w:tc>
          <w:tcPr>
            <w:tcW w:w="9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 xml:space="preserve">Executive Compensation Highlights (see page </w:t>
      </w:r>
      <w:r>
        <w:rPr>
          <w:rFonts w:ascii="Arial" w:cs="Arial" w:eastAsia="Arial" w:hAnsi="Arial"/>
          <w:sz w:val="25"/>
          <w:szCs w:val="25"/>
          <w:b w:val="1"/>
          <w:bCs w:val="1"/>
          <w:color w:val="1F3246"/>
        </w:rPr>
        <w:t>43</w:t>
      </w:r>
      <w:r>
        <w:rPr>
          <w:rFonts w:ascii="Arial" w:cs="Arial" w:eastAsia="Arial" w:hAnsi="Arial"/>
          <w:sz w:val="25"/>
          <w:szCs w:val="25"/>
          <w:b w:val="1"/>
          <w:bCs w:val="1"/>
          <w:color w:val="032E5C"/>
        </w:rPr>
        <w:t>)</w:t>
      </w:r>
    </w:p>
    <w:p>
      <w:pPr>
        <w:spacing w:after="0" w:line="182"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29292B"/>
        </w:rPr>
        <w:t>Under our executive compensation program, a significant portion of the CEO’s (approximately 85%) and other named executive officers’ (approximately 66%) annual target total direct compensation is variable based upon our operating performance and/or our stock price, as shown below:</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212"/>
        </w:trPr>
        <w:tc>
          <w:tcPr>
            <w:tcW w:w="4000" w:type="dxa"/>
            <w:vAlign w:val="bottom"/>
          </w:tcPr>
          <w:p>
            <w:pPr>
              <w:jc w:val="center"/>
              <w:ind w:right="250"/>
              <w:spacing w:after="0"/>
              <w:rPr>
                <w:sz w:val="20"/>
                <w:szCs w:val="20"/>
                <w:color w:val="auto"/>
              </w:rPr>
            </w:pPr>
            <w:r>
              <w:rPr>
                <w:rFonts w:ascii="Arial" w:cs="Arial" w:eastAsia="Arial" w:hAnsi="Arial"/>
                <w:sz w:val="18"/>
                <w:szCs w:val="18"/>
                <w:b w:val="1"/>
                <w:bCs w:val="1"/>
                <w:color w:val="032E5C"/>
                <w:w w:val="98"/>
              </w:rPr>
              <w:t>CEO FISCAL 2024 TOTAL TARGET DIRECT</w:t>
            </w:r>
          </w:p>
        </w:tc>
        <w:tc>
          <w:tcPr>
            <w:tcW w:w="4700" w:type="dxa"/>
            <w:vAlign w:val="bottom"/>
          </w:tcPr>
          <w:p>
            <w:pPr>
              <w:jc w:val="center"/>
              <w:ind w:left="270"/>
              <w:spacing w:after="0"/>
              <w:rPr>
                <w:sz w:val="20"/>
                <w:szCs w:val="20"/>
                <w:color w:val="auto"/>
              </w:rPr>
            </w:pPr>
            <w:r>
              <w:rPr>
                <w:rFonts w:ascii="Arial" w:cs="Arial" w:eastAsia="Arial" w:hAnsi="Arial"/>
                <w:sz w:val="18"/>
                <w:szCs w:val="18"/>
                <w:b w:val="1"/>
                <w:bCs w:val="1"/>
                <w:color w:val="032E5C"/>
                <w:w w:val="99"/>
              </w:rPr>
              <w:t>OTHER NEO FISCAL 2024 TOTAL TARGET DIRECT</w:t>
            </w:r>
          </w:p>
        </w:tc>
      </w:tr>
      <w:tr>
        <w:trPr>
          <w:trHeight w:val="319"/>
        </w:trPr>
        <w:tc>
          <w:tcPr>
            <w:tcW w:w="4000" w:type="dxa"/>
            <w:vAlign w:val="bottom"/>
          </w:tcPr>
          <w:p>
            <w:pPr>
              <w:jc w:val="center"/>
              <w:ind w:right="250"/>
              <w:spacing w:after="0"/>
              <w:rPr>
                <w:sz w:val="20"/>
                <w:szCs w:val="20"/>
                <w:color w:val="auto"/>
              </w:rPr>
            </w:pPr>
            <w:r>
              <w:rPr>
                <w:rFonts w:ascii="Arial" w:cs="Arial" w:eastAsia="Arial" w:hAnsi="Arial"/>
                <w:sz w:val="18"/>
                <w:szCs w:val="18"/>
                <w:b w:val="1"/>
                <w:bCs w:val="1"/>
                <w:color w:val="032E5C"/>
                <w:w w:val="99"/>
              </w:rPr>
              <w:t>COMPENSATION</w:t>
            </w:r>
          </w:p>
        </w:tc>
        <w:tc>
          <w:tcPr>
            <w:tcW w:w="4700" w:type="dxa"/>
            <w:vAlign w:val="bottom"/>
          </w:tcPr>
          <w:p>
            <w:pPr>
              <w:jc w:val="center"/>
              <w:ind w:left="250"/>
              <w:spacing w:after="0"/>
              <w:rPr>
                <w:sz w:val="20"/>
                <w:szCs w:val="20"/>
                <w:color w:val="auto"/>
              </w:rPr>
            </w:pPr>
            <w:r>
              <w:rPr>
                <w:rFonts w:ascii="Arial" w:cs="Arial" w:eastAsia="Arial" w:hAnsi="Arial"/>
                <w:sz w:val="18"/>
                <w:szCs w:val="18"/>
                <w:b w:val="1"/>
                <w:bCs w:val="1"/>
                <w:color w:val="032E5C"/>
                <w:w w:val="96"/>
              </w:rPr>
              <w:t>COMPENSATION</w:t>
            </w:r>
            <w:r>
              <w:rPr>
                <w:rFonts w:ascii="Arial" w:cs="Arial" w:eastAsia="Arial" w:hAnsi="Arial"/>
                <w:sz w:val="23"/>
                <w:szCs w:val="23"/>
                <w:b w:val="1"/>
                <w:bCs w:val="1"/>
                <w:color w:val="032E5C"/>
                <w:w w:val="96"/>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26670</wp:posOffset>
            </wp:positionV>
            <wp:extent cx="5915025" cy="1929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502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29292B"/>
        </w:rPr>
      </w:pPr>
      <w:r>
        <w:rPr>
          <w:rFonts w:ascii="Arial" w:cs="Arial" w:eastAsia="Arial" w:hAnsi="Arial"/>
          <w:sz w:val="14"/>
          <w:szCs w:val="14"/>
          <w:color w:val="29292B"/>
        </w:rPr>
        <w:t>Excludes compensation for Mr. Shapiro whose departure from the Company as Executive Vice President, General Counsel and Secretary was effective February 23, 2024.</w:t>
      </w:r>
    </w:p>
    <w:p>
      <w:pPr>
        <w:spacing w:after="0" w:line="226"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29292B"/>
        </w:rPr>
        <w:t>In addition, for fiscal 2024, we engaged in (or refrained from) certain pay practices with respect to our named executive officer compensation program that we believe align with market best practices: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shd w:val="clear" w:color="auto" w:fill="98BDE2"/>
          </w:tcPr>
          <w:p>
            <w:pPr>
              <w:spacing w:after="0"/>
              <w:rPr>
                <w:sz w:val="18"/>
                <w:szCs w:val="18"/>
                <w:color w:val="auto"/>
              </w:rPr>
            </w:pPr>
          </w:p>
        </w:tc>
        <w:tc>
          <w:tcPr>
            <w:tcW w:w="5040" w:type="dxa"/>
            <w:vAlign w:val="bottom"/>
            <w:shd w:val="clear" w:color="auto" w:fill="98BDE2"/>
          </w:tcPr>
          <w:p>
            <w:pPr>
              <w:ind w:left="1820"/>
              <w:spacing w:after="0"/>
              <w:rPr>
                <w:sz w:val="20"/>
                <w:szCs w:val="20"/>
                <w:color w:val="auto"/>
              </w:rPr>
            </w:pPr>
            <w:r>
              <w:rPr>
                <w:rFonts w:ascii="Arial" w:cs="Arial" w:eastAsia="Arial" w:hAnsi="Arial"/>
                <w:sz w:val="14"/>
                <w:szCs w:val="14"/>
                <w:b w:val="1"/>
                <w:bCs w:val="1"/>
                <w:color w:val="032E5C"/>
              </w:rPr>
              <w:t>What We Do</w:t>
            </w:r>
          </w:p>
        </w:tc>
        <w:tc>
          <w:tcPr>
            <w:tcW w:w="580" w:type="dxa"/>
            <w:vAlign w:val="bottom"/>
            <w:shd w:val="clear" w:color="auto" w:fill="3E5C7C"/>
          </w:tcPr>
          <w:p>
            <w:pPr>
              <w:spacing w:after="0"/>
              <w:rPr>
                <w:sz w:val="18"/>
                <w:szCs w:val="18"/>
                <w:color w:val="auto"/>
              </w:rPr>
            </w:pPr>
          </w:p>
        </w:tc>
        <w:tc>
          <w:tcPr>
            <w:tcW w:w="5040" w:type="dxa"/>
            <w:vAlign w:val="bottom"/>
            <w:shd w:val="clear" w:color="auto" w:fill="3E5C7C"/>
          </w:tcPr>
          <w:p>
            <w:pPr>
              <w:ind w:left="160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67"/>
        </w:trPr>
        <w:tc>
          <w:tcPr>
            <w:tcW w:w="580" w:type="dxa"/>
            <w:vAlign w:val="bottom"/>
            <w:shd w:val="clear" w:color="auto" w:fill="98BDE2"/>
          </w:tcPr>
          <w:p>
            <w:pPr>
              <w:spacing w:after="0"/>
              <w:rPr>
                <w:sz w:val="5"/>
                <w:szCs w:val="5"/>
                <w:color w:val="auto"/>
              </w:rPr>
            </w:pPr>
          </w:p>
        </w:tc>
        <w:tc>
          <w:tcPr>
            <w:tcW w:w="5040" w:type="dxa"/>
            <w:vAlign w:val="bottom"/>
            <w:shd w:val="clear" w:color="auto" w:fill="98BDE2"/>
          </w:tcPr>
          <w:p>
            <w:pPr>
              <w:spacing w:after="0"/>
              <w:rPr>
                <w:sz w:val="5"/>
                <w:szCs w:val="5"/>
                <w:color w:val="auto"/>
              </w:rPr>
            </w:pPr>
          </w:p>
        </w:tc>
        <w:tc>
          <w:tcPr>
            <w:tcW w:w="580" w:type="dxa"/>
            <w:vAlign w:val="bottom"/>
            <w:shd w:val="clear" w:color="auto" w:fill="3E5C7C"/>
          </w:tcPr>
          <w:p>
            <w:pPr>
              <w:spacing w:after="0"/>
              <w:rPr>
                <w:sz w:val="5"/>
                <w:szCs w:val="5"/>
                <w:color w:val="auto"/>
              </w:rPr>
            </w:pPr>
          </w:p>
        </w:tc>
        <w:tc>
          <w:tcPr>
            <w:tcW w:w="5040" w:type="dxa"/>
            <w:vAlign w:val="bottom"/>
            <w:shd w:val="clear" w:color="auto" w:fill="3E5C7C"/>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80" w:type="dxa"/>
            <w:vAlign w:val="bottom"/>
            <w:tcBorders>
              <w:bottom w:val="single" w:sz="8" w:color="F3EFE9"/>
            </w:tcBorders>
            <w:shd w:val="clear" w:color="auto" w:fill="F3EFE9"/>
          </w:tcPr>
          <w:p>
            <w:pPr>
              <w:ind w:left="280"/>
              <w:spacing w:after="0"/>
              <w:rPr>
                <w:sz w:val="20"/>
                <w:szCs w:val="20"/>
                <w:color w:val="auto"/>
              </w:rPr>
            </w:pPr>
            <w:r>
              <w:rPr>
                <w:rFonts w:ascii="Wingdings" w:cs="Wingdings" w:eastAsia="Wingdings" w:hAnsi="Wingdings"/>
                <w:sz w:val="22"/>
                <w:szCs w:val="22"/>
                <w:b w:val="1"/>
                <w:bCs w:val="1"/>
                <w:color w:val="032E5C"/>
              </w:rPr>
              <w:t>ü</w:t>
            </w:r>
          </w:p>
        </w:tc>
        <w:tc>
          <w:tcPr>
            <w:tcW w:w="5040" w:type="dxa"/>
            <w:vAlign w:val="bottom"/>
            <w:tcBorders>
              <w:bottom w:val="single" w:sz="8" w:color="F3EFE9"/>
            </w:tcBorders>
            <w:shd w:val="clear" w:color="auto" w:fill="F3EFE9"/>
          </w:tcPr>
          <w:p>
            <w:pPr>
              <w:ind w:left="140"/>
              <w:spacing w:after="0"/>
              <w:rPr>
                <w:sz w:val="20"/>
                <w:szCs w:val="20"/>
                <w:color w:val="auto"/>
              </w:rPr>
            </w:pPr>
            <w:r>
              <w:rPr>
                <w:rFonts w:ascii="Arial" w:cs="Arial" w:eastAsia="Arial" w:hAnsi="Arial"/>
                <w:sz w:val="16"/>
                <w:szCs w:val="16"/>
                <w:color w:val="032E5C"/>
              </w:rPr>
              <w:t>Annual Advisory Vote to Approve Executive Compensation</w:t>
            </w:r>
          </w:p>
        </w:tc>
        <w:tc>
          <w:tcPr>
            <w:tcW w:w="580" w:type="dxa"/>
            <w:vAlign w:val="bottom"/>
          </w:tcPr>
          <w:p>
            <w:pPr>
              <w:jc w:val="right"/>
              <w:ind w:right="52"/>
              <w:spacing w:after="0"/>
              <w:rPr>
                <w:sz w:val="20"/>
                <w:szCs w:val="20"/>
                <w:color w:val="auto"/>
              </w:rPr>
            </w:pPr>
            <w:r>
              <w:rPr>
                <w:rFonts w:ascii="Wingdings" w:cs="Wingdings" w:eastAsia="Wingdings" w:hAnsi="Wingdings"/>
                <w:sz w:val="22"/>
                <w:szCs w:val="22"/>
                <w:b w:val="1"/>
                <w:bCs w:val="1"/>
                <w:color w:val="032E5C"/>
              </w:rPr>
              <w:t>û</w:t>
            </w:r>
          </w:p>
        </w:tc>
        <w:tc>
          <w:tcPr>
            <w:tcW w:w="5040" w:type="dxa"/>
            <w:vAlign w:val="bottom"/>
          </w:tcPr>
          <w:p>
            <w:pPr>
              <w:ind w:left="140"/>
              <w:spacing w:after="0"/>
              <w:rPr>
                <w:sz w:val="20"/>
                <w:szCs w:val="20"/>
                <w:color w:val="auto"/>
              </w:rPr>
            </w:pPr>
            <w:r>
              <w:rPr>
                <w:rFonts w:ascii="Arial" w:cs="Arial" w:eastAsia="Arial" w:hAnsi="Arial"/>
                <w:sz w:val="16"/>
                <w:szCs w:val="16"/>
                <w:color w:val="032E5C"/>
              </w:rPr>
              <w:t>No Excessive Perquisites</w:t>
            </w:r>
          </w:p>
        </w:tc>
        <w:tc>
          <w:tcPr>
            <w:tcW w:w="0" w:type="dxa"/>
            <w:vAlign w:val="bottom"/>
          </w:tcPr>
          <w:p>
            <w:pPr>
              <w:spacing w:after="0"/>
              <w:rPr>
                <w:sz w:val="1"/>
                <w:szCs w:val="1"/>
                <w:color w:val="auto"/>
              </w:rPr>
            </w:pPr>
          </w:p>
        </w:tc>
      </w:tr>
      <w:tr>
        <w:trPr>
          <w:trHeight w:val="263"/>
        </w:trPr>
        <w:tc>
          <w:tcPr>
            <w:tcW w:w="580" w:type="dxa"/>
            <w:vAlign w:val="bottom"/>
            <w:tcBorders>
              <w:top w:val="single" w:sz="8" w:color="98BDE2"/>
            </w:tcBorders>
          </w:tcPr>
          <w:p>
            <w:pPr>
              <w:ind w:left="280"/>
              <w:spacing w:after="0"/>
              <w:rPr>
                <w:sz w:val="20"/>
                <w:szCs w:val="20"/>
                <w:color w:val="auto"/>
              </w:rPr>
            </w:pPr>
            <w:r>
              <w:rPr>
                <w:rFonts w:ascii="Wingdings" w:cs="Wingdings" w:eastAsia="Wingdings" w:hAnsi="Wingdings"/>
                <w:sz w:val="22"/>
                <w:szCs w:val="22"/>
                <w:b w:val="1"/>
                <w:bCs w:val="1"/>
                <w:color w:val="032E5C"/>
              </w:rPr>
              <w:t>ü</w:t>
            </w:r>
          </w:p>
        </w:tc>
        <w:tc>
          <w:tcPr>
            <w:tcW w:w="5040" w:type="dxa"/>
            <w:vAlign w:val="bottom"/>
            <w:tcBorders>
              <w:top w:val="single" w:sz="8" w:color="98BDE2"/>
            </w:tcBorders>
          </w:tcPr>
          <w:p>
            <w:pPr>
              <w:ind w:left="140"/>
              <w:spacing w:after="0"/>
              <w:rPr>
                <w:sz w:val="20"/>
                <w:szCs w:val="20"/>
                <w:color w:val="auto"/>
              </w:rPr>
            </w:pPr>
            <w:r>
              <w:rPr>
                <w:rFonts w:ascii="Arial" w:cs="Arial" w:eastAsia="Arial" w:hAnsi="Arial"/>
                <w:sz w:val="16"/>
                <w:szCs w:val="16"/>
                <w:color w:val="032E5C"/>
              </w:rPr>
              <w:t>Independent Compensation Committee</w:t>
            </w:r>
          </w:p>
        </w:tc>
        <w:tc>
          <w:tcPr>
            <w:tcW w:w="580" w:type="dxa"/>
            <w:vAlign w:val="bottom"/>
            <w:tcBorders>
              <w:top w:val="single" w:sz="8" w:color="98BDE2"/>
            </w:tcBorders>
          </w:tcPr>
          <w:p>
            <w:pPr>
              <w:jc w:val="right"/>
              <w:ind w:right="52"/>
              <w:spacing w:after="0"/>
              <w:rPr>
                <w:sz w:val="20"/>
                <w:szCs w:val="20"/>
                <w:color w:val="auto"/>
              </w:rPr>
            </w:pPr>
            <w:r>
              <w:rPr>
                <w:rFonts w:ascii="Wingdings" w:cs="Wingdings" w:eastAsia="Wingdings" w:hAnsi="Wingdings"/>
                <w:sz w:val="22"/>
                <w:szCs w:val="22"/>
                <w:b w:val="1"/>
                <w:bCs w:val="1"/>
                <w:color w:val="032E5C"/>
              </w:rPr>
              <w:t>û</w:t>
            </w:r>
          </w:p>
        </w:tc>
        <w:tc>
          <w:tcPr>
            <w:tcW w:w="5040" w:type="dxa"/>
            <w:vAlign w:val="bottom"/>
            <w:tcBorders>
              <w:top w:val="single" w:sz="8" w:color="98BDE2"/>
            </w:tcBorders>
          </w:tcPr>
          <w:p>
            <w:pPr>
              <w:ind w:left="140"/>
              <w:spacing w:after="0"/>
              <w:rPr>
                <w:sz w:val="20"/>
                <w:szCs w:val="20"/>
                <w:color w:val="auto"/>
              </w:rPr>
            </w:pPr>
            <w:r>
              <w:rPr>
                <w:rFonts w:ascii="Arial" w:cs="Arial" w:eastAsia="Arial" w:hAnsi="Arial"/>
                <w:sz w:val="16"/>
                <w:szCs w:val="16"/>
                <w:color w:val="032E5C"/>
              </w:rPr>
              <w:t>No Tax Gross-Ups on Perquisites, Except for Standard Relocation</w:t>
            </w:r>
          </w:p>
        </w:tc>
        <w:tc>
          <w:tcPr>
            <w:tcW w:w="0" w:type="dxa"/>
            <w:vAlign w:val="bottom"/>
          </w:tcPr>
          <w:p>
            <w:pPr>
              <w:spacing w:after="0"/>
              <w:rPr>
                <w:sz w:val="1"/>
                <w:szCs w:val="1"/>
                <w:color w:val="auto"/>
              </w:rPr>
            </w:pPr>
          </w:p>
        </w:tc>
      </w:tr>
      <w:tr>
        <w:trPr>
          <w:trHeight w:val="203"/>
        </w:trPr>
        <w:tc>
          <w:tcPr>
            <w:tcW w:w="580" w:type="dxa"/>
            <w:vAlign w:val="bottom"/>
            <w:tcBorders>
              <w:bottom w:val="single" w:sz="8" w:color="98BDE2"/>
            </w:tcBorders>
          </w:tcPr>
          <w:p>
            <w:pPr>
              <w:spacing w:after="0"/>
              <w:rPr>
                <w:sz w:val="17"/>
                <w:szCs w:val="17"/>
                <w:color w:val="auto"/>
              </w:rPr>
            </w:pPr>
          </w:p>
        </w:tc>
        <w:tc>
          <w:tcPr>
            <w:tcW w:w="5040" w:type="dxa"/>
            <w:vAlign w:val="bottom"/>
            <w:tcBorders>
              <w:bottom w:val="single" w:sz="8" w:color="98BDE2"/>
            </w:tcBorders>
          </w:tcPr>
          <w:p>
            <w:pPr>
              <w:spacing w:after="0"/>
              <w:rPr>
                <w:sz w:val="17"/>
                <w:szCs w:val="17"/>
                <w:color w:val="auto"/>
              </w:rPr>
            </w:pPr>
          </w:p>
        </w:tc>
        <w:tc>
          <w:tcPr>
            <w:tcW w:w="580" w:type="dxa"/>
            <w:vAlign w:val="bottom"/>
            <w:tcBorders>
              <w:bottom w:val="single" w:sz="8" w:color="98BDE2"/>
            </w:tcBorders>
          </w:tcPr>
          <w:p>
            <w:pPr>
              <w:spacing w:after="0"/>
              <w:rPr>
                <w:sz w:val="17"/>
                <w:szCs w:val="17"/>
                <w:color w:val="auto"/>
              </w:rPr>
            </w:pPr>
          </w:p>
        </w:tc>
        <w:tc>
          <w:tcPr>
            <w:tcW w:w="5040" w:type="dxa"/>
            <w:vAlign w:val="bottom"/>
            <w:tcBorders>
              <w:bottom w:val="single" w:sz="8" w:color="98BDE2"/>
            </w:tcBorders>
          </w:tcPr>
          <w:p>
            <w:pPr>
              <w:ind w:left="140"/>
              <w:spacing w:after="0"/>
              <w:rPr>
                <w:sz w:val="20"/>
                <w:szCs w:val="20"/>
                <w:color w:val="auto"/>
              </w:rPr>
            </w:pPr>
            <w:r>
              <w:rPr>
                <w:rFonts w:ascii="Arial" w:cs="Arial" w:eastAsia="Arial" w:hAnsi="Arial"/>
                <w:sz w:val="16"/>
                <w:szCs w:val="16"/>
                <w:color w:val="032E5C"/>
              </w:rPr>
              <w:t>Benefits</w:t>
            </w:r>
          </w:p>
        </w:tc>
        <w:tc>
          <w:tcPr>
            <w:tcW w:w="0" w:type="dxa"/>
            <w:vAlign w:val="bottom"/>
          </w:tcPr>
          <w:p>
            <w:pPr>
              <w:spacing w:after="0"/>
              <w:rPr>
                <w:sz w:val="1"/>
                <w:szCs w:val="1"/>
                <w:color w:val="auto"/>
              </w:rPr>
            </w:pPr>
          </w:p>
        </w:tc>
      </w:tr>
      <w:tr>
        <w:trPr>
          <w:trHeight w:val="221"/>
        </w:trPr>
        <w:tc>
          <w:tcPr>
            <w:tcW w:w="580" w:type="dxa"/>
            <w:vAlign w:val="bottom"/>
            <w:vMerge w:val="restart"/>
          </w:tcPr>
          <w:p>
            <w:pPr>
              <w:ind w:left="280"/>
              <w:spacing w:after="0"/>
              <w:rPr>
                <w:sz w:val="20"/>
                <w:szCs w:val="20"/>
                <w:color w:val="auto"/>
              </w:rPr>
            </w:pPr>
            <w:r>
              <w:rPr>
                <w:rFonts w:ascii="Wingdings" w:cs="Wingdings" w:eastAsia="Wingdings" w:hAnsi="Wingdings"/>
                <w:sz w:val="22"/>
                <w:szCs w:val="22"/>
                <w:b w:val="1"/>
                <w:bCs w:val="1"/>
                <w:color w:val="032E5C"/>
              </w:rPr>
              <w:t>ü</w:t>
            </w:r>
          </w:p>
        </w:tc>
        <w:tc>
          <w:tcPr>
            <w:tcW w:w="5040" w:type="dxa"/>
            <w:vAlign w:val="bottom"/>
          </w:tcPr>
          <w:p>
            <w:pPr>
              <w:ind w:left="140"/>
              <w:spacing w:after="0"/>
              <w:rPr>
                <w:sz w:val="20"/>
                <w:szCs w:val="20"/>
                <w:color w:val="auto"/>
              </w:rPr>
            </w:pPr>
            <w:r>
              <w:rPr>
                <w:rFonts w:ascii="Arial" w:cs="Arial" w:eastAsia="Arial" w:hAnsi="Arial"/>
                <w:sz w:val="16"/>
                <w:szCs w:val="16"/>
                <w:color w:val="032E5C"/>
              </w:rPr>
              <w:t>Significant Portion of Executive Compensation Tied to</w:t>
            </w:r>
          </w:p>
        </w:tc>
        <w:tc>
          <w:tcPr>
            <w:tcW w:w="580" w:type="dxa"/>
            <w:vAlign w:val="bottom"/>
            <w:vMerge w:val="restart"/>
          </w:tcPr>
          <w:p>
            <w:pPr>
              <w:jc w:val="right"/>
              <w:ind w:right="52"/>
              <w:spacing w:after="0"/>
              <w:rPr>
                <w:sz w:val="20"/>
                <w:szCs w:val="20"/>
                <w:color w:val="auto"/>
              </w:rPr>
            </w:pPr>
            <w:r>
              <w:rPr>
                <w:rFonts w:ascii="Wingdings" w:cs="Wingdings" w:eastAsia="Wingdings" w:hAnsi="Wingdings"/>
                <w:sz w:val="22"/>
                <w:szCs w:val="22"/>
                <w:b w:val="1"/>
                <w:bCs w:val="1"/>
                <w:color w:val="032E5C"/>
              </w:rPr>
              <w:t>û</w:t>
            </w:r>
          </w:p>
        </w:tc>
        <w:tc>
          <w:tcPr>
            <w:tcW w:w="5040" w:type="dxa"/>
            <w:vAlign w:val="bottom"/>
            <w:vMerge w:val="restart"/>
          </w:tcPr>
          <w:p>
            <w:pPr>
              <w:ind w:left="140"/>
              <w:spacing w:after="0"/>
              <w:rPr>
                <w:sz w:val="20"/>
                <w:szCs w:val="20"/>
                <w:color w:val="auto"/>
              </w:rPr>
            </w:pPr>
            <w:r>
              <w:rPr>
                <w:rFonts w:ascii="Arial" w:cs="Arial" w:eastAsia="Arial" w:hAnsi="Arial"/>
                <w:sz w:val="16"/>
                <w:szCs w:val="16"/>
                <w:color w:val="032E5C"/>
              </w:rPr>
              <w:t>No Excise Tax Gross-Ups</w:t>
            </w: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6"/>
                <w:szCs w:val="16"/>
                <w:color w:val="032E5C"/>
              </w:rPr>
              <w:t>Performance</w:t>
            </w:r>
          </w:p>
        </w:tc>
        <w:tc>
          <w:tcPr>
            <w:tcW w:w="580" w:type="dxa"/>
            <w:vAlign w:val="bottom"/>
            <w:vMerge w:val="continue"/>
          </w:tcPr>
          <w:p>
            <w:pPr>
              <w:spacing w:after="0"/>
              <w:rPr>
                <w:sz w:val="18"/>
                <w:szCs w:val="18"/>
                <w:color w:val="auto"/>
              </w:rPr>
            </w:pP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80" w:type="dxa"/>
            <w:vAlign w:val="bottom"/>
            <w:tcBorders>
              <w:bottom w:val="single" w:sz="8" w:color="98BDE2"/>
            </w:tcBorders>
          </w:tcPr>
          <w:p>
            <w:pPr>
              <w:spacing w:after="0"/>
              <w:rPr>
                <w:sz w:val="14"/>
                <w:szCs w:val="14"/>
                <w:color w:val="auto"/>
              </w:rPr>
            </w:pPr>
          </w:p>
        </w:tc>
        <w:tc>
          <w:tcPr>
            <w:tcW w:w="5040" w:type="dxa"/>
            <w:vAlign w:val="bottom"/>
            <w:tcBorders>
              <w:bottom w:val="single" w:sz="8" w:color="98BDE2"/>
            </w:tcBorders>
          </w:tcPr>
          <w:p>
            <w:pPr>
              <w:spacing w:after="0"/>
              <w:rPr>
                <w:sz w:val="14"/>
                <w:szCs w:val="14"/>
                <w:color w:val="auto"/>
              </w:rPr>
            </w:pPr>
          </w:p>
        </w:tc>
        <w:tc>
          <w:tcPr>
            <w:tcW w:w="580" w:type="dxa"/>
            <w:vAlign w:val="bottom"/>
            <w:tcBorders>
              <w:bottom w:val="single" w:sz="8" w:color="98BDE2"/>
            </w:tcBorders>
          </w:tcPr>
          <w:p>
            <w:pPr>
              <w:spacing w:after="0"/>
              <w:rPr>
                <w:sz w:val="14"/>
                <w:szCs w:val="14"/>
                <w:color w:val="auto"/>
              </w:rPr>
            </w:pPr>
          </w:p>
        </w:tc>
        <w:tc>
          <w:tcPr>
            <w:tcW w:w="5040" w:type="dxa"/>
            <w:vAlign w:val="bottom"/>
            <w:tcBorders>
              <w:bottom w:val="single" w:sz="8" w:color="98BDE2"/>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80" w:type="dxa"/>
            <w:vAlign w:val="bottom"/>
          </w:tcPr>
          <w:p>
            <w:pPr>
              <w:ind w:left="280"/>
              <w:spacing w:after="0"/>
              <w:rPr>
                <w:sz w:val="20"/>
                <w:szCs w:val="20"/>
                <w:color w:val="auto"/>
              </w:rPr>
            </w:pPr>
            <w:r>
              <w:rPr>
                <w:rFonts w:ascii="Wingdings" w:cs="Wingdings" w:eastAsia="Wingdings" w:hAnsi="Wingdings"/>
                <w:sz w:val="22"/>
                <w:szCs w:val="22"/>
                <w:b w:val="1"/>
                <w:bCs w:val="1"/>
                <w:color w:val="032E5C"/>
              </w:rPr>
              <w:t>ü</w:t>
            </w:r>
          </w:p>
        </w:tc>
        <w:tc>
          <w:tcPr>
            <w:tcW w:w="5040" w:type="dxa"/>
            <w:vAlign w:val="bottom"/>
          </w:tcPr>
          <w:p>
            <w:pPr>
              <w:ind w:left="140"/>
              <w:spacing w:after="0"/>
              <w:rPr>
                <w:sz w:val="20"/>
                <w:szCs w:val="20"/>
                <w:color w:val="auto"/>
              </w:rPr>
            </w:pPr>
            <w:r>
              <w:rPr>
                <w:rFonts w:ascii="Arial" w:cs="Arial" w:eastAsia="Arial" w:hAnsi="Arial"/>
                <w:sz w:val="16"/>
                <w:szCs w:val="16"/>
                <w:color w:val="032E5C"/>
              </w:rPr>
              <w:t>Significant Portion of Executive Compensation Delivered in the</w:t>
            </w:r>
          </w:p>
        </w:tc>
        <w:tc>
          <w:tcPr>
            <w:tcW w:w="580" w:type="dxa"/>
            <w:vAlign w:val="bottom"/>
          </w:tcPr>
          <w:p>
            <w:pPr>
              <w:jc w:val="right"/>
              <w:ind w:right="52"/>
              <w:spacing w:after="0"/>
              <w:rPr>
                <w:sz w:val="20"/>
                <w:szCs w:val="20"/>
                <w:color w:val="auto"/>
              </w:rPr>
            </w:pPr>
            <w:r>
              <w:rPr>
                <w:rFonts w:ascii="Wingdings" w:cs="Wingdings" w:eastAsia="Wingdings" w:hAnsi="Wingdings"/>
                <w:sz w:val="22"/>
                <w:szCs w:val="22"/>
                <w:b w:val="1"/>
                <w:bCs w:val="1"/>
                <w:color w:val="032E5C"/>
              </w:rPr>
              <w:t>û</w:t>
            </w:r>
          </w:p>
        </w:tc>
        <w:tc>
          <w:tcPr>
            <w:tcW w:w="5040" w:type="dxa"/>
            <w:vAlign w:val="bottom"/>
          </w:tcPr>
          <w:p>
            <w:pPr>
              <w:ind w:left="140"/>
              <w:spacing w:after="0"/>
              <w:rPr>
                <w:sz w:val="20"/>
                <w:szCs w:val="20"/>
                <w:color w:val="auto"/>
              </w:rPr>
            </w:pPr>
            <w:r>
              <w:rPr>
                <w:rFonts w:ascii="Arial" w:cs="Arial" w:eastAsia="Arial" w:hAnsi="Arial"/>
                <w:sz w:val="16"/>
                <w:szCs w:val="16"/>
                <w:color w:val="032E5C"/>
              </w:rPr>
              <w:t>No Automatic Salary Increases or Guaranteed Bonuses</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6"/>
                <w:szCs w:val="16"/>
                <w:color w:val="032E5C"/>
              </w:rPr>
              <w:t>Form of Long-Term Equity-Based Incentives</w:t>
            </w:r>
          </w:p>
        </w:tc>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-1216025</wp:posOffset>
            </wp:positionV>
            <wp:extent cx="7132320" cy="2640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4033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1" w:lineRule="exact"/>
        <w:rPr>
          <w:sz w:val="20"/>
          <w:szCs w:val="20"/>
          <w:color w:val="auto"/>
        </w:rPr>
      </w:pPr>
    </w:p>
    <w:p>
      <w:pPr>
        <w:ind w:left="720"/>
        <w:spacing w:after="0"/>
        <w:rPr>
          <w:sz w:val="20"/>
          <w:szCs w:val="20"/>
          <w:color w:val="auto"/>
        </w:rPr>
      </w:pPr>
      <w:r>
        <w:rPr>
          <w:rFonts w:ascii="Arial" w:cs="Arial" w:eastAsia="Arial" w:hAnsi="Arial"/>
          <w:sz w:val="16"/>
          <w:szCs w:val="16"/>
          <w:color w:val="032E5C"/>
        </w:rPr>
        <w:t>Market Alignment of Compensation but with Greater Emphasis on</w:t>
      </w:r>
    </w:p>
    <w:p>
      <w:pPr>
        <w:ind w:left="720" w:hanging="446"/>
        <w:spacing w:after="0" w:line="181" w:lineRule="auto"/>
        <w:tabs>
          <w:tab w:leader="none" w:pos="720" w:val="left"/>
        </w:tabs>
        <w:numPr>
          <w:ilvl w:val="0"/>
          <w:numId w:val="10"/>
        </w:numPr>
        <w:rPr>
          <w:rFonts w:ascii="Wingdings" w:cs="Wingdings" w:eastAsia="Wingdings" w:hAnsi="Wingdings"/>
          <w:sz w:val="39"/>
          <w:szCs w:val="39"/>
          <w:b w:val="1"/>
          <w:bCs w:val="1"/>
          <w:color w:val="032E5C"/>
          <w:vertAlign w:val="superscript"/>
        </w:rPr>
      </w:pPr>
      <w:r>
        <w:rPr>
          <w:rFonts w:ascii="Arial" w:cs="Arial" w:eastAsia="Arial" w:hAnsi="Arial"/>
          <w:sz w:val="15"/>
          <w:szCs w:val="15"/>
          <w:color w:val="032E5C"/>
        </w:rPr>
        <w:t>At-Risk Compensation</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Arial" w:cs="Arial" w:eastAsia="Arial" w:hAnsi="Arial"/>
          <w:sz w:val="16"/>
          <w:szCs w:val="16"/>
          <w:color w:val="032E5C"/>
        </w:rPr>
        <w:t>No “Single Trigger” Automatic Payments, Benefits, or Equity</w:t>
      </w:r>
    </w:p>
    <w:p>
      <w:pPr>
        <w:spacing w:after="0" w:line="16" w:lineRule="exact"/>
        <w:rPr>
          <w:sz w:val="20"/>
          <w:szCs w:val="20"/>
          <w:color w:val="auto"/>
        </w:rPr>
      </w:pPr>
    </w:p>
    <w:p>
      <w:pPr>
        <w:ind w:left="440" w:hanging="440"/>
        <w:spacing w:after="0"/>
        <w:tabs>
          <w:tab w:leader="none" w:pos="440" w:val="left"/>
        </w:tabs>
        <w:numPr>
          <w:ilvl w:val="0"/>
          <w:numId w:val="11"/>
        </w:numPr>
        <w:rPr>
          <w:rFonts w:ascii="Wingdings" w:cs="Wingdings" w:eastAsia="Wingdings" w:hAnsi="Wingdings"/>
          <w:sz w:val="22"/>
          <w:szCs w:val="22"/>
          <w:b w:val="1"/>
          <w:bCs w:val="1"/>
          <w:color w:val="032E5C"/>
        </w:rPr>
      </w:pPr>
      <w:r>
        <w:rPr>
          <w:rFonts w:ascii="Arial" w:cs="Arial" w:eastAsia="Arial" w:hAnsi="Arial"/>
          <w:sz w:val="16"/>
          <w:szCs w:val="16"/>
          <w:color w:val="032E5C"/>
        </w:rPr>
        <w:t>Vesting Upon a Change in Control</w:t>
      </w:r>
    </w:p>
    <w:p>
      <w:pPr>
        <w:spacing w:after="0" w:line="203" w:lineRule="exact"/>
        <w:rPr>
          <w:sz w:val="20"/>
          <w:szCs w:val="20"/>
          <w:color w:val="auto"/>
        </w:rPr>
      </w:pPr>
    </w:p>
    <w:p>
      <w:pPr>
        <w:sectPr>
          <w:pgSz w:w="11900" w:h="16838" w:orient="portrait"/>
          <w:cols w:equalWidth="0" w:num="2">
            <w:col w:w="5440" w:space="460"/>
            <w:col w:w="5340"/>
          </w:cols>
          <w:pgMar w:left="320" w:top="167" w:right="33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580" w:type="dxa"/>
            <w:vAlign w:val="bottom"/>
          </w:tcPr>
          <w:p>
            <w:pPr>
              <w:ind w:left="280"/>
              <w:spacing w:after="0"/>
              <w:rPr>
                <w:sz w:val="20"/>
                <w:szCs w:val="20"/>
                <w:color w:val="auto"/>
              </w:rPr>
            </w:pPr>
            <w:r>
              <w:rPr>
                <w:rFonts w:ascii="Wingdings" w:cs="Wingdings" w:eastAsia="Wingdings" w:hAnsi="Wingdings"/>
                <w:sz w:val="22"/>
                <w:szCs w:val="22"/>
                <w:b w:val="1"/>
                <w:bCs w:val="1"/>
                <w:color w:val="032E5C"/>
              </w:rPr>
              <w:t>ü</w:t>
            </w:r>
          </w:p>
        </w:tc>
        <w:tc>
          <w:tcPr>
            <w:tcW w:w="4140" w:type="dxa"/>
            <w:vAlign w:val="bottom"/>
          </w:tcPr>
          <w:p>
            <w:pPr>
              <w:ind w:left="140"/>
              <w:spacing w:after="0"/>
              <w:rPr>
                <w:sz w:val="20"/>
                <w:szCs w:val="20"/>
                <w:color w:val="auto"/>
              </w:rPr>
            </w:pPr>
            <w:r>
              <w:rPr>
                <w:rFonts w:ascii="Arial" w:cs="Arial" w:eastAsia="Arial" w:hAnsi="Arial"/>
                <w:sz w:val="16"/>
                <w:szCs w:val="16"/>
                <w:color w:val="032E5C"/>
              </w:rPr>
              <w:t>Independent Compensation Consultant</w:t>
            </w:r>
          </w:p>
        </w:tc>
        <w:tc>
          <w:tcPr>
            <w:tcW w:w="1480" w:type="dxa"/>
            <w:vAlign w:val="bottom"/>
          </w:tcPr>
          <w:p>
            <w:pPr>
              <w:jc w:val="right"/>
              <w:ind w:right="52"/>
              <w:spacing w:after="0"/>
              <w:rPr>
                <w:sz w:val="20"/>
                <w:szCs w:val="20"/>
                <w:color w:val="auto"/>
              </w:rPr>
            </w:pPr>
            <w:r>
              <w:rPr>
                <w:rFonts w:ascii="Wingdings" w:cs="Wingdings" w:eastAsia="Wingdings" w:hAnsi="Wingdings"/>
                <w:sz w:val="22"/>
                <w:szCs w:val="22"/>
                <w:b w:val="1"/>
                <w:bCs w:val="1"/>
                <w:color w:val="032E5C"/>
              </w:rPr>
              <w:t>û</w:t>
            </w:r>
          </w:p>
        </w:tc>
        <w:tc>
          <w:tcPr>
            <w:tcW w:w="5040" w:type="dxa"/>
            <w:vAlign w:val="bottom"/>
          </w:tcPr>
          <w:p>
            <w:pPr>
              <w:ind w:left="140"/>
              <w:spacing w:after="0"/>
              <w:rPr>
                <w:sz w:val="20"/>
                <w:szCs w:val="20"/>
                <w:color w:val="auto"/>
              </w:rPr>
            </w:pPr>
            <w:r>
              <w:rPr>
                <w:rFonts w:ascii="Arial" w:cs="Arial" w:eastAsia="Arial" w:hAnsi="Arial"/>
                <w:sz w:val="16"/>
                <w:szCs w:val="16"/>
                <w:color w:val="032E5C"/>
              </w:rPr>
              <w:t>No Hedging or Pledging</w:t>
            </w:r>
          </w:p>
        </w:tc>
      </w:tr>
      <w:tr>
        <w:trPr>
          <w:trHeight w:val="37"/>
        </w:trPr>
        <w:tc>
          <w:tcPr>
            <w:tcW w:w="580" w:type="dxa"/>
            <w:vAlign w:val="bottom"/>
            <w:tcBorders>
              <w:bottom w:val="single" w:sz="8" w:color="98BDE2"/>
            </w:tcBorders>
          </w:tcPr>
          <w:p>
            <w:pPr>
              <w:spacing w:after="0"/>
              <w:rPr>
                <w:sz w:val="3"/>
                <w:szCs w:val="3"/>
                <w:color w:val="auto"/>
              </w:rPr>
            </w:pPr>
          </w:p>
        </w:tc>
        <w:tc>
          <w:tcPr>
            <w:tcW w:w="4140" w:type="dxa"/>
            <w:vAlign w:val="bottom"/>
            <w:tcBorders>
              <w:bottom w:val="single" w:sz="8" w:color="98BDE2"/>
            </w:tcBorders>
          </w:tcPr>
          <w:p>
            <w:pPr>
              <w:spacing w:after="0"/>
              <w:rPr>
                <w:sz w:val="3"/>
                <w:szCs w:val="3"/>
                <w:color w:val="auto"/>
              </w:rPr>
            </w:pPr>
          </w:p>
        </w:tc>
        <w:tc>
          <w:tcPr>
            <w:tcW w:w="1480" w:type="dxa"/>
            <w:vAlign w:val="bottom"/>
            <w:tcBorders>
              <w:bottom w:val="single" w:sz="8" w:color="98BDE2"/>
            </w:tcBorders>
          </w:tcPr>
          <w:p>
            <w:pPr>
              <w:spacing w:after="0"/>
              <w:rPr>
                <w:sz w:val="3"/>
                <w:szCs w:val="3"/>
                <w:color w:val="auto"/>
              </w:rPr>
            </w:pPr>
          </w:p>
        </w:tc>
        <w:tc>
          <w:tcPr>
            <w:tcW w:w="5040" w:type="dxa"/>
            <w:vAlign w:val="bottom"/>
            <w:tcBorders>
              <w:bottom w:val="single" w:sz="8" w:color="98BDE2"/>
            </w:tcBorders>
          </w:tcPr>
          <w:p>
            <w:pPr>
              <w:spacing w:after="0"/>
              <w:rPr>
                <w:sz w:val="3"/>
                <w:szCs w:val="3"/>
                <w:color w:val="auto"/>
              </w:rPr>
            </w:pPr>
          </w:p>
        </w:tc>
      </w:tr>
      <w:tr>
        <w:trPr>
          <w:trHeight w:val="267"/>
        </w:trPr>
        <w:tc>
          <w:tcPr>
            <w:tcW w:w="580" w:type="dxa"/>
            <w:vAlign w:val="bottom"/>
          </w:tcPr>
          <w:p>
            <w:pPr>
              <w:ind w:left="280"/>
              <w:spacing w:after="0"/>
              <w:rPr>
                <w:sz w:val="20"/>
                <w:szCs w:val="20"/>
                <w:color w:val="auto"/>
              </w:rPr>
            </w:pPr>
            <w:r>
              <w:rPr>
                <w:rFonts w:ascii="Wingdings" w:cs="Wingdings" w:eastAsia="Wingdings" w:hAnsi="Wingdings"/>
                <w:sz w:val="22"/>
                <w:szCs w:val="22"/>
                <w:b w:val="1"/>
                <w:bCs w:val="1"/>
                <w:color w:val="032E5C"/>
              </w:rPr>
              <w:t>ü</w:t>
            </w:r>
          </w:p>
        </w:tc>
        <w:tc>
          <w:tcPr>
            <w:tcW w:w="4140" w:type="dxa"/>
            <w:vAlign w:val="bottom"/>
          </w:tcPr>
          <w:p>
            <w:pPr>
              <w:ind w:left="140"/>
              <w:spacing w:after="0"/>
              <w:rPr>
                <w:sz w:val="20"/>
                <w:szCs w:val="20"/>
                <w:color w:val="auto"/>
              </w:rPr>
            </w:pPr>
            <w:r>
              <w:rPr>
                <w:rFonts w:ascii="Arial" w:cs="Arial" w:eastAsia="Arial" w:hAnsi="Arial"/>
                <w:sz w:val="16"/>
                <w:szCs w:val="16"/>
                <w:color w:val="032E5C"/>
              </w:rPr>
              <w:t>Clawback Policy</w:t>
            </w:r>
          </w:p>
        </w:tc>
        <w:tc>
          <w:tcPr>
            <w:tcW w:w="1480" w:type="dxa"/>
            <w:vAlign w:val="bottom"/>
          </w:tcPr>
          <w:p>
            <w:pPr>
              <w:jc w:val="right"/>
              <w:ind w:right="52"/>
              <w:spacing w:after="0"/>
              <w:rPr>
                <w:sz w:val="20"/>
                <w:szCs w:val="20"/>
                <w:color w:val="auto"/>
              </w:rPr>
            </w:pPr>
            <w:r>
              <w:rPr>
                <w:rFonts w:ascii="Wingdings" w:cs="Wingdings" w:eastAsia="Wingdings" w:hAnsi="Wingdings"/>
                <w:sz w:val="22"/>
                <w:szCs w:val="22"/>
                <w:b w:val="1"/>
                <w:bCs w:val="1"/>
                <w:color w:val="032E5C"/>
              </w:rPr>
              <w:t>û</w:t>
            </w:r>
          </w:p>
        </w:tc>
        <w:tc>
          <w:tcPr>
            <w:tcW w:w="5040" w:type="dxa"/>
            <w:vAlign w:val="bottom"/>
          </w:tcPr>
          <w:p>
            <w:pPr>
              <w:ind w:left="140"/>
              <w:spacing w:after="0"/>
              <w:rPr>
                <w:sz w:val="20"/>
                <w:szCs w:val="20"/>
                <w:color w:val="auto"/>
              </w:rPr>
            </w:pPr>
            <w:r>
              <w:rPr>
                <w:rFonts w:ascii="Arial" w:cs="Arial" w:eastAsia="Arial" w:hAnsi="Arial"/>
                <w:sz w:val="16"/>
                <w:szCs w:val="16"/>
                <w:color w:val="032E5C"/>
              </w:rPr>
              <w:t>No Equity Repricing</w:t>
            </w:r>
          </w:p>
        </w:tc>
      </w:tr>
      <w:tr>
        <w:trPr>
          <w:trHeight w:val="37"/>
        </w:trPr>
        <w:tc>
          <w:tcPr>
            <w:tcW w:w="580" w:type="dxa"/>
            <w:vAlign w:val="bottom"/>
            <w:tcBorders>
              <w:bottom w:val="single" w:sz="8" w:color="98BDE2"/>
            </w:tcBorders>
          </w:tcPr>
          <w:p>
            <w:pPr>
              <w:spacing w:after="0"/>
              <w:rPr>
                <w:sz w:val="3"/>
                <w:szCs w:val="3"/>
                <w:color w:val="auto"/>
              </w:rPr>
            </w:pPr>
          </w:p>
        </w:tc>
        <w:tc>
          <w:tcPr>
            <w:tcW w:w="4140" w:type="dxa"/>
            <w:vAlign w:val="bottom"/>
            <w:tcBorders>
              <w:bottom w:val="single" w:sz="8" w:color="98BDE2"/>
            </w:tcBorders>
          </w:tcPr>
          <w:p>
            <w:pPr>
              <w:spacing w:after="0"/>
              <w:rPr>
                <w:sz w:val="3"/>
                <w:szCs w:val="3"/>
                <w:color w:val="auto"/>
              </w:rPr>
            </w:pPr>
          </w:p>
        </w:tc>
        <w:tc>
          <w:tcPr>
            <w:tcW w:w="1480" w:type="dxa"/>
            <w:vAlign w:val="bottom"/>
            <w:tcBorders>
              <w:bottom w:val="single" w:sz="8" w:color="98BDE2"/>
            </w:tcBorders>
          </w:tcPr>
          <w:p>
            <w:pPr>
              <w:spacing w:after="0"/>
              <w:rPr>
                <w:sz w:val="3"/>
                <w:szCs w:val="3"/>
                <w:color w:val="auto"/>
              </w:rPr>
            </w:pPr>
          </w:p>
        </w:tc>
        <w:tc>
          <w:tcPr>
            <w:tcW w:w="5040" w:type="dxa"/>
            <w:vAlign w:val="bottom"/>
            <w:tcBorders>
              <w:bottom w:val="single" w:sz="8" w:color="98BDE2"/>
            </w:tcBorders>
          </w:tcPr>
          <w:p>
            <w:pPr>
              <w:spacing w:after="0"/>
              <w:rPr>
                <w:sz w:val="3"/>
                <w:szCs w:val="3"/>
                <w:color w:val="auto"/>
              </w:rPr>
            </w:pPr>
          </w:p>
        </w:tc>
      </w:tr>
      <w:tr>
        <w:trPr>
          <w:trHeight w:val="267"/>
        </w:trPr>
        <w:tc>
          <w:tcPr>
            <w:tcW w:w="580" w:type="dxa"/>
            <w:vAlign w:val="bottom"/>
          </w:tcPr>
          <w:p>
            <w:pPr>
              <w:ind w:left="280"/>
              <w:spacing w:after="0"/>
              <w:rPr>
                <w:sz w:val="20"/>
                <w:szCs w:val="20"/>
                <w:color w:val="auto"/>
              </w:rPr>
            </w:pPr>
            <w:r>
              <w:rPr>
                <w:rFonts w:ascii="Wingdings" w:cs="Wingdings" w:eastAsia="Wingdings" w:hAnsi="Wingdings"/>
                <w:sz w:val="22"/>
                <w:szCs w:val="22"/>
                <w:b w:val="1"/>
                <w:bCs w:val="1"/>
                <w:color w:val="032E5C"/>
              </w:rPr>
              <w:t>ü</w:t>
            </w:r>
          </w:p>
        </w:tc>
        <w:tc>
          <w:tcPr>
            <w:tcW w:w="4140" w:type="dxa"/>
            <w:vAlign w:val="bottom"/>
          </w:tcPr>
          <w:p>
            <w:pPr>
              <w:ind w:left="140"/>
              <w:spacing w:after="0"/>
              <w:rPr>
                <w:sz w:val="20"/>
                <w:szCs w:val="20"/>
                <w:color w:val="auto"/>
              </w:rPr>
            </w:pPr>
            <w:r>
              <w:rPr>
                <w:rFonts w:ascii="Arial" w:cs="Arial" w:eastAsia="Arial" w:hAnsi="Arial"/>
                <w:sz w:val="16"/>
                <w:szCs w:val="16"/>
                <w:color w:val="032E5C"/>
              </w:rPr>
              <w:t>Stock Ownership Guidelines</w:t>
            </w:r>
          </w:p>
        </w:tc>
        <w:tc>
          <w:tcPr>
            <w:tcW w:w="1480" w:type="dxa"/>
            <w:vAlign w:val="bottom"/>
          </w:tcPr>
          <w:p>
            <w:pPr>
              <w:jc w:val="right"/>
              <w:ind w:right="52"/>
              <w:spacing w:after="0"/>
              <w:rPr>
                <w:sz w:val="20"/>
                <w:szCs w:val="20"/>
                <w:color w:val="auto"/>
              </w:rPr>
            </w:pPr>
            <w:r>
              <w:rPr>
                <w:rFonts w:ascii="Wingdings" w:cs="Wingdings" w:eastAsia="Wingdings" w:hAnsi="Wingdings"/>
                <w:sz w:val="22"/>
                <w:szCs w:val="22"/>
                <w:b w:val="1"/>
                <w:bCs w:val="1"/>
                <w:color w:val="032E5C"/>
              </w:rPr>
              <w:t>û</w:t>
            </w:r>
          </w:p>
        </w:tc>
        <w:tc>
          <w:tcPr>
            <w:tcW w:w="5040" w:type="dxa"/>
            <w:vAlign w:val="bottom"/>
          </w:tcPr>
          <w:p>
            <w:pPr>
              <w:ind w:left="140"/>
              <w:spacing w:after="0"/>
              <w:rPr>
                <w:sz w:val="20"/>
                <w:szCs w:val="20"/>
                <w:color w:val="auto"/>
              </w:rPr>
            </w:pPr>
            <w:r>
              <w:rPr>
                <w:rFonts w:ascii="Arial" w:cs="Arial" w:eastAsia="Arial" w:hAnsi="Arial"/>
                <w:sz w:val="16"/>
                <w:szCs w:val="16"/>
                <w:color w:val="032E5C"/>
              </w:rPr>
              <w:t>No Pension Plans or SERPs</w:t>
            </w:r>
          </w:p>
        </w:tc>
      </w:tr>
      <w:tr>
        <w:trPr>
          <w:trHeight w:val="37"/>
        </w:trPr>
        <w:tc>
          <w:tcPr>
            <w:tcW w:w="580" w:type="dxa"/>
            <w:vAlign w:val="bottom"/>
            <w:tcBorders>
              <w:bottom w:val="single" w:sz="8" w:color="98BDE2"/>
            </w:tcBorders>
          </w:tcPr>
          <w:p>
            <w:pPr>
              <w:spacing w:after="0"/>
              <w:rPr>
                <w:sz w:val="3"/>
                <w:szCs w:val="3"/>
                <w:color w:val="auto"/>
              </w:rPr>
            </w:pPr>
          </w:p>
        </w:tc>
        <w:tc>
          <w:tcPr>
            <w:tcW w:w="4140" w:type="dxa"/>
            <w:vAlign w:val="bottom"/>
            <w:tcBorders>
              <w:bottom w:val="single" w:sz="8" w:color="98BDE2"/>
            </w:tcBorders>
          </w:tcPr>
          <w:p>
            <w:pPr>
              <w:spacing w:after="0"/>
              <w:rPr>
                <w:sz w:val="3"/>
                <w:szCs w:val="3"/>
                <w:color w:val="auto"/>
              </w:rPr>
            </w:pPr>
          </w:p>
        </w:tc>
        <w:tc>
          <w:tcPr>
            <w:tcW w:w="1480" w:type="dxa"/>
            <w:vAlign w:val="bottom"/>
            <w:tcBorders>
              <w:bottom w:val="single" w:sz="8" w:color="98BDE2"/>
            </w:tcBorders>
          </w:tcPr>
          <w:p>
            <w:pPr>
              <w:spacing w:after="0"/>
              <w:rPr>
                <w:sz w:val="3"/>
                <w:szCs w:val="3"/>
                <w:color w:val="auto"/>
              </w:rPr>
            </w:pPr>
          </w:p>
        </w:tc>
        <w:tc>
          <w:tcPr>
            <w:tcW w:w="5040" w:type="dxa"/>
            <w:vAlign w:val="bottom"/>
            <w:tcBorders>
              <w:bottom w:val="single" w:sz="8" w:color="98BDE2"/>
            </w:tcBorders>
          </w:tcPr>
          <w:p>
            <w:pPr>
              <w:spacing w:after="0"/>
              <w:rPr>
                <w:sz w:val="3"/>
                <w:szCs w:val="3"/>
                <w:color w:val="auto"/>
              </w:rPr>
            </w:pPr>
          </w:p>
        </w:tc>
      </w:tr>
      <w:tr>
        <w:trPr>
          <w:trHeight w:val="267"/>
        </w:trPr>
        <w:tc>
          <w:tcPr>
            <w:tcW w:w="580" w:type="dxa"/>
            <w:vAlign w:val="bottom"/>
          </w:tcPr>
          <w:p>
            <w:pPr>
              <w:ind w:left="280"/>
              <w:spacing w:after="0"/>
              <w:rPr>
                <w:sz w:val="20"/>
                <w:szCs w:val="20"/>
                <w:color w:val="auto"/>
              </w:rPr>
            </w:pPr>
            <w:r>
              <w:rPr>
                <w:rFonts w:ascii="Wingdings" w:cs="Wingdings" w:eastAsia="Wingdings" w:hAnsi="Wingdings"/>
                <w:sz w:val="22"/>
                <w:szCs w:val="22"/>
                <w:b w:val="1"/>
                <w:bCs w:val="1"/>
                <w:color w:val="032E5C"/>
              </w:rPr>
              <w:t>ü</w:t>
            </w:r>
          </w:p>
        </w:tc>
        <w:tc>
          <w:tcPr>
            <w:tcW w:w="4140" w:type="dxa"/>
            <w:vAlign w:val="bottom"/>
          </w:tcPr>
          <w:p>
            <w:pPr>
              <w:ind w:left="140"/>
              <w:spacing w:after="0"/>
              <w:rPr>
                <w:sz w:val="20"/>
                <w:szCs w:val="20"/>
                <w:color w:val="auto"/>
              </w:rPr>
            </w:pPr>
            <w:r>
              <w:rPr>
                <w:rFonts w:ascii="Arial" w:cs="Arial" w:eastAsia="Arial" w:hAnsi="Arial"/>
                <w:sz w:val="16"/>
                <w:szCs w:val="16"/>
                <w:color w:val="032E5C"/>
              </w:rPr>
              <w:t>Use of Tally Sheets</w:t>
            </w:r>
          </w:p>
        </w:tc>
        <w:tc>
          <w:tcPr>
            <w:tcW w:w="1480" w:type="dxa"/>
            <w:vAlign w:val="bottom"/>
          </w:tcPr>
          <w:p>
            <w:pPr>
              <w:spacing w:after="0"/>
              <w:rPr>
                <w:sz w:val="23"/>
                <w:szCs w:val="23"/>
                <w:color w:val="auto"/>
              </w:rPr>
            </w:pPr>
          </w:p>
        </w:tc>
        <w:tc>
          <w:tcPr>
            <w:tcW w:w="5040" w:type="dxa"/>
            <w:vAlign w:val="bottom"/>
          </w:tcPr>
          <w:p>
            <w:pPr>
              <w:spacing w:after="0"/>
              <w:rPr>
                <w:sz w:val="23"/>
                <w:szCs w:val="23"/>
                <w:color w:val="auto"/>
              </w:rPr>
            </w:pPr>
          </w:p>
        </w:tc>
      </w:tr>
      <w:tr>
        <w:trPr>
          <w:trHeight w:val="37"/>
        </w:trPr>
        <w:tc>
          <w:tcPr>
            <w:tcW w:w="580" w:type="dxa"/>
            <w:vAlign w:val="bottom"/>
            <w:tcBorders>
              <w:bottom w:val="single" w:sz="8" w:color="98BDE2"/>
            </w:tcBorders>
          </w:tcPr>
          <w:p>
            <w:pPr>
              <w:spacing w:after="0"/>
              <w:rPr>
                <w:sz w:val="3"/>
                <w:szCs w:val="3"/>
                <w:color w:val="auto"/>
              </w:rPr>
            </w:pPr>
          </w:p>
        </w:tc>
        <w:tc>
          <w:tcPr>
            <w:tcW w:w="4140" w:type="dxa"/>
            <w:vAlign w:val="bottom"/>
            <w:tcBorders>
              <w:bottom w:val="single" w:sz="8" w:color="98BDE2"/>
            </w:tcBorders>
          </w:tcPr>
          <w:p>
            <w:pPr>
              <w:spacing w:after="0"/>
              <w:rPr>
                <w:sz w:val="3"/>
                <w:szCs w:val="3"/>
                <w:color w:val="auto"/>
              </w:rPr>
            </w:pPr>
          </w:p>
        </w:tc>
        <w:tc>
          <w:tcPr>
            <w:tcW w:w="1480" w:type="dxa"/>
            <w:vAlign w:val="bottom"/>
            <w:tcBorders>
              <w:bottom w:val="single" w:sz="8" w:color="98BDE2"/>
            </w:tcBorders>
          </w:tcPr>
          <w:p>
            <w:pPr>
              <w:spacing w:after="0"/>
              <w:rPr>
                <w:sz w:val="3"/>
                <w:szCs w:val="3"/>
                <w:color w:val="auto"/>
              </w:rPr>
            </w:pPr>
          </w:p>
        </w:tc>
        <w:tc>
          <w:tcPr>
            <w:tcW w:w="5040" w:type="dxa"/>
            <w:vAlign w:val="bottom"/>
            <w:tcBorders>
              <w:bottom w:val="single" w:sz="8" w:color="98BDE2"/>
            </w:tcBorders>
          </w:tcPr>
          <w:p>
            <w:pPr>
              <w:spacing w:after="0"/>
              <w:rPr>
                <w:sz w:val="3"/>
                <w:szCs w:val="3"/>
                <w:color w:val="auto"/>
              </w:rPr>
            </w:pPr>
          </w:p>
        </w:tc>
      </w:tr>
      <w:tr>
        <w:trPr>
          <w:trHeight w:val="267"/>
        </w:trPr>
        <w:tc>
          <w:tcPr>
            <w:tcW w:w="580" w:type="dxa"/>
            <w:vAlign w:val="bottom"/>
          </w:tcPr>
          <w:p>
            <w:pPr>
              <w:ind w:left="280"/>
              <w:spacing w:after="0"/>
              <w:rPr>
                <w:sz w:val="20"/>
                <w:szCs w:val="20"/>
                <w:color w:val="auto"/>
              </w:rPr>
            </w:pPr>
            <w:r>
              <w:rPr>
                <w:rFonts w:ascii="Wingdings" w:cs="Wingdings" w:eastAsia="Wingdings" w:hAnsi="Wingdings"/>
                <w:sz w:val="22"/>
                <w:szCs w:val="22"/>
                <w:b w:val="1"/>
                <w:bCs w:val="1"/>
                <w:color w:val="032E5C"/>
              </w:rPr>
              <w:t>ü</w:t>
            </w:r>
          </w:p>
        </w:tc>
        <w:tc>
          <w:tcPr>
            <w:tcW w:w="4140" w:type="dxa"/>
            <w:vAlign w:val="bottom"/>
          </w:tcPr>
          <w:p>
            <w:pPr>
              <w:ind w:left="140"/>
              <w:spacing w:after="0"/>
              <w:rPr>
                <w:sz w:val="20"/>
                <w:szCs w:val="20"/>
                <w:color w:val="auto"/>
              </w:rPr>
            </w:pPr>
            <w:r>
              <w:rPr>
                <w:rFonts w:ascii="Arial" w:cs="Arial" w:eastAsia="Arial" w:hAnsi="Arial"/>
                <w:sz w:val="16"/>
                <w:szCs w:val="16"/>
                <w:color w:val="032E5C"/>
              </w:rPr>
              <w:t>Annual Risk Assessment</w:t>
            </w:r>
          </w:p>
        </w:tc>
        <w:tc>
          <w:tcPr>
            <w:tcW w:w="1480" w:type="dxa"/>
            <w:vAlign w:val="bottom"/>
          </w:tcPr>
          <w:p>
            <w:pPr>
              <w:spacing w:after="0"/>
              <w:rPr>
                <w:sz w:val="23"/>
                <w:szCs w:val="23"/>
                <w:color w:val="auto"/>
              </w:rPr>
            </w:pPr>
          </w:p>
        </w:tc>
        <w:tc>
          <w:tcPr>
            <w:tcW w:w="5040" w:type="dxa"/>
            <w:vAlign w:val="bottom"/>
          </w:tcPr>
          <w:p>
            <w:pPr>
              <w:spacing w:after="0"/>
              <w:rPr>
                <w:sz w:val="23"/>
                <w:szCs w:val="23"/>
                <w:color w:val="auto"/>
              </w:rPr>
            </w:pPr>
          </w:p>
        </w:tc>
      </w:tr>
      <w:tr>
        <w:trPr>
          <w:trHeight w:val="44"/>
        </w:trPr>
        <w:tc>
          <w:tcPr>
            <w:tcW w:w="580" w:type="dxa"/>
            <w:vAlign w:val="bottom"/>
            <w:tcBorders>
              <w:bottom w:val="single" w:sz="8" w:color="3E5C7C"/>
            </w:tcBorders>
          </w:tcPr>
          <w:p>
            <w:pPr>
              <w:spacing w:after="0"/>
              <w:rPr>
                <w:sz w:val="3"/>
                <w:szCs w:val="3"/>
                <w:color w:val="auto"/>
              </w:rPr>
            </w:pPr>
          </w:p>
        </w:tc>
        <w:tc>
          <w:tcPr>
            <w:tcW w:w="4140" w:type="dxa"/>
            <w:vAlign w:val="bottom"/>
            <w:tcBorders>
              <w:bottom w:val="single" w:sz="8" w:color="3E5C7C"/>
            </w:tcBorders>
          </w:tcPr>
          <w:p>
            <w:pPr>
              <w:spacing w:after="0"/>
              <w:rPr>
                <w:sz w:val="3"/>
                <w:szCs w:val="3"/>
                <w:color w:val="auto"/>
              </w:rPr>
            </w:pPr>
          </w:p>
        </w:tc>
        <w:tc>
          <w:tcPr>
            <w:tcW w:w="1480" w:type="dxa"/>
            <w:vAlign w:val="bottom"/>
            <w:tcBorders>
              <w:bottom w:val="single" w:sz="8" w:color="3E5C7C"/>
            </w:tcBorders>
          </w:tcPr>
          <w:p>
            <w:pPr>
              <w:spacing w:after="0"/>
              <w:rPr>
                <w:sz w:val="3"/>
                <w:szCs w:val="3"/>
                <w:color w:val="auto"/>
              </w:rPr>
            </w:pPr>
          </w:p>
        </w:tc>
        <w:tc>
          <w:tcPr>
            <w:tcW w:w="5040" w:type="dxa"/>
            <w:vAlign w:val="bottom"/>
            <w:tcBorders>
              <w:bottom w:val="single" w:sz="8" w:color="3E5C7C"/>
            </w:tcBorders>
          </w:tcPr>
          <w:p>
            <w:pPr>
              <w:spacing w:after="0"/>
              <w:rPr>
                <w:sz w:val="3"/>
                <w:szCs w:val="3"/>
                <w:color w:val="auto"/>
              </w:rPr>
            </w:pPr>
          </w:p>
        </w:tc>
      </w:tr>
    </w:tbl>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40" w:type="dxa"/>
            <w:vAlign w:val="bottom"/>
          </w:tcPr>
          <w:p>
            <w:pPr>
              <w:jc w:val="right"/>
              <w:ind w:right="2259"/>
              <w:spacing w:after="0"/>
              <w:rPr>
                <w:sz w:val="20"/>
                <w:szCs w:val="20"/>
                <w:color w:val="auto"/>
              </w:rPr>
            </w:pPr>
            <w:r>
              <w:rPr>
                <w:rFonts w:ascii="Arial" w:cs="Arial" w:eastAsia="Arial" w:hAnsi="Arial"/>
                <w:sz w:val="16"/>
                <w:szCs w:val="16"/>
                <w:b w:val="1"/>
                <w:bCs w:val="1"/>
                <w:color w:val="032E5C"/>
                <w:w w:val="89"/>
              </w:rPr>
              <w:t>8</w:t>
            </w:r>
          </w:p>
        </w:tc>
        <w:tc>
          <w:tcPr>
            <w:tcW w:w="3960" w:type="dxa"/>
            <w:vAlign w:val="bottom"/>
            <w:vMerge w:val="restart"/>
          </w:tcPr>
          <w:p>
            <w:pPr>
              <w:ind w:left="234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40" w:type="dxa"/>
            <w:vAlign w:val="bottom"/>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13" w:name="page14"/>
    <w:bookmarkEnd w:id="13"/>
    <w:tbl>
      <w:tblPr>
        <w:tblLayout w:type="fixed"/>
        <w:tblInd w:w="20" w:type="dxa"/>
        <w:tblCellMar>
          <w:top w:w="0" w:type="dxa"/>
          <w:left w:w="0" w:type="dxa"/>
          <w:bottom w:w="0" w:type="dxa"/>
          <w:right w:w="0" w:type="dxa"/>
        </w:tblCellMar>
      </w:tblPr>
      <w:tr>
        <w:trPr>
          <w:trHeight w:val="190"/>
        </w:trPr>
        <w:tc>
          <w:tcPr>
            <w:tcW w:w="5520" w:type="dxa"/>
            <w:vAlign w:val="bottom"/>
          </w:tcPr>
          <w:p>
            <w:pPr>
              <w:spacing w:after="0"/>
              <w:rPr>
                <w:sz w:val="20"/>
                <w:szCs w:val="20"/>
                <w:color w:val="auto"/>
              </w:rPr>
            </w:pPr>
            <w:r>
              <w:rPr>
                <w:rFonts w:ascii="Arial" w:cs="Arial" w:eastAsia="Arial" w:hAnsi="Arial"/>
                <w:sz w:val="14"/>
                <w:szCs w:val="14"/>
                <w:color w:val="032E5C"/>
              </w:rPr>
              <w:t>Table of Contents</w:t>
            </w:r>
          </w:p>
        </w:tc>
        <w:tc>
          <w:tcPr>
            <w:tcW w:w="5500" w:type="dxa"/>
            <w:vAlign w:val="bottom"/>
            <w:vMerge w:val="restart"/>
          </w:tcPr>
          <w:p>
            <w:pPr>
              <w:ind w:left="4380"/>
              <w:spacing w:after="0"/>
              <w:rPr>
                <w:sz w:val="20"/>
                <w:szCs w:val="20"/>
                <w:color w:val="auto"/>
              </w:rPr>
            </w:pPr>
            <w:r>
              <w:rPr>
                <w:rFonts w:ascii="Arial" w:cs="Arial" w:eastAsia="Arial" w:hAnsi="Arial"/>
                <w:sz w:val="13"/>
                <w:szCs w:val="13"/>
                <w:b w:val="1"/>
                <w:bCs w:val="1"/>
                <w:color w:val="032E5C"/>
                <w:w w:val="94"/>
              </w:rPr>
              <w:t>PROXY SUMMARY</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5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6380480</wp:posOffset>
            </wp:positionH>
            <wp:positionV relativeFrom="page">
              <wp:posOffset>106045</wp:posOffset>
            </wp:positionV>
            <wp:extent cx="96012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60120" cy="24003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Voting Matters and Board Recommendation</w:t>
      </w:r>
    </w:p>
    <w:p>
      <w:pPr>
        <w:spacing w:after="0" w:line="209"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color w:val="29292B"/>
        </w:rPr>
        <w:t>The following table summarizes the proposals to be considered at the annual meeting and the Board’s voting recommendation with respect to each proposal.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 w:type="dxa"/>
            <w:vAlign w:val="bottom"/>
            <w:shd w:val="clear" w:color="auto" w:fill="98BDE2"/>
          </w:tcPr>
          <w:p>
            <w:pPr>
              <w:spacing w:after="0"/>
              <w:rPr>
                <w:sz w:val="16"/>
                <w:szCs w:val="16"/>
                <w:color w:val="auto"/>
              </w:rPr>
            </w:pPr>
          </w:p>
        </w:tc>
        <w:tc>
          <w:tcPr>
            <w:tcW w:w="7440" w:type="dxa"/>
            <w:vAlign w:val="bottom"/>
            <w:shd w:val="clear" w:color="auto" w:fill="98BDE2"/>
          </w:tcPr>
          <w:p>
            <w:pPr>
              <w:spacing w:after="0"/>
              <w:rPr>
                <w:sz w:val="16"/>
                <w:szCs w:val="16"/>
                <w:color w:val="auto"/>
              </w:rPr>
            </w:pPr>
          </w:p>
        </w:tc>
        <w:tc>
          <w:tcPr>
            <w:tcW w:w="18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w w:val="99"/>
              </w:rPr>
              <w:t>Board Vote</w:t>
            </w:r>
          </w:p>
        </w:tc>
        <w:tc>
          <w:tcPr>
            <w:tcW w:w="140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Page</w:t>
            </w:r>
          </w:p>
        </w:tc>
        <w:tc>
          <w:tcPr>
            <w:tcW w:w="0" w:type="dxa"/>
            <w:vAlign w:val="bottom"/>
          </w:tcPr>
          <w:p>
            <w:pPr>
              <w:spacing w:after="0"/>
              <w:rPr>
                <w:sz w:val="1"/>
                <w:szCs w:val="1"/>
                <w:color w:val="auto"/>
              </w:rPr>
            </w:pPr>
          </w:p>
        </w:tc>
      </w:tr>
      <w:tr>
        <w:trPr>
          <w:trHeight w:val="196"/>
        </w:trPr>
        <w:tc>
          <w:tcPr>
            <w:tcW w:w="8020" w:type="dxa"/>
            <w:vAlign w:val="bottom"/>
            <w:gridSpan w:val="2"/>
            <w:shd w:val="clear" w:color="auto" w:fill="98BDE2"/>
          </w:tcPr>
          <w:p>
            <w:pPr>
              <w:ind w:left="100"/>
              <w:spacing w:after="0"/>
              <w:rPr>
                <w:sz w:val="20"/>
                <w:szCs w:val="20"/>
                <w:color w:val="auto"/>
              </w:rPr>
            </w:pPr>
            <w:r>
              <w:rPr>
                <w:rFonts w:ascii="Arial" w:cs="Arial" w:eastAsia="Arial" w:hAnsi="Arial"/>
                <w:sz w:val="14"/>
                <w:szCs w:val="14"/>
                <w:b w:val="1"/>
                <w:bCs w:val="1"/>
                <w:color w:val="032E5C"/>
              </w:rPr>
              <w:t>Management Proposals</w:t>
            </w:r>
          </w:p>
        </w:tc>
        <w:tc>
          <w:tcPr>
            <w:tcW w:w="18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Recommendation</w:t>
            </w:r>
          </w:p>
        </w:tc>
        <w:tc>
          <w:tcPr>
            <w:tcW w:w="140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Reference</w:t>
            </w:r>
          </w:p>
        </w:tc>
        <w:tc>
          <w:tcPr>
            <w:tcW w:w="0" w:type="dxa"/>
            <w:vAlign w:val="bottom"/>
          </w:tcPr>
          <w:p>
            <w:pPr>
              <w:spacing w:after="0"/>
              <w:rPr>
                <w:sz w:val="1"/>
                <w:szCs w:val="1"/>
                <w:color w:val="auto"/>
              </w:rPr>
            </w:pPr>
          </w:p>
        </w:tc>
      </w:tr>
      <w:tr>
        <w:trPr>
          <w:trHeight w:val="70"/>
        </w:trPr>
        <w:tc>
          <w:tcPr>
            <w:tcW w:w="580" w:type="dxa"/>
            <w:vAlign w:val="bottom"/>
            <w:shd w:val="clear" w:color="auto" w:fill="98BDE2"/>
          </w:tcPr>
          <w:p>
            <w:pPr>
              <w:spacing w:after="0"/>
              <w:rPr>
                <w:sz w:val="6"/>
                <w:szCs w:val="6"/>
                <w:color w:val="auto"/>
              </w:rPr>
            </w:pPr>
          </w:p>
        </w:tc>
        <w:tc>
          <w:tcPr>
            <w:tcW w:w="7440" w:type="dxa"/>
            <w:vAlign w:val="bottom"/>
            <w:shd w:val="clear" w:color="auto" w:fill="98BDE2"/>
          </w:tcPr>
          <w:p>
            <w:pPr>
              <w:spacing w:after="0"/>
              <w:rPr>
                <w:sz w:val="6"/>
                <w:szCs w:val="6"/>
                <w:color w:val="auto"/>
              </w:rPr>
            </w:pPr>
          </w:p>
        </w:tc>
        <w:tc>
          <w:tcPr>
            <w:tcW w:w="1820" w:type="dxa"/>
            <w:vAlign w:val="bottom"/>
            <w:shd w:val="clear" w:color="auto" w:fill="98BDE2"/>
          </w:tcPr>
          <w:p>
            <w:pPr>
              <w:spacing w:after="0"/>
              <w:rPr>
                <w:sz w:val="6"/>
                <w:szCs w:val="6"/>
                <w:color w:val="auto"/>
              </w:rPr>
            </w:pPr>
          </w:p>
        </w:tc>
        <w:tc>
          <w:tcPr>
            <w:tcW w:w="140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580" w:type="dxa"/>
            <w:vAlign w:val="bottom"/>
            <w:vMerge w:val="restart"/>
          </w:tcPr>
          <w:p>
            <w:pPr>
              <w:jc w:val="right"/>
              <w:ind w:right="10"/>
              <w:spacing w:after="0"/>
              <w:rPr>
                <w:sz w:val="20"/>
                <w:szCs w:val="20"/>
                <w:color w:val="auto"/>
              </w:rPr>
            </w:pPr>
            <w:r>
              <w:rPr>
                <w:rFonts w:ascii="Arial" w:cs="Arial" w:eastAsia="Arial" w:hAnsi="Arial"/>
                <w:sz w:val="29"/>
                <w:szCs w:val="29"/>
                <w:b w:val="1"/>
                <w:bCs w:val="1"/>
                <w:color w:val="032E5C"/>
              </w:rPr>
              <w:t>1</w:t>
            </w:r>
          </w:p>
        </w:tc>
        <w:tc>
          <w:tcPr>
            <w:tcW w:w="7440" w:type="dxa"/>
            <w:vAlign w:val="bottom"/>
          </w:tcPr>
          <w:p>
            <w:pPr>
              <w:ind w:left="140"/>
              <w:spacing w:after="0"/>
              <w:rPr>
                <w:sz w:val="20"/>
                <w:szCs w:val="20"/>
                <w:color w:val="auto"/>
              </w:rPr>
            </w:pPr>
            <w:r>
              <w:rPr>
                <w:rFonts w:ascii="Arial" w:cs="Arial" w:eastAsia="Arial" w:hAnsi="Arial"/>
                <w:sz w:val="16"/>
                <w:szCs w:val="16"/>
                <w:color w:val="032E5C"/>
              </w:rPr>
              <w:t>Election of the twelve directors named in this proxy statement, each for a one-year term expiring in</w:t>
            </w:r>
          </w:p>
        </w:tc>
        <w:tc>
          <w:tcPr>
            <w:tcW w:w="1820" w:type="dxa"/>
            <w:vAlign w:val="bottom"/>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FOR EACH</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032E5C"/>
                <w:w w:val="89"/>
              </w:rPr>
              <w:t>11</w:t>
            </w:r>
          </w:p>
        </w:tc>
        <w:tc>
          <w:tcPr>
            <w:tcW w:w="0" w:type="dxa"/>
            <w:vAlign w:val="bottom"/>
          </w:tcPr>
          <w:p>
            <w:pPr>
              <w:spacing w:after="0"/>
              <w:rPr>
                <w:sz w:val="1"/>
                <w:szCs w:val="1"/>
                <w:color w:val="auto"/>
              </w:rPr>
            </w:pPr>
          </w:p>
        </w:tc>
      </w:tr>
      <w:tr>
        <w:trPr>
          <w:trHeight w:val="69"/>
        </w:trPr>
        <w:tc>
          <w:tcPr>
            <w:tcW w:w="580" w:type="dxa"/>
            <w:vAlign w:val="bottom"/>
            <w:vMerge w:val="continue"/>
          </w:tcPr>
          <w:p>
            <w:pPr>
              <w:spacing w:after="0"/>
              <w:rPr>
                <w:sz w:val="5"/>
                <w:szCs w:val="5"/>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color w:val="032E5C"/>
              </w:rPr>
              <w:t>2025</w:t>
            </w:r>
          </w:p>
        </w:tc>
        <w:tc>
          <w:tcPr>
            <w:tcW w:w="1820" w:type="dxa"/>
            <w:vAlign w:val="bottom"/>
            <w:vMerge w:val="continue"/>
            <w:shd w:val="clear" w:color="auto" w:fill="F3EFE9"/>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7440" w:type="dxa"/>
            <w:vAlign w:val="bottom"/>
            <w:vMerge w:val="continue"/>
          </w:tcPr>
          <w:p>
            <w:pPr>
              <w:spacing w:after="0"/>
              <w:rPr>
                <w:sz w:val="19"/>
                <w:szCs w:val="19"/>
                <w:color w:val="auto"/>
              </w:rPr>
            </w:pPr>
          </w:p>
        </w:tc>
        <w:tc>
          <w:tcPr>
            <w:tcW w:w="1820" w:type="dxa"/>
            <w:vAlign w:val="bottom"/>
            <w:shd w:val="clear" w:color="auto" w:fill="F3EFE9"/>
          </w:tcPr>
          <w:p>
            <w:pPr>
              <w:jc w:val="center"/>
              <w:spacing w:after="0"/>
              <w:rPr>
                <w:sz w:val="20"/>
                <w:szCs w:val="20"/>
                <w:color w:val="auto"/>
              </w:rPr>
            </w:pPr>
            <w:r>
              <w:rPr>
                <w:rFonts w:ascii="Arial" w:cs="Arial" w:eastAsia="Arial" w:hAnsi="Arial"/>
                <w:sz w:val="16"/>
                <w:szCs w:val="16"/>
                <w:b w:val="1"/>
                <w:bCs w:val="1"/>
                <w:color w:val="032E5C"/>
                <w:w w:val="99"/>
              </w:rPr>
              <w:t>NOMINEE</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8BDE2"/>
            </w:tcBorders>
          </w:tcPr>
          <w:p>
            <w:pPr>
              <w:spacing w:after="0"/>
              <w:rPr>
                <w:sz w:val="7"/>
                <w:szCs w:val="7"/>
                <w:color w:val="auto"/>
              </w:rPr>
            </w:pPr>
          </w:p>
        </w:tc>
        <w:tc>
          <w:tcPr>
            <w:tcW w:w="7440" w:type="dxa"/>
            <w:vAlign w:val="bottom"/>
            <w:tcBorders>
              <w:bottom w:val="single" w:sz="8" w:color="98BDE2"/>
            </w:tcBorders>
          </w:tcPr>
          <w:p>
            <w:pPr>
              <w:spacing w:after="0"/>
              <w:rPr>
                <w:sz w:val="7"/>
                <w:szCs w:val="7"/>
                <w:color w:val="auto"/>
              </w:rPr>
            </w:pPr>
          </w:p>
        </w:tc>
        <w:tc>
          <w:tcPr>
            <w:tcW w:w="1820" w:type="dxa"/>
            <w:vAlign w:val="bottom"/>
            <w:tcBorders>
              <w:bottom w:val="single" w:sz="8" w:color="98BDE2"/>
            </w:tcBorders>
            <w:shd w:val="clear" w:color="auto" w:fill="F3EFE9"/>
          </w:tcPr>
          <w:p>
            <w:pPr>
              <w:spacing w:after="0"/>
              <w:rPr>
                <w:sz w:val="7"/>
                <w:szCs w:val="7"/>
                <w:color w:val="auto"/>
              </w:rPr>
            </w:pPr>
          </w:p>
        </w:tc>
        <w:tc>
          <w:tcPr>
            <w:tcW w:w="140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80" w:type="dxa"/>
            <w:vAlign w:val="bottom"/>
            <w:vMerge w:val="restart"/>
          </w:tcPr>
          <w:p>
            <w:pPr>
              <w:jc w:val="right"/>
              <w:ind w:right="10"/>
              <w:spacing w:after="0"/>
              <w:rPr>
                <w:sz w:val="20"/>
                <w:szCs w:val="20"/>
                <w:color w:val="auto"/>
              </w:rPr>
            </w:pPr>
            <w:r>
              <w:rPr>
                <w:rFonts w:ascii="Arial" w:cs="Arial" w:eastAsia="Arial" w:hAnsi="Arial"/>
                <w:sz w:val="29"/>
                <w:szCs w:val="29"/>
                <w:b w:val="1"/>
                <w:bCs w:val="1"/>
                <w:color w:val="032E5C"/>
              </w:rPr>
              <w:t>2</w:t>
            </w:r>
          </w:p>
        </w:tc>
        <w:tc>
          <w:tcPr>
            <w:tcW w:w="7440" w:type="dxa"/>
            <w:vAlign w:val="bottom"/>
          </w:tcPr>
          <w:p>
            <w:pPr>
              <w:ind w:left="140"/>
              <w:spacing w:after="0"/>
              <w:rPr>
                <w:sz w:val="20"/>
                <w:szCs w:val="20"/>
                <w:color w:val="auto"/>
              </w:rPr>
            </w:pPr>
            <w:r>
              <w:rPr>
                <w:rFonts w:ascii="Arial" w:cs="Arial" w:eastAsia="Arial" w:hAnsi="Arial"/>
                <w:sz w:val="16"/>
                <w:szCs w:val="16"/>
                <w:color w:val="032E5C"/>
              </w:rPr>
              <w:t>Ratification of PricewaterhouseCoopers LLP as independent registered public accounting firm for</w:t>
            </w:r>
          </w:p>
        </w:tc>
        <w:tc>
          <w:tcPr>
            <w:tcW w:w="1820" w:type="dxa"/>
            <w:vAlign w:val="bottom"/>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FOR</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032E5C"/>
              </w:rPr>
              <w:t>80</w:t>
            </w:r>
          </w:p>
        </w:tc>
        <w:tc>
          <w:tcPr>
            <w:tcW w:w="0" w:type="dxa"/>
            <w:vAlign w:val="bottom"/>
          </w:tcPr>
          <w:p>
            <w:pPr>
              <w:spacing w:after="0"/>
              <w:rPr>
                <w:sz w:val="1"/>
                <w:szCs w:val="1"/>
                <w:color w:val="auto"/>
              </w:rPr>
            </w:pPr>
          </w:p>
        </w:tc>
      </w:tr>
      <w:tr>
        <w:trPr>
          <w:trHeight w:val="94"/>
        </w:trPr>
        <w:tc>
          <w:tcPr>
            <w:tcW w:w="580" w:type="dxa"/>
            <w:vAlign w:val="bottom"/>
            <w:vMerge w:val="continue"/>
          </w:tcPr>
          <w:p>
            <w:pPr>
              <w:spacing w:after="0"/>
              <w:rPr>
                <w:sz w:val="8"/>
                <w:szCs w:val="8"/>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color w:val="032E5C"/>
              </w:rPr>
              <w:t>fiscal 2025</w:t>
            </w:r>
          </w:p>
        </w:tc>
        <w:tc>
          <w:tcPr>
            <w:tcW w:w="1820" w:type="dxa"/>
            <w:vAlign w:val="bottom"/>
            <w:vMerge w:val="continue"/>
            <w:shd w:val="clear" w:color="auto" w:fill="F3EFE9"/>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80" w:type="dxa"/>
            <w:vAlign w:val="bottom"/>
            <w:vMerge w:val="continue"/>
          </w:tcPr>
          <w:p>
            <w:pPr>
              <w:spacing w:after="0"/>
              <w:rPr>
                <w:sz w:val="14"/>
                <w:szCs w:val="14"/>
                <w:color w:val="auto"/>
              </w:rPr>
            </w:pPr>
          </w:p>
        </w:tc>
        <w:tc>
          <w:tcPr>
            <w:tcW w:w="7440" w:type="dxa"/>
            <w:vAlign w:val="bottom"/>
            <w:vMerge w:val="continue"/>
          </w:tcPr>
          <w:p>
            <w:pPr>
              <w:spacing w:after="0"/>
              <w:rPr>
                <w:sz w:val="14"/>
                <w:szCs w:val="14"/>
                <w:color w:val="auto"/>
              </w:rPr>
            </w:pPr>
          </w:p>
        </w:tc>
        <w:tc>
          <w:tcPr>
            <w:tcW w:w="1820" w:type="dxa"/>
            <w:vAlign w:val="bottom"/>
            <w:vMerge w:val="continue"/>
            <w:shd w:val="clear" w:color="auto" w:fill="F3EFE9"/>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80" w:type="dxa"/>
            <w:vAlign w:val="bottom"/>
            <w:tcBorders>
              <w:bottom w:val="single" w:sz="8" w:color="98BDE2"/>
            </w:tcBorders>
          </w:tcPr>
          <w:p>
            <w:pPr>
              <w:spacing w:after="0"/>
              <w:rPr>
                <w:sz w:val="10"/>
                <w:szCs w:val="10"/>
                <w:color w:val="auto"/>
              </w:rPr>
            </w:pPr>
          </w:p>
        </w:tc>
        <w:tc>
          <w:tcPr>
            <w:tcW w:w="7440" w:type="dxa"/>
            <w:vAlign w:val="bottom"/>
            <w:tcBorders>
              <w:bottom w:val="single" w:sz="8" w:color="98BDE2"/>
            </w:tcBorders>
          </w:tcPr>
          <w:p>
            <w:pPr>
              <w:spacing w:after="0"/>
              <w:rPr>
                <w:sz w:val="10"/>
                <w:szCs w:val="10"/>
                <w:color w:val="auto"/>
              </w:rPr>
            </w:pPr>
          </w:p>
        </w:tc>
        <w:tc>
          <w:tcPr>
            <w:tcW w:w="1820" w:type="dxa"/>
            <w:vAlign w:val="bottom"/>
            <w:tcBorders>
              <w:bottom w:val="single" w:sz="8" w:color="98BDE2"/>
            </w:tcBorders>
            <w:shd w:val="clear" w:color="auto" w:fill="F3EFE9"/>
          </w:tcPr>
          <w:p>
            <w:pPr>
              <w:spacing w:after="0"/>
              <w:rPr>
                <w:sz w:val="10"/>
                <w:szCs w:val="10"/>
                <w:color w:val="auto"/>
              </w:rPr>
            </w:pPr>
          </w:p>
        </w:tc>
        <w:tc>
          <w:tcPr>
            <w:tcW w:w="1400" w:type="dxa"/>
            <w:vAlign w:val="bottom"/>
            <w:tcBorders>
              <w:bottom w:val="single" w:sz="8" w:color="98BDE2"/>
            </w:tcBorders>
          </w:tcPr>
          <w:p>
            <w:pPr>
              <w:spacing w:after="0"/>
              <w:rPr>
                <w:sz w:val="10"/>
                <w:szCs w:val="10"/>
                <w:color w:val="auto"/>
              </w:rPr>
            </w:pPr>
          </w:p>
        </w:tc>
        <w:tc>
          <w:tcPr>
            <w:tcW w:w="0" w:type="dxa"/>
            <w:vAlign w:val="bottom"/>
          </w:tcPr>
          <w:p>
            <w:pPr>
              <w:spacing w:after="0"/>
              <w:rPr>
                <w:sz w:val="1"/>
                <w:szCs w:val="1"/>
                <w:color w:val="auto"/>
              </w:rPr>
            </w:pPr>
          </w:p>
        </w:tc>
      </w:tr>
      <w:tr>
        <w:trPr>
          <w:trHeight w:val="394"/>
        </w:trPr>
        <w:tc>
          <w:tcPr>
            <w:tcW w:w="580" w:type="dxa"/>
            <w:vAlign w:val="bottom"/>
            <w:tcBorders>
              <w:bottom w:val="single" w:sz="8" w:color="98BDE2"/>
            </w:tcBorders>
          </w:tcPr>
          <w:p>
            <w:pPr>
              <w:jc w:val="right"/>
              <w:ind w:right="10"/>
              <w:spacing w:after="0"/>
              <w:rPr>
                <w:sz w:val="20"/>
                <w:szCs w:val="20"/>
                <w:color w:val="auto"/>
              </w:rPr>
            </w:pPr>
            <w:r>
              <w:rPr>
                <w:rFonts w:ascii="Arial" w:cs="Arial" w:eastAsia="Arial" w:hAnsi="Arial"/>
                <w:sz w:val="29"/>
                <w:szCs w:val="29"/>
                <w:b w:val="1"/>
                <w:bCs w:val="1"/>
                <w:color w:val="032E5C"/>
              </w:rPr>
              <w:t>3</w:t>
            </w:r>
          </w:p>
        </w:tc>
        <w:tc>
          <w:tcPr>
            <w:tcW w:w="7440" w:type="dxa"/>
            <w:vAlign w:val="bottom"/>
            <w:tcBorders>
              <w:bottom w:val="single" w:sz="8" w:color="98BDE2"/>
            </w:tcBorders>
          </w:tcPr>
          <w:p>
            <w:pPr>
              <w:ind w:left="140"/>
              <w:spacing w:after="0"/>
              <w:rPr>
                <w:sz w:val="20"/>
                <w:szCs w:val="20"/>
                <w:color w:val="auto"/>
              </w:rPr>
            </w:pPr>
            <w:r>
              <w:rPr>
                <w:rFonts w:ascii="Arial" w:cs="Arial" w:eastAsia="Arial" w:hAnsi="Arial"/>
                <w:sz w:val="16"/>
                <w:szCs w:val="16"/>
                <w:color w:val="032E5C"/>
              </w:rPr>
              <w:t>Advisory vote to approve executive compensation</w:t>
            </w:r>
          </w:p>
        </w:tc>
        <w:tc>
          <w:tcPr>
            <w:tcW w:w="1820" w:type="dxa"/>
            <w:vAlign w:val="bottom"/>
            <w:tcBorders>
              <w:bottom w:val="single" w:sz="8" w:color="98BDE2"/>
            </w:tcBorders>
            <w:shd w:val="clear" w:color="auto" w:fill="F3EFE9"/>
          </w:tcPr>
          <w:p>
            <w:pPr>
              <w:jc w:val="center"/>
              <w:spacing w:after="0"/>
              <w:rPr>
                <w:sz w:val="20"/>
                <w:szCs w:val="20"/>
                <w:color w:val="auto"/>
              </w:rPr>
            </w:pPr>
            <w:r>
              <w:rPr>
                <w:rFonts w:ascii="Arial" w:cs="Arial" w:eastAsia="Arial" w:hAnsi="Arial"/>
                <w:sz w:val="16"/>
                <w:szCs w:val="16"/>
                <w:b w:val="1"/>
                <w:bCs w:val="1"/>
                <w:color w:val="032E5C"/>
              </w:rPr>
              <w:t>FOR</w:t>
            </w:r>
          </w:p>
        </w:tc>
        <w:tc>
          <w:tcPr>
            <w:tcW w:w="1400" w:type="dxa"/>
            <w:vAlign w:val="bottom"/>
            <w:tcBorders>
              <w:bottom w:val="single" w:sz="8" w:color="98BDE2"/>
            </w:tcBorders>
          </w:tcPr>
          <w:p>
            <w:pPr>
              <w:jc w:val="center"/>
              <w:spacing w:after="0"/>
              <w:rPr>
                <w:sz w:val="20"/>
                <w:szCs w:val="20"/>
                <w:color w:val="auto"/>
              </w:rPr>
            </w:pPr>
            <w:r>
              <w:rPr>
                <w:rFonts w:ascii="Arial" w:cs="Arial" w:eastAsia="Arial" w:hAnsi="Arial"/>
                <w:sz w:val="16"/>
                <w:szCs w:val="16"/>
                <w:color w:val="032E5C"/>
              </w:rPr>
              <w:t>82</w:t>
            </w:r>
          </w:p>
        </w:tc>
        <w:tc>
          <w:tcPr>
            <w:tcW w:w="0" w:type="dxa"/>
            <w:vAlign w:val="bottom"/>
          </w:tcPr>
          <w:p>
            <w:pPr>
              <w:spacing w:after="0"/>
              <w:rPr>
                <w:sz w:val="1"/>
                <w:szCs w:val="1"/>
                <w:color w:val="auto"/>
              </w:rPr>
            </w:pPr>
          </w:p>
        </w:tc>
      </w:tr>
      <w:tr>
        <w:trPr>
          <w:trHeight w:val="410"/>
        </w:trPr>
        <w:tc>
          <w:tcPr>
            <w:tcW w:w="580" w:type="dxa"/>
            <w:vAlign w:val="bottom"/>
            <w:tcBorders>
              <w:bottom w:val="single" w:sz="8" w:color="3E5C7C"/>
            </w:tcBorders>
          </w:tcPr>
          <w:p>
            <w:pPr>
              <w:jc w:val="right"/>
              <w:ind w:right="10"/>
              <w:spacing w:after="0"/>
              <w:rPr>
                <w:sz w:val="20"/>
                <w:szCs w:val="20"/>
                <w:color w:val="auto"/>
              </w:rPr>
            </w:pPr>
            <w:r>
              <w:rPr>
                <w:rFonts w:ascii="Arial" w:cs="Arial" w:eastAsia="Arial" w:hAnsi="Arial"/>
                <w:sz w:val="29"/>
                <w:szCs w:val="29"/>
                <w:b w:val="1"/>
                <w:bCs w:val="1"/>
                <w:color w:val="032E5C"/>
              </w:rPr>
              <w:t>4</w:t>
            </w:r>
          </w:p>
        </w:tc>
        <w:tc>
          <w:tcPr>
            <w:tcW w:w="7440" w:type="dxa"/>
            <w:vAlign w:val="bottom"/>
            <w:tcBorders>
              <w:bottom w:val="single" w:sz="8" w:color="3E5C7C"/>
            </w:tcBorders>
          </w:tcPr>
          <w:p>
            <w:pPr>
              <w:ind w:left="140"/>
              <w:spacing w:after="0"/>
              <w:rPr>
                <w:sz w:val="20"/>
                <w:szCs w:val="20"/>
                <w:color w:val="auto"/>
              </w:rPr>
            </w:pPr>
            <w:r>
              <w:rPr>
                <w:rFonts w:ascii="Arial" w:cs="Arial" w:eastAsia="Arial" w:hAnsi="Arial"/>
                <w:sz w:val="16"/>
                <w:szCs w:val="16"/>
                <w:color w:val="032E5C"/>
              </w:rPr>
              <w:t>Vote to approve the Vail Resorts, Inc. 2024 Omnibus Incentive Plan</w:t>
            </w:r>
          </w:p>
        </w:tc>
        <w:tc>
          <w:tcPr>
            <w:tcW w:w="1820" w:type="dxa"/>
            <w:vAlign w:val="bottom"/>
            <w:tcBorders>
              <w:bottom w:val="single" w:sz="8" w:color="3E5C7C"/>
            </w:tcBorders>
            <w:shd w:val="clear" w:color="auto" w:fill="F3EFE9"/>
          </w:tcPr>
          <w:p>
            <w:pPr>
              <w:jc w:val="center"/>
              <w:spacing w:after="0"/>
              <w:rPr>
                <w:sz w:val="20"/>
                <w:szCs w:val="20"/>
                <w:color w:val="auto"/>
              </w:rPr>
            </w:pPr>
            <w:r>
              <w:rPr>
                <w:rFonts w:ascii="Arial" w:cs="Arial" w:eastAsia="Arial" w:hAnsi="Arial"/>
                <w:sz w:val="16"/>
                <w:szCs w:val="16"/>
                <w:b w:val="1"/>
                <w:bCs w:val="1"/>
                <w:color w:val="032E5C"/>
              </w:rPr>
              <w:t>FOR</w:t>
            </w:r>
          </w:p>
        </w:tc>
        <w:tc>
          <w:tcPr>
            <w:tcW w:w="1400" w:type="dxa"/>
            <w:vAlign w:val="bottom"/>
            <w:tcBorders>
              <w:bottom w:val="single" w:sz="8" w:color="3E5C7C"/>
            </w:tcBorders>
          </w:tcPr>
          <w:p>
            <w:pPr>
              <w:jc w:val="center"/>
              <w:spacing w:after="0"/>
              <w:rPr>
                <w:sz w:val="20"/>
                <w:szCs w:val="20"/>
                <w:color w:val="auto"/>
              </w:rPr>
            </w:pPr>
            <w:r>
              <w:rPr>
                <w:rFonts w:ascii="Arial" w:cs="Arial" w:eastAsia="Arial" w:hAnsi="Arial"/>
                <w:sz w:val="16"/>
                <w:szCs w:val="16"/>
                <w:color w:val="032E5C"/>
              </w:rPr>
              <w:t>83</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Election of Directors (Proposal No. 1)</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 xml:space="preserve">We are asking stockholders to elect each of our nominees for the Board named in this proxy statement. </w:t>
      </w:r>
      <w:r>
        <w:rPr>
          <w:rFonts w:ascii="Arial" w:cs="Arial" w:eastAsia="Arial" w:hAnsi="Arial"/>
          <w:sz w:val="16"/>
          <w:szCs w:val="16"/>
          <w:b w:val="1"/>
          <w:bCs w:val="1"/>
          <w:color w:val="29292B"/>
        </w:rPr>
        <w:t>Our nominees are: Reginald Chambers, Susan L.</w:t>
      </w:r>
    </w:p>
    <w:p>
      <w:pPr>
        <w:spacing w:after="0" w:line="46" w:lineRule="exact"/>
        <w:rPr>
          <w:sz w:val="20"/>
          <w:szCs w:val="20"/>
          <w:color w:val="auto"/>
        </w:rPr>
      </w:pPr>
    </w:p>
    <w:p>
      <w:pPr>
        <w:jc w:val="both"/>
        <w:ind w:right="520"/>
        <w:spacing w:after="0" w:line="319" w:lineRule="auto"/>
        <w:rPr>
          <w:sz w:val="20"/>
          <w:szCs w:val="20"/>
          <w:color w:val="auto"/>
        </w:rPr>
      </w:pPr>
      <w:r>
        <w:rPr>
          <w:rFonts w:ascii="Arial" w:cs="Arial" w:eastAsia="Arial" w:hAnsi="Arial"/>
          <w:sz w:val="16"/>
          <w:szCs w:val="16"/>
          <w:b w:val="1"/>
          <w:bCs w:val="1"/>
          <w:color w:val="29292B"/>
        </w:rPr>
        <w:t xml:space="preserve">Decker, Robert A. Katz, Iris Knobloch, Kirsten A. Lynch, Nadia N. Rawlinson, John Redmond, Michele Romanow, Hilary Schneider, D. Bruce Sewell, John F. Sorte, and Peter A. Vaughn. </w:t>
      </w:r>
      <w:r>
        <w:rPr>
          <w:rFonts w:ascii="Arial" w:cs="Arial" w:eastAsia="Arial" w:hAnsi="Arial"/>
          <w:sz w:val="16"/>
          <w:szCs w:val="16"/>
          <w:color w:val="29292B"/>
        </w:rPr>
        <w:t>If elected, each director nominee will serve as a director for a one-year term that expires in at the 2025</w:t>
      </w:r>
      <w:r>
        <w:rPr>
          <w:rFonts w:ascii="Arial" w:cs="Arial" w:eastAsia="Arial" w:hAnsi="Arial"/>
          <w:sz w:val="16"/>
          <w:szCs w:val="16"/>
          <w:b w:val="1"/>
          <w:bCs w:val="1"/>
          <w:color w:val="29292B"/>
        </w:rPr>
        <w:t xml:space="preserve"> </w:t>
      </w:r>
      <w:r>
        <w:rPr>
          <w:rFonts w:ascii="Arial" w:cs="Arial" w:eastAsia="Arial" w:hAnsi="Arial"/>
          <w:sz w:val="16"/>
          <w:szCs w:val="16"/>
          <w:color w:val="29292B"/>
        </w:rPr>
        <w:t>Annual Meeting of Stockholders.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Ratification of PricewaterhouseCoopers LLP as Independent Auditor (Proposal No. 2)</w:t>
      </w:r>
    </w:p>
    <w:p>
      <w:pPr>
        <w:spacing w:after="0" w:line="139"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29292B"/>
        </w:rPr>
        <w:t>We are asking stockholders to ratify the appointment of PricewaterhouseCoopers LLP as independent registered public accounting firm for fiscal 2025. The Audit Committee has selected, and the Board has ratified the selection of, PricewaterhouseCoopers LLP to serve as our independent registered public accounting firm for fiscal 2025. Set forth below is information about its fees in fiscal 2024 and fiscal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60" w:type="dxa"/>
            <w:vAlign w:val="bottom"/>
            <w:shd w:val="clear" w:color="auto" w:fill="98BDE2"/>
          </w:tcPr>
          <w:p>
            <w:pPr>
              <w:spacing w:after="0"/>
              <w:rPr>
                <w:sz w:val="16"/>
                <w:szCs w:val="16"/>
                <w:color w:val="auto"/>
              </w:rPr>
            </w:pPr>
          </w:p>
        </w:tc>
        <w:tc>
          <w:tcPr>
            <w:tcW w:w="5080" w:type="dxa"/>
            <w:vAlign w:val="bottom"/>
            <w:shd w:val="clear" w:color="auto" w:fill="98BDE2"/>
          </w:tcPr>
          <w:p>
            <w:pPr>
              <w:jc w:val="right"/>
              <w:ind w:right="808"/>
              <w:spacing w:after="0"/>
              <w:rPr>
                <w:sz w:val="20"/>
                <w:szCs w:val="20"/>
                <w:color w:val="auto"/>
              </w:rPr>
            </w:pPr>
            <w:r>
              <w:rPr>
                <w:rFonts w:ascii="Arial" w:cs="Arial" w:eastAsia="Arial" w:hAnsi="Arial"/>
                <w:sz w:val="14"/>
                <w:szCs w:val="14"/>
                <w:b w:val="1"/>
                <w:bCs w:val="1"/>
                <w:color w:val="032E5C"/>
              </w:rPr>
              <w:t>2024</w:t>
            </w:r>
          </w:p>
        </w:tc>
        <w:tc>
          <w:tcPr>
            <w:tcW w:w="17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2023</w:t>
            </w:r>
          </w:p>
        </w:tc>
      </w:tr>
      <w:tr>
        <w:trPr>
          <w:trHeight w:val="196"/>
        </w:trPr>
        <w:tc>
          <w:tcPr>
            <w:tcW w:w="446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Type of fees</w:t>
            </w:r>
          </w:p>
        </w:tc>
        <w:tc>
          <w:tcPr>
            <w:tcW w:w="5080" w:type="dxa"/>
            <w:vAlign w:val="bottom"/>
            <w:shd w:val="clear" w:color="auto" w:fill="98BDE2"/>
          </w:tcPr>
          <w:p>
            <w:pPr>
              <w:jc w:val="right"/>
              <w:ind w:right="808"/>
              <w:spacing w:after="0"/>
              <w:rPr>
                <w:sz w:val="20"/>
                <w:szCs w:val="20"/>
                <w:color w:val="auto"/>
              </w:rPr>
            </w:pPr>
            <w:r>
              <w:rPr>
                <w:rFonts w:ascii="Arial" w:cs="Arial" w:eastAsia="Arial" w:hAnsi="Arial"/>
                <w:sz w:val="14"/>
                <w:szCs w:val="14"/>
                <w:b w:val="1"/>
                <w:bCs w:val="1"/>
                <w:color w:val="032E5C"/>
              </w:rPr>
              <w:t>($)</w:t>
            </w:r>
          </w:p>
        </w:tc>
        <w:tc>
          <w:tcPr>
            <w:tcW w:w="17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r>
      <w:tr>
        <w:trPr>
          <w:trHeight w:val="70"/>
        </w:trPr>
        <w:tc>
          <w:tcPr>
            <w:tcW w:w="4460" w:type="dxa"/>
            <w:vAlign w:val="bottom"/>
            <w:shd w:val="clear" w:color="auto" w:fill="98BDE2"/>
          </w:tcPr>
          <w:p>
            <w:pPr>
              <w:spacing w:after="0"/>
              <w:rPr>
                <w:sz w:val="6"/>
                <w:szCs w:val="6"/>
                <w:color w:val="auto"/>
              </w:rPr>
            </w:pPr>
          </w:p>
        </w:tc>
        <w:tc>
          <w:tcPr>
            <w:tcW w:w="5080" w:type="dxa"/>
            <w:vAlign w:val="bottom"/>
            <w:shd w:val="clear" w:color="auto" w:fill="98BDE2"/>
          </w:tcPr>
          <w:p>
            <w:pPr>
              <w:spacing w:after="0"/>
              <w:rPr>
                <w:sz w:val="6"/>
                <w:szCs w:val="6"/>
                <w:color w:val="auto"/>
              </w:rPr>
            </w:pPr>
          </w:p>
        </w:tc>
        <w:tc>
          <w:tcPr>
            <w:tcW w:w="1700" w:type="dxa"/>
            <w:vAlign w:val="bottom"/>
            <w:shd w:val="clear" w:color="auto" w:fill="98BDE2"/>
          </w:tcPr>
          <w:p>
            <w:pPr>
              <w:spacing w:after="0"/>
              <w:rPr>
                <w:sz w:val="6"/>
                <w:szCs w:val="6"/>
                <w:color w:val="auto"/>
              </w:rPr>
            </w:pPr>
          </w:p>
        </w:tc>
      </w:tr>
      <w:tr>
        <w:trPr>
          <w:trHeight w:val="208"/>
        </w:trPr>
        <w:tc>
          <w:tcPr>
            <w:tcW w:w="4460" w:type="dxa"/>
            <w:vAlign w:val="bottom"/>
          </w:tcPr>
          <w:p>
            <w:pPr>
              <w:ind w:left="100"/>
              <w:spacing w:after="0"/>
              <w:rPr>
                <w:sz w:val="20"/>
                <w:szCs w:val="20"/>
                <w:color w:val="auto"/>
              </w:rPr>
            </w:pPr>
            <w:r>
              <w:rPr>
                <w:rFonts w:ascii="Arial" w:cs="Arial" w:eastAsia="Arial" w:hAnsi="Arial"/>
                <w:sz w:val="14"/>
                <w:szCs w:val="14"/>
                <w:color w:val="032E5C"/>
              </w:rPr>
              <w:t>Audit fees</w:t>
            </w:r>
          </w:p>
        </w:tc>
        <w:tc>
          <w:tcPr>
            <w:tcW w:w="5080" w:type="dxa"/>
            <w:vAlign w:val="bottom"/>
          </w:tcPr>
          <w:p>
            <w:pPr>
              <w:jc w:val="right"/>
              <w:ind w:right="868"/>
              <w:spacing w:after="0"/>
              <w:rPr>
                <w:sz w:val="20"/>
                <w:szCs w:val="20"/>
                <w:color w:val="auto"/>
              </w:rPr>
            </w:pPr>
            <w:r>
              <w:rPr>
                <w:rFonts w:ascii="Arial" w:cs="Arial" w:eastAsia="Arial" w:hAnsi="Arial"/>
                <w:sz w:val="14"/>
                <w:szCs w:val="14"/>
                <w:color w:val="032E5C"/>
              </w:rPr>
              <w:t>4,208,000</w:t>
            </w:r>
          </w:p>
        </w:tc>
        <w:tc>
          <w:tcPr>
            <w:tcW w:w="1700" w:type="dxa"/>
            <w:vAlign w:val="bottom"/>
          </w:tcPr>
          <w:p>
            <w:pPr>
              <w:jc w:val="right"/>
              <w:ind w:right="88"/>
              <w:spacing w:after="0"/>
              <w:rPr>
                <w:sz w:val="20"/>
                <w:szCs w:val="20"/>
                <w:color w:val="auto"/>
              </w:rPr>
            </w:pPr>
            <w:r>
              <w:rPr>
                <w:rFonts w:ascii="Arial" w:cs="Arial" w:eastAsia="Arial" w:hAnsi="Arial"/>
                <w:sz w:val="14"/>
                <w:szCs w:val="14"/>
                <w:color w:val="032E5C"/>
              </w:rPr>
              <w:t>3,945,000</w:t>
            </w:r>
          </w:p>
        </w:tc>
      </w:tr>
      <w:tr>
        <w:trPr>
          <w:trHeight w:val="22"/>
        </w:trPr>
        <w:tc>
          <w:tcPr>
            <w:tcW w:w="4460" w:type="dxa"/>
            <w:vAlign w:val="bottom"/>
            <w:tcBorders>
              <w:bottom w:val="single" w:sz="8" w:color="98BDE2"/>
            </w:tcBorders>
          </w:tcPr>
          <w:p>
            <w:pPr>
              <w:spacing w:after="0" w:line="20" w:lineRule="exact"/>
              <w:rPr>
                <w:sz w:val="1"/>
                <w:szCs w:val="1"/>
                <w:color w:val="auto"/>
              </w:rPr>
            </w:pPr>
          </w:p>
        </w:tc>
        <w:tc>
          <w:tcPr>
            <w:tcW w:w="5080" w:type="dxa"/>
            <w:vAlign w:val="bottom"/>
            <w:tcBorders>
              <w:bottom w:val="single" w:sz="8" w:color="98BDE2"/>
            </w:tcBorders>
          </w:tcPr>
          <w:p>
            <w:pPr>
              <w:spacing w:after="0" w:line="20" w:lineRule="exact"/>
              <w:rPr>
                <w:sz w:val="1"/>
                <w:szCs w:val="1"/>
                <w:color w:val="auto"/>
              </w:rPr>
            </w:pPr>
          </w:p>
        </w:tc>
        <w:tc>
          <w:tcPr>
            <w:tcW w:w="1700" w:type="dxa"/>
            <w:vAlign w:val="bottom"/>
            <w:tcBorders>
              <w:bottom w:val="single" w:sz="8" w:color="98BDE2"/>
            </w:tcBorders>
          </w:tcPr>
          <w:p>
            <w:pPr>
              <w:spacing w:after="0" w:line="20" w:lineRule="exact"/>
              <w:rPr>
                <w:sz w:val="1"/>
                <w:szCs w:val="1"/>
                <w:color w:val="auto"/>
              </w:rPr>
            </w:pPr>
          </w:p>
        </w:tc>
      </w:tr>
      <w:tr>
        <w:trPr>
          <w:trHeight w:val="201"/>
        </w:trPr>
        <w:tc>
          <w:tcPr>
            <w:tcW w:w="4460" w:type="dxa"/>
            <w:vAlign w:val="bottom"/>
          </w:tcPr>
          <w:p>
            <w:pPr>
              <w:ind w:left="100"/>
              <w:spacing w:after="0"/>
              <w:rPr>
                <w:sz w:val="20"/>
                <w:szCs w:val="20"/>
                <w:color w:val="auto"/>
              </w:rPr>
            </w:pPr>
            <w:r>
              <w:rPr>
                <w:rFonts w:ascii="Arial" w:cs="Arial" w:eastAsia="Arial" w:hAnsi="Arial"/>
                <w:sz w:val="14"/>
                <w:szCs w:val="14"/>
                <w:color w:val="032E5C"/>
              </w:rPr>
              <w:t>Tax fees</w:t>
            </w:r>
          </w:p>
        </w:tc>
        <w:tc>
          <w:tcPr>
            <w:tcW w:w="5080" w:type="dxa"/>
            <w:vAlign w:val="bottom"/>
          </w:tcPr>
          <w:p>
            <w:pPr>
              <w:jc w:val="right"/>
              <w:ind w:right="868"/>
              <w:spacing w:after="0"/>
              <w:rPr>
                <w:sz w:val="20"/>
                <w:szCs w:val="20"/>
                <w:color w:val="auto"/>
              </w:rPr>
            </w:pPr>
            <w:r>
              <w:rPr>
                <w:rFonts w:ascii="Arial" w:cs="Arial" w:eastAsia="Arial" w:hAnsi="Arial"/>
                <w:sz w:val="14"/>
                <w:szCs w:val="14"/>
                <w:color w:val="032E5C"/>
              </w:rPr>
              <w:t>—</w:t>
            </w:r>
          </w:p>
        </w:tc>
        <w:tc>
          <w:tcPr>
            <w:tcW w:w="1700" w:type="dxa"/>
            <w:vAlign w:val="bottom"/>
          </w:tcPr>
          <w:p>
            <w:pPr>
              <w:jc w:val="right"/>
              <w:ind w:right="88"/>
              <w:spacing w:after="0"/>
              <w:rPr>
                <w:sz w:val="20"/>
                <w:szCs w:val="20"/>
                <w:color w:val="auto"/>
              </w:rPr>
            </w:pPr>
            <w:r>
              <w:rPr>
                <w:rFonts w:ascii="Arial" w:cs="Arial" w:eastAsia="Arial" w:hAnsi="Arial"/>
                <w:sz w:val="14"/>
                <w:szCs w:val="14"/>
                <w:color w:val="032E5C"/>
              </w:rPr>
              <w:t>190,000</w:t>
            </w:r>
          </w:p>
        </w:tc>
      </w:tr>
      <w:tr>
        <w:trPr>
          <w:trHeight w:val="22"/>
        </w:trPr>
        <w:tc>
          <w:tcPr>
            <w:tcW w:w="4460" w:type="dxa"/>
            <w:vAlign w:val="bottom"/>
            <w:tcBorders>
              <w:bottom w:val="single" w:sz="8" w:color="98BDE2"/>
            </w:tcBorders>
          </w:tcPr>
          <w:p>
            <w:pPr>
              <w:spacing w:after="0" w:line="20" w:lineRule="exact"/>
              <w:rPr>
                <w:sz w:val="1"/>
                <w:szCs w:val="1"/>
                <w:color w:val="auto"/>
              </w:rPr>
            </w:pPr>
          </w:p>
        </w:tc>
        <w:tc>
          <w:tcPr>
            <w:tcW w:w="5080" w:type="dxa"/>
            <w:vAlign w:val="bottom"/>
            <w:tcBorders>
              <w:bottom w:val="single" w:sz="8" w:color="98BDE2"/>
            </w:tcBorders>
          </w:tcPr>
          <w:p>
            <w:pPr>
              <w:spacing w:after="0" w:line="20" w:lineRule="exact"/>
              <w:rPr>
                <w:sz w:val="1"/>
                <w:szCs w:val="1"/>
                <w:color w:val="auto"/>
              </w:rPr>
            </w:pPr>
          </w:p>
        </w:tc>
        <w:tc>
          <w:tcPr>
            <w:tcW w:w="1700" w:type="dxa"/>
            <w:vAlign w:val="bottom"/>
            <w:tcBorders>
              <w:bottom w:val="single" w:sz="8" w:color="98BDE2"/>
            </w:tcBorders>
          </w:tcPr>
          <w:p>
            <w:pPr>
              <w:spacing w:after="0" w:line="20" w:lineRule="exact"/>
              <w:rPr>
                <w:sz w:val="1"/>
                <w:szCs w:val="1"/>
                <w:color w:val="auto"/>
              </w:rPr>
            </w:pPr>
          </w:p>
        </w:tc>
      </w:tr>
      <w:tr>
        <w:trPr>
          <w:trHeight w:val="201"/>
        </w:trPr>
        <w:tc>
          <w:tcPr>
            <w:tcW w:w="4460" w:type="dxa"/>
            <w:vAlign w:val="bottom"/>
          </w:tcPr>
          <w:p>
            <w:pPr>
              <w:ind w:left="100"/>
              <w:spacing w:after="0"/>
              <w:rPr>
                <w:sz w:val="20"/>
                <w:szCs w:val="20"/>
                <w:color w:val="auto"/>
              </w:rPr>
            </w:pPr>
            <w:r>
              <w:rPr>
                <w:rFonts w:ascii="Arial" w:cs="Arial" w:eastAsia="Arial" w:hAnsi="Arial"/>
                <w:sz w:val="14"/>
                <w:szCs w:val="14"/>
                <w:color w:val="032E5C"/>
              </w:rPr>
              <w:t>Other fees</w:t>
            </w:r>
          </w:p>
        </w:tc>
        <w:tc>
          <w:tcPr>
            <w:tcW w:w="5080" w:type="dxa"/>
            <w:vAlign w:val="bottom"/>
          </w:tcPr>
          <w:p>
            <w:pPr>
              <w:jc w:val="right"/>
              <w:ind w:right="868"/>
              <w:spacing w:after="0"/>
              <w:rPr>
                <w:sz w:val="20"/>
                <w:szCs w:val="20"/>
                <w:color w:val="auto"/>
              </w:rPr>
            </w:pPr>
            <w:r>
              <w:rPr>
                <w:rFonts w:ascii="Arial" w:cs="Arial" w:eastAsia="Arial" w:hAnsi="Arial"/>
                <w:sz w:val="14"/>
                <w:szCs w:val="14"/>
                <w:color w:val="032E5C"/>
              </w:rPr>
              <w:t>19,000</w:t>
            </w:r>
          </w:p>
        </w:tc>
        <w:tc>
          <w:tcPr>
            <w:tcW w:w="1700" w:type="dxa"/>
            <w:vAlign w:val="bottom"/>
          </w:tcPr>
          <w:p>
            <w:pPr>
              <w:jc w:val="right"/>
              <w:ind w:right="88"/>
              <w:spacing w:after="0"/>
              <w:rPr>
                <w:sz w:val="20"/>
                <w:szCs w:val="20"/>
                <w:color w:val="auto"/>
              </w:rPr>
            </w:pPr>
            <w:r>
              <w:rPr>
                <w:rFonts w:ascii="Arial" w:cs="Arial" w:eastAsia="Arial" w:hAnsi="Arial"/>
                <w:sz w:val="14"/>
                <w:szCs w:val="14"/>
                <w:color w:val="032E5C"/>
              </w:rPr>
              <w:t>2,000</w:t>
            </w:r>
          </w:p>
        </w:tc>
      </w:tr>
      <w:tr>
        <w:trPr>
          <w:trHeight w:val="22"/>
        </w:trPr>
        <w:tc>
          <w:tcPr>
            <w:tcW w:w="4460" w:type="dxa"/>
            <w:vAlign w:val="bottom"/>
            <w:tcBorders>
              <w:bottom w:val="single" w:sz="8" w:color="98BDE2"/>
            </w:tcBorders>
          </w:tcPr>
          <w:p>
            <w:pPr>
              <w:spacing w:after="0" w:line="20" w:lineRule="exact"/>
              <w:rPr>
                <w:sz w:val="1"/>
                <w:szCs w:val="1"/>
                <w:color w:val="auto"/>
              </w:rPr>
            </w:pPr>
          </w:p>
        </w:tc>
        <w:tc>
          <w:tcPr>
            <w:tcW w:w="5080" w:type="dxa"/>
            <w:vAlign w:val="bottom"/>
            <w:tcBorders>
              <w:bottom w:val="single" w:sz="8" w:color="98BDE2"/>
            </w:tcBorders>
          </w:tcPr>
          <w:p>
            <w:pPr>
              <w:spacing w:after="0" w:line="20" w:lineRule="exact"/>
              <w:rPr>
                <w:sz w:val="1"/>
                <w:szCs w:val="1"/>
                <w:color w:val="auto"/>
              </w:rPr>
            </w:pPr>
          </w:p>
        </w:tc>
        <w:tc>
          <w:tcPr>
            <w:tcW w:w="1700" w:type="dxa"/>
            <w:vAlign w:val="bottom"/>
            <w:tcBorders>
              <w:bottom w:val="single" w:sz="8" w:color="98BDE2"/>
            </w:tcBorders>
          </w:tcPr>
          <w:p>
            <w:pPr>
              <w:spacing w:after="0" w:line="20" w:lineRule="exact"/>
              <w:rPr>
                <w:sz w:val="1"/>
                <w:szCs w:val="1"/>
                <w:color w:val="auto"/>
              </w:rPr>
            </w:pPr>
          </w:p>
        </w:tc>
      </w:tr>
      <w:tr>
        <w:trPr>
          <w:trHeight w:val="230"/>
        </w:trPr>
        <w:tc>
          <w:tcPr>
            <w:tcW w:w="4460" w:type="dxa"/>
            <w:vAlign w:val="bottom"/>
            <w:tcBorders>
              <w:bottom w:val="single" w:sz="8" w:color="3E5C7C"/>
            </w:tcBorders>
          </w:tcPr>
          <w:p>
            <w:pPr>
              <w:ind w:left="100"/>
              <w:spacing w:after="0"/>
              <w:rPr>
                <w:sz w:val="20"/>
                <w:szCs w:val="20"/>
                <w:color w:val="auto"/>
              </w:rPr>
            </w:pPr>
            <w:r>
              <w:rPr>
                <w:rFonts w:ascii="Arial" w:cs="Arial" w:eastAsia="Arial" w:hAnsi="Arial"/>
                <w:sz w:val="14"/>
                <w:szCs w:val="14"/>
                <w:b w:val="1"/>
                <w:bCs w:val="1"/>
                <w:color w:val="032E5C"/>
              </w:rPr>
              <w:t>Total</w:t>
            </w:r>
          </w:p>
        </w:tc>
        <w:tc>
          <w:tcPr>
            <w:tcW w:w="5080" w:type="dxa"/>
            <w:vAlign w:val="bottom"/>
            <w:tcBorders>
              <w:bottom w:val="single" w:sz="8" w:color="3E5C7C"/>
            </w:tcBorders>
          </w:tcPr>
          <w:p>
            <w:pPr>
              <w:jc w:val="right"/>
              <w:ind w:right="868"/>
              <w:spacing w:after="0"/>
              <w:rPr>
                <w:sz w:val="20"/>
                <w:szCs w:val="20"/>
                <w:color w:val="auto"/>
              </w:rPr>
            </w:pPr>
            <w:r>
              <w:rPr>
                <w:rFonts w:ascii="Arial" w:cs="Arial" w:eastAsia="Arial" w:hAnsi="Arial"/>
                <w:sz w:val="14"/>
                <w:szCs w:val="14"/>
                <w:b w:val="1"/>
                <w:bCs w:val="1"/>
                <w:color w:val="032E5C"/>
              </w:rPr>
              <w:t>4,227,000</w:t>
            </w:r>
          </w:p>
        </w:tc>
        <w:tc>
          <w:tcPr>
            <w:tcW w:w="1700" w:type="dxa"/>
            <w:vAlign w:val="bottom"/>
            <w:tcBorders>
              <w:bottom w:val="single" w:sz="8" w:color="3E5C7C"/>
            </w:tcBorders>
          </w:tcPr>
          <w:p>
            <w:pPr>
              <w:jc w:val="right"/>
              <w:ind w:right="88"/>
              <w:spacing w:after="0"/>
              <w:rPr>
                <w:sz w:val="20"/>
                <w:szCs w:val="20"/>
                <w:color w:val="auto"/>
              </w:rPr>
            </w:pPr>
            <w:r>
              <w:rPr>
                <w:rFonts w:ascii="Arial" w:cs="Arial" w:eastAsia="Arial" w:hAnsi="Arial"/>
                <w:sz w:val="14"/>
                <w:szCs w:val="14"/>
                <w:b w:val="1"/>
                <w:bCs w:val="1"/>
                <w:color w:val="032E5C"/>
              </w:rPr>
              <w:t>4,137,000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Advisory Vote to Approve Executive Compensation (Proposal No. 3)</w:t>
      </w:r>
    </w:p>
    <w:p>
      <w:pPr>
        <w:spacing w:after="0" w:line="126" w:lineRule="exact"/>
        <w:rPr>
          <w:sz w:val="20"/>
          <w:szCs w:val="20"/>
          <w:color w:val="auto"/>
        </w:rPr>
      </w:pPr>
    </w:p>
    <w:p>
      <w:pPr>
        <w:ind w:right="120"/>
        <w:spacing w:after="0" w:line="315" w:lineRule="auto"/>
        <w:rPr>
          <w:sz w:val="20"/>
          <w:szCs w:val="20"/>
          <w:color w:val="auto"/>
        </w:rPr>
      </w:pPr>
      <w:r>
        <w:rPr>
          <w:rFonts w:ascii="Arial" w:cs="Arial" w:eastAsia="Arial" w:hAnsi="Arial"/>
          <w:sz w:val="16"/>
          <w:szCs w:val="16"/>
          <w:color w:val="29292B"/>
        </w:rPr>
        <w:t>We are asking stockholders to cast an advisory, non-binding vote to approve compensation awarded to our named executive officers. The primary objective of our executive compensation program is to emphasize pay-for-performance by incentivizing our executive officers and senior management to drive superior results and generate stockholder value. Additional information regarding our executive compensation may be found elsewhere in this proxy statement.</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Vote to Approve the Vail Resorts, Inc. 2024 Omnibus Incentive Plan (Proposal No. 4)</w:t>
      </w:r>
    </w:p>
    <w:p>
      <w:pPr>
        <w:spacing w:after="0" w:line="126"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29292B"/>
        </w:rPr>
        <w:t>We are asking stockholders to cast a vote to approve our 2024 Omnibus Incentive Plan, referred to in this proxy statement as the "2024 Plan." If approved by stockholders at our annual meeting, the 2024 Plan will replace our 2015 Omnibus Incentive Plan as our vehicle for equity compensation awards.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8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460" w:type="dxa"/>
            <w:vAlign w:val="bottom"/>
          </w:tcPr>
          <w:p>
            <w:pPr>
              <w:jc w:val="right"/>
              <w:spacing w:after="0"/>
              <w:rPr>
                <w:sz w:val="20"/>
                <w:szCs w:val="20"/>
                <w:color w:val="auto"/>
              </w:rPr>
            </w:pPr>
            <w:r>
              <w:rPr>
                <w:rFonts w:ascii="Arial" w:cs="Arial" w:eastAsia="Arial" w:hAnsi="Arial"/>
                <w:sz w:val="16"/>
                <w:szCs w:val="16"/>
                <w:b w:val="1"/>
                <w:bCs w:val="1"/>
                <w:color w:val="032E5C"/>
              </w:rPr>
              <w:t>9</w:t>
            </w:r>
          </w:p>
        </w:tc>
        <w:tc>
          <w:tcPr>
            <w:tcW w:w="0" w:type="dxa"/>
            <w:vAlign w:val="bottom"/>
          </w:tcPr>
          <w:p>
            <w:pPr>
              <w:spacing w:after="0"/>
              <w:rPr>
                <w:sz w:val="1"/>
                <w:szCs w:val="1"/>
                <w:color w:val="auto"/>
              </w:rPr>
            </w:pPr>
          </w:p>
        </w:tc>
      </w:tr>
      <w:tr>
        <w:trPr>
          <w:trHeight w:val="60"/>
        </w:trPr>
        <w:tc>
          <w:tcPr>
            <w:tcW w:w="8780" w:type="dxa"/>
            <w:vAlign w:val="bottom"/>
            <w:vMerge w:val="continue"/>
          </w:tcPr>
          <w:p>
            <w:pPr>
              <w:spacing w:after="0"/>
              <w:rPr>
                <w:sz w:val="5"/>
                <w:szCs w:val="5"/>
                <w:color w:val="auto"/>
              </w:rPr>
            </w:pP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5"/>
          <w:szCs w:val="15"/>
          <w:b w:val="1"/>
          <w:bCs w:val="1"/>
          <w:color w:val="032E5C"/>
        </w:rPr>
        <w:drawing>
          <wp:anchor simplePos="0" relativeHeight="251657728" behindDoc="1" locked="0" layoutInCell="0" allowOverlap="1">
            <wp:simplePos x="0" y="0"/>
            <wp:positionH relativeFrom="page">
              <wp:posOffset>5454650</wp:posOffset>
            </wp:positionH>
            <wp:positionV relativeFrom="page">
              <wp:posOffset>629285</wp:posOffset>
            </wp:positionV>
            <wp:extent cx="188595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885950" cy="179705"/>
                    </a:xfrm>
                    <a:prstGeom prst="rect">
                      <a:avLst/>
                    </a:prstGeom>
                    <a:noFill/>
                  </pic:spPr>
                </pic:pic>
              </a:graphicData>
            </a:graphic>
          </wp:anchor>
        </w:drawing>
        <w:t>EXPERIENCE OF A LIFETIME</w:t>
      </w:r>
      <w:r>
        <w:rPr>
          <w:rFonts w:ascii="Arial" w:cs="Arial" w:eastAsia="Arial" w:hAnsi="Arial"/>
          <w:sz w:val="15"/>
          <w:szCs w:val="15"/>
          <w:color w:val="032E5C"/>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980"/>
        <w:spacing w:after="0" w:line="278" w:lineRule="auto"/>
        <w:rPr>
          <w:sz w:val="20"/>
          <w:szCs w:val="20"/>
          <w:color w:val="auto"/>
        </w:rPr>
      </w:pPr>
      <w:r>
        <w:rPr>
          <w:rFonts w:ascii="Arial" w:cs="Arial" w:eastAsia="Arial" w:hAnsi="Arial"/>
          <w:sz w:val="50"/>
          <w:szCs w:val="50"/>
          <w:b w:val="1"/>
          <w:bCs w:val="1"/>
          <w:color w:val="032E5C"/>
        </w:rPr>
        <w:t>PROXY STATEMENT FOR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53975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29292B"/>
        </w:rPr>
        <w:t>We are providing these proxy materials in connection with the solicitation of proxies by the Board of Directors (the “Board”) of Vail Resorts, Inc. (“we,” “us,” “Vail Resorts,” or the “Company”) to be voted at our annual meeting, which will take place on Wednesday, December 5, 2024 at 9:00 a.m., Mountain Time, via a live virtual stockholder meeting, and at any adjournment or postponement thereof. As a stockholder, you are invited to attend the annual meeting and are requested to vote on the items of business described in this proxy statement</w:t>
      </w:r>
    </w:p>
    <w:p>
      <w:pPr>
        <w:spacing w:after="0" w:line="96" w:lineRule="exact"/>
        <w:rPr>
          <w:sz w:val="20"/>
          <w:szCs w:val="20"/>
          <w:color w:val="auto"/>
        </w:rPr>
      </w:pPr>
    </w:p>
    <w:p>
      <w:pPr>
        <w:spacing w:after="0" w:line="300" w:lineRule="auto"/>
        <w:rPr>
          <w:sz w:val="20"/>
          <w:szCs w:val="20"/>
          <w:color w:val="auto"/>
        </w:rPr>
      </w:pPr>
      <w:r>
        <w:rPr>
          <w:rFonts w:ascii="Arial" w:cs="Arial" w:eastAsia="Arial" w:hAnsi="Arial"/>
          <w:sz w:val="16"/>
          <w:szCs w:val="16"/>
          <w:color w:val="29292B"/>
        </w:rPr>
        <w:t>In accordance with the “notice and access” rules and regulations of the Securities and Exchange Commission ("SEC"), instead of mailing a printed copy of our proxy materials to each stockholder of record or beneficial owner, we are furnishing proxy materials, which include our proxy statement and annual report, to our stockholders over the internet. Because you received a Notice of Internet Availability of Proxy Materials by mail, you will not receive a printed copy of the proxy materials, unless you have previously made a permanent election to receive these materials in hard copy or unless you request a printed copy as described below.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04"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29292B"/>
        </w:rPr>
        <w:t>It is anticipated that the Notice of Internet Availability of Proxy Materials will be mailed, and this proxy statement will be made available, to stockholders on or about October 23, 2024.</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10</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5" w:name="page16"/>
    <w:bookmarkEnd w:id="15"/>
    <w:p>
      <w:pPr>
        <w:spacing w:after="0"/>
        <w:rPr>
          <w:sz w:val="20"/>
          <w:szCs w:val="20"/>
          <w:color w:val="auto"/>
        </w:rPr>
      </w:pPr>
      <w:r>
        <w:rPr>
          <w:rFonts w:ascii="Arial" w:cs="Arial" w:eastAsia="Arial" w:hAnsi="Arial"/>
          <w:sz w:val="50"/>
          <w:szCs w:val="50"/>
          <w:b w:val="1"/>
          <w:bCs w:val="1"/>
          <w:color w:val="032E5C"/>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 xml:space="preserve">At the annual meeting, twelve directors will be nominated for election to the Board to serve for the next year and until their respective successors are elected and qualified. </w:t>
      </w:r>
      <w:r>
        <w:rPr>
          <w:rFonts w:ascii="Arial" w:cs="Arial" w:eastAsia="Arial" w:hAnsi="Arial"/>
          <w:sz w:val="16"/>
          <w:szCs w:val="16"/>
          <w:b w:val="1"/>
          <w:bCs w:val="1"/>
          <w:color w:val="29292B"/>
        </w:rPr>
        <w:t>The nominees are Mses. Decker, Knobloch, Lynch, Rawlinson, Romanow, and Schneider, and Messrs. Chambers, Katz, Redmond,</w:t>
      </w:r>
      <w:r>
        <w:rPr>
          <w:rFonts w:ascii="Arial" w:cs="Arial" w:eastAsia="Arial" w:hAnsi="Arial"/>
          <w:sz w:val="16"/>
          <w:szCs w:val="16"/>
          <w:color w:val="29292B"/>
        </w:rPr>
        <w:t xml:space="preserve"> </w:t>
      </w:r>
      <w:r>
        <w:rPr>
          <w:rFonts w:ascii="Arial" w:cs="Arial" w:eastAsia="Arial" w:hAnsi="Arial"/>
          <w:sz w:val="16"/>
          <w:szCs w:val="16"/>
          <w:b w:val="1"/>
          <w:bCs w:val="1"/>
          <w:color w:val="29292B"/>
        </w:rPr>
        <w:t xml:space="preserve">Sewell, Sorte, and Vaughn. </w:t>
      </w:r>
      <w:r>
        <w:rPr>
          <w:rFonts w:ascii="Arial" w:cs="Arial" w:eastAsia="Arial" w:hAnsi="Arial"/>
          <w:sz w:val="16"/>
          <w:szCs w:val="16"/>
          <w:color w:val="29292B"/>
        </w:rPr>
        <w:t>Each of the nominees is currently a director of the Company and all nominees were previously elected by stockholders, except</w:t>
      </w:r>
      <w:r>
        <w:rPr>
          <w:rFonts w:ascii="Arial" w:cs="Arial" w:eastAsia="Arial" w:hAnsi="Arial"/>
          <w:sz w:val="16"/>
          <w:szCs w:val="16"/>
          <w:b w:val="1"/>
          <w:bCs w:val="1"/>
          <w:color w:val="29292B"/>
        </w:rPr>
        <w:t xml:space="preserve"> </w:t>
      </w:r>
      <w:r>
        <w:rPr>
          <w:rFonts w:ascii="Arial" w:cs="Arial" w:eastAsia="Arial" w:hAnsi="Arial"/>
          <w:sz w:val="16"/>
          <w:szCs w:val="16"/>
          <w:color w:val="29292B"/>
        </w:rPr>
        <w:t>for Ms. Knobloch, who joined the Board on February 6, 2024, and Mr. Chambers, who joined the Board on March 11, 2024. Ms. Knobloch and Mr. Chambers were identified to be directors of the Company by a search firm hired by the Nominating &amp; Governance Committee, and after a thorough review and interview process conducted by such committee, were appointed to be directors of the Company.</w:t>
      </w:r>
    </w:p>
    <w:p>
      <w:pPr>
        <w:spacing w:after="0" w:line="10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The persons named as proxies in the accompanying proxy, who have been designated by the Board, intend to vote, unless otherwise instructed in such proxy, “FOR” the election of Mses. Decker, Knobloch, Lynch, Rawlinson, Romanow, and Schneider, and Messrs. Chambers, Katz, Redmond, Sewell, Sorte, and Vaughn as directors. If any nominee becomes unavailable for election as a result of an unexpected occurrence, your shares will be voted for the election of a substitute nominee, if any, proposed by the Board. Each person nominated for election has agreed to serve if elected. Our Board has no reason to believe that any nominee will be unable to serve. The proxies solicited by this proxy statement may not be voted for more than twelve nominees.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Information with Respect to Nominees</w:t>
      </w:r>
    </w:p>
    <w:p>
      <w:pPr>
        <w:spacing w:after="0" w:line="195"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29292B"/>
        </w:rPr>
        <w:t>The Nominating &amp; Governance Committee is committed to maintaining a diverse and independent Board that reflects a broad mix of skills, knowledge, perspective, leadership, age, experience, and diversity among directors in order to ensure that the Board has the ability to perform its oversight function effectively, which we believe enhances oversight abilities of the Company's strategy and operations. The Nominating &amp; Governance Committee has determined that the Board will be comprised of individuals who meet the highest possible personal and professional standards. Our director nominees should have broad experience in management, policymaking and/or finance, relevant industry knowledge, business creativity, and vision. They should also be committed to enhancing stockholder value and should be able to dedicate sufficient time to effectively carry out their duties.</w:t>
      </w:r>
    </w:p>
    <w:p>
      <w:pPr>
        <w:spacing w:after="0" w:line="10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29292B"/>
        </w:rPr>
        <w:t>Many factors are considered by the Nominating &amp; Governance Committee when determining the eligibility of candidates for nomination as director. The Nominating &amp; Governance Committee does not have a formal diversity policy; however, in connection with the annual nomination process, the Nominating &amp; Governance Committee considers the diversity of candidates to ensure that the Board is comprised of highly-qualified individuals with a broad range of experiences and backgrounds who can contribute to the Board’s overall effectiveness in carrying out its responsibilities. The Nominating &amp; Governance Committee recognizes that diversity in gender, race, ethnicity, and professional experience enhances the Board’s ability to provide comprehensive oversight and the Nominating &amp; Governance Committee assesses the effectiveness of its efforts at achieving a diverse Board when it annually evaluates the Board’s composition.</w:t>
      </w:r>
    </w:p>
    <w:p>
      <w:pPr>
        <w:spacing w:after="0" w:line="89"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29292B"/>
        </w:rPr>
        <w:t>The Nominating &amp; Governance Committee considers the following specific characteristics in making its nominations for our Board: independence, wisdom, integrity, understanding and general acceptance of the Company’s corporate philosophy, business or professional knowledge and experience that can bear on the Company’s and the Board’s challenges and deliberations, proven record of accomplishment with excellent organizations, inquiring mind, willingness to speak one’s mind, ability to challenge and stimulate management, future orientation, willingness to commit time and energy, diversity, and international/global experience.</w:t>
      </w:r>
    </w:p>
    <w:p>
      <w:pPr>
        <w:spacing w:after="0" w:line="85"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29292B"/>
        </w:rPr>
        <w:t>The Nominating &amp; Governance Committee believes it is important to use a broad range of practices to ensure effective board composition and refreshment, with a balance between short-, medium-, and long-tenured directors. The Nominating &amp; Governance Committee nominates new directors from time to time so the Board reflects a broad mix of skills, knowledge, perspective, leadership, age, experience, and diversity among directors in order to ensure that the Board has the ability to perform its oversight function effectively, which we believe enhances oversight abilities of the Company's strategy and operations. The Nominating &amp; Governance Committee does not believe there is a direct correlation between a director's age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11</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1</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29292B"/>
        </w:rPr>
        <w:t>and their ability to contribute effectively to the Board. As such, after reviewing evolving views on board composition and refreshment, and considering input from shareholders, the Board removed the director retirement age from our Corporate Governance Guidelines in 2024.</w:t>
      </w:r>
    </w:p>
    <w:p>
      <w:pPr>
        <w:spacing w:after="0" w:line="74"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29292B"/>
        </w:rPr>
        <w:t>We were pleased to welcome Iris Knobloch and Reginald Chambers to serve on our Board in 2024. Ms. Knobloch's extensive experience in Europe adds global business expertise to our Board, which is important to our international expansion strategy. Mr. Chambers joined us with a proven track record of driving strong financial performance and business transformation. His extensive financial acumen provides valuable insights as we continue to drive the Company's strategic initiatives. These additions to our Board underscore our commitment to aligning board skills and experiences with our strategic priorities.</w:t>
      </w:r>
    </w:p>
    <w:p>
      <w:pPr>
        <w:spacing w:after="0" w:line="104"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29292B"/>
        </w:rPr>
        <w:t>At the annual meeting, director nominees will stand for election for one-year terms, expiring at the 2025 Annual Meeting of Stockholders. The following sets forth the name and age of each director, identifies whether the director is currently a member of the Board, lists all other positions and offices, if any, now held by him or her with the Company, and specifies his or her principal occupation during at least the last five years.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12</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59"/>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190"/>
        </w:trPr>
        <w:tc>
          <w:tcPr>
            <w:tcW w:w="5700" w:type="dxa"/>
            <w:vAlign w:val="bottom"/>
          </w:tcPr>
          <w:p>
            <w:pPr>
              <w:spacing w:after="0"/>
              <w:rPr>
                <w:sz w:val="20"/>
                <w:szCs w:val="20"/>
                <w:color w:val="auto"/>
              </w:rPr>
            </w:pPr>
            <w:r>
              <w:rPr>
                <w:rFonts w:ascii="Arial" w:cs="Arial" w:eastAsia="Arial" w:hAnsi="Arial"/>
                <w:sz w:val="14"/>
                <w:szCs w:val="14"/>
                <w:color w:val="032E5C"/>
              </w:rPr>
              <w:t>Table of Contents</w:t>
            </w:r>
          </w:p>
        </w:tc>
        <w:tc>
          <w:tcPr>
            <w:tcW w:w="538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5"/>
              </w:rPr>
              <w:t>PROPOSAL 1</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6637655</wp:posOffset>
            </wp:positionH>
            <wp:positionV relativeFrom="page">
              <wp:posOffset>106045</wp:posOffset>
            </wp:positionV>
            <wp:extent cx="702945"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294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205740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954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954905"/>
                    </a:xfrm>
                    <a:prstGeom prst="rect">
                      <a:avLst/>
                    </a:prstGeom>
                    <a:noFill/>
                  </pic:spPr>
                </pic:pic>
              </a:graphicData>
            </a:graphic>
          </wp:anchor>
        </w:drawing>
      </w:r>
    </w:p>
    <w:p>
      <w:pPr>
        <w:spacing w:after="0" w:line="147"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3040" w:type="dxa"/>
            <w:vAlign w:val="bottom"/>
          </w:tcPr>
          <w:p>
            <w:pPr>
              <w:spacing w:after="0"/>
              <w:rPr>
                <w:sz w:val="19"/>
                <w:szCs w:val="19"/>
                <w:color w:val="auto"/>
              </w:rPr>
            </w:pPr>
          </w:p>
        </w:tc>
        <w:tc>
          <w:tcPr>
            <w:tcW w:w="7880" w:type="dxa"/>
            <w:vAlign w:val="bottom"/>
          </w:tcPr>
          <w:p>
            <w:pPr>
              <w:ind w:left="180"/>
              <w:spacing w:after="0"/>
              <w:rPr>
                <w:sz w:val="20"/>
                <w:szCs w:val="20"/>
                <w:color w:val="auto"/>
              </w:rPr>
            </w:pPr>
            <w:r>
              <w:rPr>
                <w:rFonts w:ascii="Arial" w:cs="Arial" w:eastAsia="Arial" w:hAnsi="Arial"/>
                <w:sz w:val="16"/>
                <w:szCs w:val="16"/>
                <w:b w:val="1"/>
                <w:bCs w:val="1"/>
                <w:color w:val="032E5C"/>
              </w:rPr>
              <w:t>Business Experience, Other Directorships and Qualifications</w:t>
            </w:r>
          </w:p>
        </w:tc>
        <w:tc>
          <w:tcPr>
            <w:tcW w:w="0" w:type="dxa"/>
            <w:vAlign w:val="bottom"/>
          </w:tcPr>
          <w:p>
            <w:pPr>
              <w:spacing w:after="0"/>
              <w:rPr>
                <w:sz w:val="1"/>
                <w:szCs w:val="1"/>
                <w:color w:val="auto"/>
              </w:rPr>
            </w:pPr>
          </w:p>
        </w:tc>
      </w:tr>
      <w:tr>
        <w:trPr>
          <w:trHeight w:val="317"/>
        </w:trPr>
        <w:tc>
          <w:tcPr>
            <w:tcW w:w="3040" w:type="dxa"/>
            <w:vAlign w:val="bottom"/>
          </w:tcPr>
          <w:p>
            <w:pPr>
              <w:spacing w:after="0"/>
              <w:rPr>
                <w:sz w:val="24"/>
                <w:szCs w:val="24"/>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Mr. Chambers is an Executive Vice President and the Chief Transformation Officer at the Teachers</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Insurance and Annuity Association of America ("TIAA"), a financial services organization and private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provider of financial retirement services in the academic, research, medical, cultural, and governmental</w:t>
            </w: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fields since September 2023. From May 2017 to September 2023, he held various senior executive roles at</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JPMorgan Chase &amp; Co., a financial holding company that offers consumer and commercial banking,</w:t>
            </w: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investment banking, financial transaction processing, and asset management solutions, including having</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been Head of Investor Relations for the firm and serving most recently as Chief Financial Officer and Head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of Strategy for Commercial Baking. Prior to joining JPMorgan Chase, Mr. Chambers served in the Strategy</w:t>
            </w: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and Corporate Finance practice at McKinsey &amp; Company, a global management consulting firm, from 2013</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to 2017. In 2011, Mr. Chambers was appointed by President Obama as a White House Fellow at the White</w:t>
            </w:r>
          </w:p>
        </w:tc>
        <w:tc>
          <w:tcPr>
            <w:tcW w:w="0" w:type="dxa"/>
            <w:vAlign w:val="bottom"/>
          </w:tcPr>
          <w:p>
            <w:pPr>
              <w:spacing w:after="0"/>
              <w:rPr>
                <w:sz w:val="1"/>
                <w:szCs w:val="1"/>
                <w:color w:val="auto"/>
              </w:rPr>
            </w:pPr>
          </w:p>
        </w:tc>
      </w:tr>
      <w:tr>
        <w:trPr>
          <w:trHeight w:val="204"/>
        </w:trPr>
        <w:tc>
          <w:tcPr>
            <w:tcW w:w="3040" w:type="dxa"/>
            <w:vAlign w:val="bottom"/>
            <w:vMerge w:val="restart"/>
          </w:tcPr>
          <w:p>
            <w:pPr>
              <w:jc w:val="center"/>
              <w:ind w:right="112"/>
              <w:spacing w:after="0"/>
              <w:rPr>
                <w:sz w:val="20"/>
                <w:szCs w:val="20"/>
                <w:color w:val="auto"/>
              </w:rPr>
            </w:pPr>
            <w:r>
              <w:rPr>
                <w:rFonts w:ascii="Arial" w:cs="Arial" w:eastAsia="Arial" w:hAnsi="Arial"/>
                <w:sz w:val="25"/>
                <w:szCs w:val="25"/>
                <w:b w:val="1"/>
                <w:bCs w:val="1"/>
                <w:color w:val="032E5C"/>
              </w:rPr>
              <w:t>REGINALD CHAMBERS</w:t>
            </w:r>
          </w:p>
        </w:tc>
        <w:tc>
          <w:tcPr>
            <w:tcW w:w="7880" w:type="dxa"/>
            <w:vAlign w:val="bottom"/>
          </w:tcPr>
          <w:p>
            <w:pPr>
              <w:ind w:left="180"/>
              <w:spacing w:after="0"/>
              <w:rPr>
                <w:sz w:val="20"/>
                <w:szCs w:val="20"/>
                <w:color w:val="auto"/>
              </w:rPr>
            </w:pPr>
            <w:r>
              <w:rPr>
                <w:rFonts w:ascii="Arial" w:cs="Arial" w:eastAsia="Arial" w:hAnsi="Arial"/>
                <w:sz w:val="16"/>
                <w:szCs w:val="16"/>
                <w:color w:val="032E5C"/>
              </w:rPr>
              <w:t>House National Economic Council, a position he held until 2012. Before serving in the White House, Mr.</w:t>
            </w:r>
          </w:p>
        </w:tc>
        <w:tc>
          <w:tcPr>
            <w:tcW w:w="0" w:type="dxa"/>
            <w:vAlign w:val="bottom"/>
          </w:tcPr>
          <w:p>
            <w:pPr>
              <w:spacing w:after="0"/>
              <w:rPr>
                <w:sz w:val="1"/>
                <w:szCs w:val="1"/>
                <w:color w:val="auto"/>
              </w:rPr>
            </w:pPr>
          </w:p>
        </w:tc>
      </w:tr>
      <w:tr>
        <w:trPr>
          <w:trHeight w:val="215"/>
        </w:trPr>
        <w:tc>
          <w:tcPr>
            <w:tcW w:w="3040" w:type="dxa"/>
            <w:vAlign w:val="bottom"/>
            <w:vMerge w:val="continue"/>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6"/>
                <w:szCs w:val="16"/>
                <w:color w:val="032E5C"/>
              </w:rPr>
              <w:t>Chambers was an investor with 3i Group plc, a multinational private equity and venture capital firm based in</w:t>
            </w:r>
          </w:p>
        </w:tc>
        <w:tc>
          <w:tcPr>
            <w:tcW w:w="0" w:type="dxa"/>
            <w:vAlign w:val="bottom"/>
          </w:tcPr>
          <w:p>
            <w:pPr>
              <w:spacing w:after="0"/>
              <w:rPr>
                <w:sz w:val="1"/>
                <w:szCs w:val="1"/>
                <w:color w:val="auto"/>
              </w:rPr>
            </w:pPr>
          </w:p>
        </w:tc>
      </w:tr>
      <w:tr>
        <w:trPr>
          <w:trHeight w:val="204"/>
        </w:trPr>
        <w:tc>
          <w:tcPr>
            <w:tcW w:w="3040" w:type="dxa"/>
            <w:vAlign w:val="bottom"/>
            <w:vMerge w:val="restart"/>
          </w:tcPr>
          <w:p>
            <w:pPr>
              <w:jc w:val="center"/>
              <w:ind w:right="92"/>
              <w:spacing w:after="0"/>
              <w:rPr>
                <w:sz w:val="20"/>
                <w:szCs w:val="20"/>
                <w:color w:val="auto"/>
              </w:rPr>
            </w:pPr>
            <w:r>
              <w:rPr>
                <w:rFonts w:ascii="Arial" w:cs="Arial" w:eastAsia="Arial" w:hAnsi="Arial"/>
                <w:sz w:val="16"/>
                <w:szCs w:val="16"/>
                <w:color w:val="032E5C"/>
              </w:rPr>
              <w:t>Executive Vice President and Chief</w:t>
            </w:r>
          </w:p>
        </w:tc>
        <w:tc>
          <w:tcPr>
            <w:tcW w:w="7880" w:type="dxa"/>
            <w:vAlign w:val="bottom"/>
          </w:tcPr>
          <w:p>
            <w:pPr>
              <w:ind w:left="180"/>
              <w:spacing w:after="0"/>
              <w:rPr>
                <w:sz w:val="20"/>
                <w:szCs w:val="20"/>
                <w:color w:val="auto"/>
              </w:rPr>
            </w:pPr>
            <w:r>
              <w:rPr>
                <w:rFonts w:ascii="Arial" w:cs="Arial" w:eastAsia="Arial" w:hAnsi="Arial"/>
                <w:sz w:val="16"/>
                <w:szCs w:val="16"/>
                <w:color w:val="032E5C"/>
              </w:rPr>
              <w:t>London, United Kingdom, from 2008 to 2011, serving as Head of North American Infrastructure; and Vice</w:t>
            </w:r>
          </w:p>
        </w:tc>
        <w:tc>
          <w:tcPr>
            <w:tcW w:w="0" w:type="dxa"/>
            <w:vAlign w:val="bottom"/>
          </w:tcPr>
          <w:p>
            <w:pPr>
              <w:spacing w:after="0"/>
              <w:rPr>
                <w:sz w:val="1"/>
                <w:szCs w:val="1"/>
                <w:color w:val="auto"/>
              </w:rPr>
            </w:pPr>
          </w:p>
        </w:tc>
      </w:tr>
      <w:tr>
        <w:trPr>
          <w:trHeight w:val="80"/>
        </w:trPr>
        <w:tc>
          <w:tcPr>
            <w:tcW w:w="3040" w:type="dxa"/>
            <w:vAlign w:val="bottom"/>
            <w:vMerge w:val="continue"/>
          </w:tcPr>
          <w:p>
            <w:pPr>
              <w:spacing w:after="0"/>
              <w:rPr>
                <w:sz w:val="6"/>
                <w:szCs w:val="6"/>
                <w:color w:val="auto"/>
              </w:rPr>
            </w:pPr>
          </w:p>
        </w:tc>
        <w:tc>
          <w:tcPr>
            <w:tcW w:w="7880" w:type="dxa"/>
            <w:vAlign w:val="bottom"/>
            <w:vMerge w:val="restart"/>
          </w:tcPr>
          <w:p>
            <w:pPr>
              <w:ind w:left="180"/>
              <w:spacing w:after="0"/>
              <w:rPr>
                <w:sz w:val="20"/>
                <w:szCs w:val="20"/>
                <w:color w:val="auto"/>
              </w:rPr>
            </w:pPr>
            <w:r>
              <w:rPr>
                <w:rFonts w:ascii="Arial" w:cs="Arial" w:eastAsia="Arial" w:hAnsi="Arial"/>
                <w:sz w:val="16"/>
                <w:szCs w:val="16"/>
                <w:color w:val="032E5C"/>
              </w:rPr>
              <w:t>President in the Global Energy Group of the Investment Banking Division of Citigroup Inc., a diversified</w:t>
            </w:r>
          </w:p>
        </w:tc>
        <w:tc>
          <w:tcPr>
            <w:tcW w:w="0" w:type="dxa"/>
            <w:vAlign w:val="bottom"/>
          </w:tcPr>
          <w:p>
            <w:pPr>
              <w:spacing w:after="0"/>
              <w:rPr>
                <w:sz w:val="1"/>
                <w:szCs w:val="1"/>
                <w:color w:val="auto"/>
              </w:rPr>
            </w:pPr>
          </w:p>
        </w:tc>
      </w:tr>
      <w:tr>
        <w:trPr>
          <w:trHeight w:val="135"/>
        </w:trPr>
        <w:tc>
          <w:tcPr>
            <w:tcW w:w="3040" w:type="dxa"/>
            <w:vAlign w:val="bottom"/>
            <w:vMerge w:val="restart"/>
          </w:tcPr>
          <w:p>
            <w:pPr>
              <w:jc w:val="center"/>
              <w:ind w:right="92"/>
              <w:spacing w:after="0"/>
              <w:rPr>
                <w:sz w:val="20"/>
                <w:szCs w:val="20"/>
                <w:color w:val="auto"/>
              </w:rPr>
            </w:pPr>
            <w:r>
              <w:rPr>
                <w:rFonts w:ascii="Arial" w:cs="Arial" w:eastAsia="Arial" w:hAnsi="Arial"/>
                <w:sz w:val="16"/>
                <w:szCs w:val="16"/>
                <w:color w:val="032E5C"/>
                <w:w w:val="99"/>
              </w:rPr>
              <w:t>Transformation Officer, Teachers</w:t>
            </w:r>
          </w:p>
        </w:tc>
        <w:tc>
          <w:tcPr>
            <w:tcW w:w="7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040" w:type="dxa"/>
            <w:vAlign w:val="bottom"/>
            <w:vMerge w:val="continue"/>
          </w:tcPr>
          <w:p>
            <w:pPr>
              <w:spacing w:after="0"/>
              <w:rPr>
                <w:sz w:val="7"/>
                <w:szCs w:val="7"/>
                <w:color w:val="auto"/>
              </w:rPr>
            </w:pPr>
          </w:p>
        </w:tc>
        <w:tc>
          <w:tcPr>
            <w:tcW w:w="7880" w:type="dxa"/>
            <w:vAlign w:val="bottom"/>
            <w:vMerge w:val="restart"/>
          </w:tcPr>
          <w:p>
            <w:pPr>
              <w:ind w:left="180"/>
              <w:spacing w:after="0"/>
              <w:rPr>
                <w:sz w:val="20"/>
                <w:szCs w:val="20"/>
                <w:color w:val="auto"/>
              </w:rPr>
            </w:pPr>
            <w:r>
              <w:rPr>
                <w:rFonts w:ascii="Arial" w:cs="Arial" w:eastAsia="Arial" w:hAnsi="Arial"/>
                <w:sz w:val="16"/>
                <w:szCs w:val="16"/>
                <w:color w:val="032E5C"/>
              </w:rPr>
              <w:t>financial services holding company that provides a broad range of financial services to consumer and</w:t>
            </w:r>
          </w:p>
        </w:tc>
        <w:tc>
          <w:tcPr>
            <w:tcW w:w="0" w:type="dxa"/>
            <w:vAlign w:val="bottom"/>
          </w:tcPr>
          <w:p>
            <w:pPr>
              <w:spacing w:after="0"/>
              <w:rPr>
                <w:sz w:val="1"/>
                <w:szCs w:val="1"/>
                <w:color w:val="auto"/>
              </w:rPr>
            </w:pPr>
          </w:p>
        </w:tc>
      </w:tr>
      <w:tr>
        <w:trPr>
          <w:trHeight w:val="135"/>
        </w:trPr>
        <w:tc>
          <w:tcPr>
            <w:tcW w:w="3040" w:type="dxa"/>
            <w:vAlign w:val="bottom"/>
            <w:vMerge w:val="restart"/>
          </w:tcPr>
          <w:p>
            <w:pPr>
              <w:jc w:val="center"/>
              <w:ind w:right="92"/>
              <w:spacing w:after="0"/>
              <w:rPr>
                <w:sz w:val="20"/>
                <w:szCs w:val="20"/>
                <w:color w:val="auto"/>
              </w:rPr>
            </w:pPr>
            <w:r>
              <w:rPr>
                <w:rFonts w:ascii="Arial" w:cs="Arial" w:eastAsia="Arial" w:hAnsi="Arial"/>
                <w:sz w:val="16"/>
                <w:szCs w:val="16"/>
                <w:color w:val="032E5C"/>
              </w:rPr>
              <w:t>Insurance and Annuity Association of</w:t>
            </w:r>
          </w:p>
        </w:tc>
        <w:tc>
          <w:tcPr>
            <w:tcW w:w="7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040" w:type="dxa"/>
            <w:vAlign w:val="bottom"/>
            <w:vMerge w:val="continue"/>
          </w:tcPr>
          <w:p>
            <w:pPr>
              <w:spacing w:after="0"/>
              <w:rPr>
                <w:sz w:val="5"/>
                <w:szCs w:val="5"/>
                <w:color w:val="auto"/>
              </w:rPr>
            </w:pPr>
          </w:p>
        </w:tc>
        <w:tc>
          <w:tcPr>
            <w:tcW w:w="7880" w:type="dxa"/>
            <w:vAlign w:val="bottom"/>
            <w:vMerge w:val="restart"/>
          </w:tcPr>
          <w:p>
            <w:pPr>
              <w:ind w:left="180"/>
              <w:spacing w:after="0"/>
              <w:rPr>
                <w:sz w:val="20"/>
                <w:szCs w:val="20"/>
                <w:color w:val="auto"/>
              </w:rPr>
            </w:pPr>
            <w:r>
              <w:rPr>
                <w:rFonts w:ascii="Arial" w:cs="Arial" w:eastAsia="Arial" w:hAnsi="Arial"/>
                <w:sz w:val="16"/>
                <w:szCs w:val="16"/>
                <w:color w:val="032E5C"/>
              </w:rPr>
              <w:t>corporate customers, from 2006 to 2008. From 2001 to 2006, Mr. Chambers was a corporate lawyer first in</w:t>
            </w:r>
          </w:p>
        </w:tc>
        <w:tc>
          <w:tcPr>
            <w:tcW w:w="0" w:type="dxa"/>
            <w:vAlign w:val="bottom"/>
          </w:tcPr>
          <w:p>
            <w:pPr>
              <w:spacing w:after="0"/>
              <w:rPr>
                <w:sz w:val="1"/>
                <w:szCs w:val="1"/>
                <w:color w:val="auto"/>
              </w:rPr>
            </w:pPr>
          </w:p>
        </w:tc>
      </w:tr>
      <w:tr>
        <w:trPr>
          <w:trHeight w:val="135"/>
        </w:trPr>
        <w:tc>
          <w:tcPr>
            <w:tcW w:w="3040" w:type="dxa"/>
            <w:vAlign w:val="bottom"/>
            <w:vMerge w:val="restart"/>
          </w:tcPr>
          <w:p>
            <w:pPr>
              <w:jc w:val="center"/>
              <w:ind w:right="92"/>
              <w:spacing w:after="0"/>
              <w:rPr>
                <w:sz w:val="20"/>
                <w:szCs w:val="20"/>
                <w:color w:val="auto"/>
              </w:rPr>
            </w:pPr>
            <w:r>
              <w:rPr>
                <w:rFonts w:ascii="Arial" w:cs="Arial" w:eastAsia="Arial" w:hAnsi="Arial"/>
                <w:sz w:val="16"/>
                <w:szCs w:val="16"/>
                <w:color w:val="032E5C"/>
                <w:w w:val="98"/>
              </w:rPr>
              <w:t>America</w:t>
            </w:r>
          </w:p>
        </w:tc>
        <w:tc>
          <w:tcPr>
            <w:tcW w:w="7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040" w:type="dxa"/>
            <w:vAlign w:val="bottom"/>
            <w:vMerge w:val="continue"/>
          </w:tcPr>
          <w:p>
            <w:pPr>
              <w:spacing w:after="0"/>
              <w:rPr>
                <w:sz w:val="6"/>
                <w:szCs w:val="6"/>
                <w:color w:val="auto"/>
              </w:rPr>
            </w:pPr>
          </w:p>
        </w:tc>
        <w:tc>
          <w:tcPr>
            <w:tcW w:w="7880" w:type="dxa"/>
            <w:vAlign w:val="bottom"/>
            <w:vMerge w:val="restart"/>
          </w:tcPr>
          <w:p>
            <w:pPr>
              <w:ind w:left="180"/>
              <w:spacing w:after="0"/>
              <w:rPr>
                <w:sz w:val="20"/>
                <w:szCs w:val="20"/>
                <w:color w:val="auto"/>
              </w:rPr>
            </w:pPr>
            <w:r>
              <w:rPr>
                <w:rFonts w:ascii="Arial" w:cs="Arial" w:eastAsia="Arial" w:hAnsi="Arial"/>
                <w:sz w:val="16"/>
                <w:szCs w:val="16"/>
                <w:color w:val="032E5C"/>
              </w:rPr>
              <w:t>Madrid, Spain, with Uria Menendez Abogados, S.L.P., an international Spanish law firm, from 2001 to 2002,</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7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040" w:type="dxa"/>
            <w:vAlign w:val="bottom"/>
          </w:tcPr>
          <w:p>
            <w:pPr>
              <w:jc w:val="center"/>
              <w:ind w:right="112"/>
              <w:spacing w:after="0"/>
              <w:rPr>
                <w:sz w:val="20"/>
                <w:szCs w:val="20"/>
                <w:color w:val="auto"/>
              </w:rPr>
            </w:pPr>
            <w:r>
              <w:rPr>
                <w:rFonts w:ascii="Arial" w:cs="Arial" w:eastAsia="Arial" w:hAnsi="Arial"/>
                <w:sz w:val="16"/>
                <w:szCs w:val="16"/>
                <w:b w:val="1"/>
                <w:bCs w:val="1"/>
                <w:color w:val="032E5C"/>
              </w:rPr>
              <w:t>Independent</w:t>
            </w:r>
          </w:p>
        </w:tc>
        <w:tc>
          <w:tcPr>
            <w:tcW w:w="7880" w:type="dxa"/>
            <w:vAlign w:val="bottom"/>
          </w:tcPr>
          <w:p>
            <w:pPr>
              <w:ind w:left="180"/>
              <w:spacing w:after="0"/>
              <w:rPr>
                <w:sz w:val="20"/>
                <w:szCs w:val="20"/>
                <w:color w:val="auto"/>
              </w:rPr>
            </w:pPr>
            <w:r>
              <w:rPr>
                <w:rFonts w:ascii="Arial" w:cs="Arial" w:eastAsia="Arial" w:hAnsi="Arial"/>
                <w:sz w:val="16"/>
                <w:szCs w:val="16"/>
                <w:color w:val="032E5C"/>
              </w:rPr>
              <w:t>and then with Simpson Thacher &amp; Bartlett LLP, an international law firm headquartered in New York City,</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7880" w:type="dxa"/>
            <w:vAlign w:val="bottom"/>
          </w:tcPr>
          <w:p>
            <w:pPr>
              <w:ind w:left="180"/>
              <w:spacing w:after="0" w:line="151" w:lineRule="exact"/>
              <w:rPr>
                <w:sz w:val="20"/>
                <w:szCs w:val="20"/>
                <w:color w:val="auto"/>
              </w:rPr>
            </w:pPr>
            <w:r>
              <w:rPr>
                <w:rFonts w:ascii="Arial" w:cs="Arial" w:eastAsia="Arial" w:hAnsi="Arial"/>
                <w:sz w:val="16"/>
                <w:szCs w:val="16"/>
                <w:color w:val="032E5C"/>
              </w:rPr>
              <w:t>from 2002 to 2006. Mr. Chambers received his JD from Harvard Law School and an AB in Political Science,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20" w:type="dxa"/>
            <w:vAlign w:val="bottom"/>
          </w:tcPr>
          <w:p>
            <w:pPr>
              <w:jc w:val="center"/>
              <w:ind w:left="359"/>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48</w:t>
            </w:r>
          </w:p>
        </w:tc>
        <w:tc>
          <w:tcPr>
            <w:tcW w:w="8200" w:type="dxa"/>
            <w:vAlign w:val="bottom"/>
            <w:vMerge w:val="restart"/>
          </w:tcPr>
          <w:p>
            <w:pPr>
              <w:ind w:left="600"/>
              <w:spacing w:after="0"/>
              <w:rPr>
                <w:sz w:val="20"/>
                <w:szCs w:val="20"/>
                <w:color w:val="auto"/>
              </w:rPr>
            </w:pPr>
            <w:r>
              <w:rPr>
                <w:rFonts w:ascii="Arial" w:cs="Arial" w:eastAsia="Arial" w:hAnsi="Arial"/>
                <w:sz w:val="16"/>
                <w:szCs w:val="16"/>
                <w:color w:val="032E5C"/>
              </w:rPr>
              <w:t>Spanish, and Markets &amp; Management from Duke University.</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2820" w:type="dxa"/>
            <w:vAlign w:val="bottom"/>
          </w:tcPr>
          <w:p>
            <w:pPr>
              <w:spacing w:after="0"/>
              <w:rPr>
                <w:sz w:val="4"/>
                <w:szCs w:val="4"/>
                <w:color w:val="auto"/>
              </w:rPr>
            </w:pPr>
          </w:p>
        </w:tc>
        <w:tc>
          <w:tcPr>
            <w:tcW w:w="8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2820" w:type="dxa"/>
            <w:vAlign w:val="bottom"/>
          </w:tcPr>
          <w:p>
            <w:pPr>
              <w:jc w:val="center"/>
              <w:ind w:left="359"/>
              <w:spacing w:after="0"/>
              <w:rPr>
                <w:sz w:val="20"/>
                <w:szCs w:val="20"/>
                <w:color w:val="auto"/>
              </w:rPr>
            </w:pPr>
            <w:r>
              <w:rPr>
                <w:rFonts w:ascii="Arial" w:cs="Arial" w:eastAsia="Arial" w:hAnsi="Arial"/>
                <w:sz w:val="16"/>
                <w:szCs w:val="16"/>
                <w:b w:val="1"/>
                <w:bCs w:val="1"/>
                <w:color w:val="032E5C"/>
              </w:rPr>
              <w:t>Director Since:</w:t>
            </w:r>
          </w:p>
        </w:tc>
        <w:tc>
          <w:tcPr>
            <w:tcW w:w="8200" w:type="dxa"/>
            <w:vAlign w:val="bottom"/>
            <w:vMerge w:val="restart"/>
          </w:tcPr>
          <w:p>
            <w:pPr>
              <w:ind w:left="600"/>
              <w:spacing w:after="0"/>
              <w:rPr>
                <w:sz w:val="20"/>
                <w:szCs w:val="20"/>
                <w:color w:val="auto"/>
              </w:rPr>
            </w:pPr>
            <w:r>
              <w:rPr>
                <w:rFonts w:ascii="Arial" w:cs="Arial" w:eastAsia="Arial" w:hAnsi="Arial"/>
                <w:sz w:val="16"/>
                <w:szCs w:val="16"/>
                <w:b w:val="1"/>
                <w:bCs w:val="1"/>
                <w:color w:val="032E5C"/>
              </w:rPr>
              <w:t>Key Skills and Qualifications:</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820" w:type="dxa"/>
            <w:vAlign w:val="bottom"/>
            <w:vMerge w:val="restart"/>
          </w:tcPr>
          <w:p>
            <w:pPr>
              <w:jc w:val="center"/>
              <w:ind w:left="359"/>
              <w:spacing w:after="0"/>
              <w:rPr>
                <w:sz w:val="20"/>
                <w:szCs w:val="20"/>
                <w:color w:val="auto"/>
              </w:rPr>
            </w:pPr>
            <w:r>
              <w:rPr>
                <w:rFonts w:ascii="Arial" w:cs="Arial" w:eastAsia="Arial" w:hAnsi="Arial"/>
                <w:sz w:val="16"/>
                <w:szCs w:val="16"/>
                <w:color w:val="032E5C"/>
              </w:rPr>
              <w:t>March 2024</w:t>
            </w:r>
          </w:p>
        </w:tc>
        <w:tc>
          <w:tcPr>
            <w:tcW w:w="82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820" w:type="dxa"/>
            <w:vAlign w:val="bottom"/>
            <w:vMerge w:val="continue"/>
          </w:tcPr>
          <w:p>
            <w:pPr>
              <w:spacing w:after="0"/>
              <w:rPr>
                <w:sz w:val="11"/>
                <w:szCs w:val="11"/>
                <w:color w:val="auto"/>
              </w:rPr>
            </w:pPr>
          </w:p>
        </w:tc>
        <w:tc>
          <w:tcPr>
            <w:tcW w:w="8200" w:type="dxa"/>
            <w:vAlign w:val="bottom"/>
            <w:vMerge w:val="restart"/>
          </w:tcPr>
          <w:p>
            <w:pPr>
              <w:ind w:left="780"/>
              <w:spacing w:after="0"/>
              <w:rPr>
                <w:sz w:val="20"/>
                <w:szCs w:val="20"/>
                <w:color w:val="auto"/>
              </w:rPr>
            </w:pPr>
            <w:r>
              <w:rPr>
                <w:rFonts w:ascii="Wingdings" w:cs="Wingdings" w:eastAsia="Wingdings" w:hAnsi="Wingdings"/>
                <w:sz w:val="16"/>
                <w:szCs w:val="16"/>
                <w:b w:val="1"/>
                <w:bCs w:val="1"/>
                <w:color w:val="auto"/>
                <w:w w:val="97"/>
                <w:shd w:val="clear" w:color="auto" w:fill="3E5C7C"/>
              </w:rPr>
              <w:t xml:space="preserve">à  </w:t>
            </w:r>
            <w:r>
              <w:rPr>
                <w:rFonts w:ascii="Arial" w:cs="Arial" w:eastAsia="Arial" w:hAnsi="Arial"/>
                <w:sz w:val="16"/>
                <w:szCs w:val="16"/>
                <w:b w:val="1"/>
                <w:bCs w:val="1"/>
                <w:color w:val="032E5C"/>
                <w:w w:val="97"/>
              </w:rPr>
              <w:t>Leadership</w:t>
            </w:r>
            <w:r>
              <w:rPr>
                <w:rFonts w:ascii="Wingdings" w:cs="Wingdings" w:eastAsia="Wingdings" w:hAnsi="Wingdings"/>
                <w:sz w:val="16"/>
                <w:szCs w:val="16"/>
                <w:b w:val="1"/>
                <w:bCs w:val="1"/>
                <w:color w:val="auto"/>
                <w:w w:val="97"/>
                <w:shd w:val="clear" w:color="auto" w:fill="3E5C7C"/>
              </w:rPr>
              <w:t xml:space="preserve"> </w:t>
            </w:r>
            <w:r>
              <w:rPr>
                <w:rFonts w:ascii="Arial" w:cs="Arial" w:eastAsia="Arial" w:hAnsi="Arial"/>
                <w:sz w:val="16"/>
                <w:szCs w:val="16"/>
                <w:color w:val="032E5C"/>
                <w:w w:val="97"/>
              </w:rPr>
              <w:t>and</w:t>
            </w:r>
            <w:r>
              <w:rPr>
                <w:rFonts w:ascii="Wingdings" w:cs="Wingdings" w:eastAsia="Wingdings" w:hAnsi="Wingdings"/>
                <w:sz w:val="16"/>
                <w:szCs w:val="16"/>
                <w:b w:val="1"/>
                <w:bCs w:val="1"/>
                <w:color w:val="auto"/>
                <w:w w:val="97"/>
                <w:shd w:val="clear" w:color="auto" w:fill="3E5C7C"/>
              </w:rPr>
              <w:t xml:space="preserve"> </w:t>
            </w:r>
            <w:r>
              <w:rPr>
                <w:rFonts w:ascii="Arial" w:cs="Arial" w:eastAsia="Arial" w:hAnsi="Arial"/>
                <w:sz w:val="16"/>
                <w:szCs w:val="16"/>
                <w:b w:val="1"/>
                <w:bCs w:val="1"/>
                <w:color w:val="032E5C"/>
                <w:w w:val="97"/>
              </w:rPr>
              <w:t>Finance</w:t>
            </w:r>
            <w:r>
              <w:rPr>
                <w:rFonts w:ascii="Wingdings" w:cs="Wingdings" w:eastAsia="Wingdings" w:hAnsi="Wingdings"/>
                <w:sz w:val="16"/>
                <w:szCs w:val="16"/>
                <w:b w:val="1"/>
                <w:bCs w:val="1"/>
                <w:color w:val="auto"/>
                <w:w w:val="97"/>
                <w:shd w:val="clear" w:color="auto" w:fill="3E5C7C"/>
              </w:rPr>
              <w:t xml:space="preserve"> </w:t>
            </w:r>
            <w:r>
              <w:rPr>
                <w:rFonts w:ascii="Arial" w:cs="Arial" w:eastAsia="Arial" w:hAnsi="Arial"/>
                <w:sz w:val="16"/>
                <w:szCs w:val="16"/>
                <w:color w:val="032E5C"/>
                <w:w w:val="97"/>
              </w:rPr>
              <w:t>experience—senior executive at a financial services organization and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820" w:type="dxa"/>
            <w:vAlign w:val="bottom"/>
            <w:vMerge w:val="restart"/>
          </w:tcPr>
          <w:p>
            <w:pPr>
              <w:jc w:val="center"/>
              <w:ind w:left="359"/>
              <w:spacing w:after="0"/>
              <w:rPr>
                <w:sz w:val="20"/>
                <w:szCs w:val="20"/>
                <w:color w:val="auto"/>
              </w:rPr>
            </w:pPr>
            <w:r>
              <w:rPr>
                <w:rFonts w:ascii="Arial" w:cs="Arial" w:eastAsia="Arial" w:hAnsi="Arial"/>
                <w:sz w:val="16"/>
                <w:szCs w:val="16"/>
                <w:b w:val="1"/>
                <w:bCs w:val="1"/>
                <w:color w:val="032E5C"/>
              </w:rPr>
              <w:t>Committees:</w:t>
            </w:r>
          </w:p>
        </w:tc>
        <w:tc>
          <w:tcPr>
            <w:tcW w:w="8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20" w:type="dxa"/>
            <w:vAlign w:val="bottom"/>
            <w:vMerge w:val="continue"/>
          </w:tcPr>
          <w:p>
            <w:pPr>
              <w:spacing w:after="0"/>
              <w:rPr>
                <w:sz w:val="13"/>
                <w:szCs w:val="13"/>
                <w:color w:val="auto"/>
              </w:rPr>
            </w:pPr>
          </w:p>
        </w:tc>
        <w:tc>
          <w:tcPr>
            <w:tcW w:w="8200" w:type="dxa"/>
            <w:vAlign w:val="bottom"/>
            <w:vMerge w:val="restart"/>
          </w:tcPr>
          <w:p>
            <w:pPr>
              <w:ind w:left="1100"/>
              <w:spacing w:after="0"/>
              <w:rPr>
                <w:sz w:val="20"/>
                <w:szCs w:val="20"/>
                <w:color w:val="auto"/>
              </w:rPr>
            </w:pPr>
            <w:r>
              <w:rPr>
                <w:rFonts w:ascii="Arial" w:cs="Arial" w:eastAsia="Arial" w:hAnsi="Arial"/>
                <w:sz w:val="16"/>
                <w:szCs w:val="16"/>
                <w:color w:val="032E5C"/>
              </w:rPr>
              <w:t>private provider of financial retirement services (TIAA); formerly held several senior executive roles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820" w:type="dxa"/>
            <w:vAlign w:val="bottom"/>
            <w:vMerge w:val="restart"/>
          </w:tcPr>
          <w:p>
            <w:pPr>
              <w:jc w:val="center"/>
              <w:ind w:left="359"/>
              <w:spacing w:after="0"/>
              <w:rPr>
                <w:sz w:val="20"/>
                <w:szCs w:val="20"/>
                <w:color w:val="auto"/>
              </w:rPr>
            </w:pPr>
            <w:r>
              <w:rPr>
                <w:rFonts w:ascii="Arial" w:cs="Arial" w:eastAsia="Arial" w:hAnsi="Arial"/>
                <w:sz w:val="16"/>
                <w:szCs w:val="16"/>
                <w:color w:val="032E5C"/>
              </w:rPr>
              <w:t>Audit</w:t>
            </w:r>
          </w:p>
        </w:tc>
        <w:tc>
          <w:tcPr>
            <w:tcW w:w="8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820" w:type="dxa"/>
            <w:vAlign w:val="bottom"/>
            <w:vMerge w:val="continue"/>
          </w:tcPr>
          <w:p>
            <w:pPr>
              <w:spacing w:after="0"/>
              <w:rPr>
                <w:sz w:val="14"/>
                <w:szCs w:val="14"/>
                <w:color w:val="auto"/>
              </w:rPr>
            </w:pPr>
          </w:p>
        </w:tc>
        <w:tc>
          <w:tcPr>
            <w:tcW w:w="8200" w:type="dxa"/>
            <w:vAlign w:val="bottom"/>
            <w:vMerge w:val="restart"/>
          </w:tcPr>
          <w:p>
            <w:pPr>
              <w:ind w:left="1100"/>
              <w:spacing w:after="0"/>
              <w:rPr>
                <w:sz w:val="20"/>
                <w:szCs w:val="20"/>
                <w:color w:val="auto"/>
              </w:rPr>
            </w:pPr>
            <w:r>
              <w:rPr>
                <w:rFonts w:ascii="Arial" w:cs="Arial" w:eastAsia="Arial" w:hAnsi="Arial"/>
                <w:sz w:val="16"/>
                <w:szCs w:val="16"/>
                <w:color w:val="032E5C"/>
              </w:rPr>
              <w:t>at a diversified financial services company (JPMorgan Chase); former White House Fellow at the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820" w:type="dxa"/>
            <w:vAlign w:val="bottom"/>
          </w:tcPr>
          <w:p>
            <w:pPr>
              <w:spacing w:after="0"/>
              <w:rPr>
                <w:sz w:val="4"/>
                <w:szCs w:val="4"/>
                <w:color w:val="auto"/>
              </w:rPr>
            </w:pPr>
          </w:p>
        </w:tc>
        <w:tc>
          <w:tcPr>
            <w:tcW w:w="8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820" w:type="dxa"/>
            <w:vAlign w:val="bottom"/>
          </w:tcPr>
          <w:p>
            <w:pPr>
              <w:spacing w:after="0"/>
              <w:rPr>
                <w:sz w:val="17"/>
                <w:szCs w:val="17"/>
                <w:color w:val="auto"/>
              </w:rPr>
            </w:pPr>
          </w:p>
        </w:tc>
        <w:tc>
          <w:tcPr>
            <w:tcW w:w="8200" w:type="dxa"/>
            <w:vAlign w:val="bottom"/>
          </w:tcPr>
          <w:p>
            <w:pPr>
              <w:ind w:left="1100"/>
              <w:spacing w:after="0"/>
              <w:rPr>
                <w:sz w:val="20"/>
                <w:szCs w:val="20"/>
                <w:color w:val="auto"/>
              </w:rPr>
            </w:pPr>
            <w:r>
              <w:rPr>
                <w:rFonts w:ascii="Arial" w:cs="Arial" w:eastAsia="Arial" w:hAnsi="Arial"/>
                <w:sz w:val="16"/>
                <w:szCs w:val="16"/>
                <w:color w:val="032E5C"/>
              </w:rPr>
              <w:t>White House National Economic Council (White House); former Vice President at a diversified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8200" w:type="dxa"/>
            <w:vAlign w:val="bottom"/>
          </w:tcPr>
          <w:p>
            <w:pPr>
              <w:ind w:left="1100"/>
              <w:spacing w:after="0"/>
              <w:rPr>
                <w:sz w:val="20"/>
                <w:szCs w:val="20"/>
                <w:color w:val="auto"/>
              </w:rPr>
            </w:pPr>
            <w:r>
              <w:rPr>
                <w:rFonts w:ascii="Arial" w:cs="Arial" w:eastAsia="Arial" w:hAnsi="Arial"/>
                <w:sz w:val="16"/>
                <w:szCs w:val="16"/>
                <w:color w:val="032E5C"/>
              </w:rPr>
              <w:t>financial services holding company (Citigroup)</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820" w:type="dxa"/>
            <w:vAlign w:val="bottom"/>
          </w:tcPr>
          <w:p>
            <w:pPr>
              <w:spacing w:after="0"/>
              <w:rPr>
                <w:sz w:val="24"/>
                <w:szCs w:val="24"/>
                <w:color w:val="auto"/>
              </w:rPr>
            </w:pPr>
          </w:p>
        </w:tc>
        <w:tc>
          <w:tcPr>
            <w:tcW w:w="8420" w:type="dxa"/>
            <w:vAlign w:val="bottom"/>
            <w:gridSpan w:val="2"/>
          </w:tcPr>
          <w:p>
            <w:pPr>
              <w:ind w:left="780"/>
              <w:spacing w:after="0"/>
              <w:rPr>
                <w:sz w:val="20"/>
                <w:szCs w:val="20"/>
                <w:color w:val="auto"/>
              </w:rPr>
            </w:pPr>
            <w:r>
              <w:rPr>
                <w:rFonts w:ascii="Wingdings" w:cs="Wingdings" w:eastAsia="Wingdings" w:hAnsi="Wingdings"/>
                <w:sz w:val="16"/>
                <w:szCs w:val="16"/>
                <w:b w:val="1"/>
                <w:bCs w:val="1"/>
                <w:color w:val="auto"/>
                <w:w w:val="99"/>
                <w:shd w:val="clear" w:color="auto" w:fill="3E5C7C"/>
              </w:rPr>
              <w:t xml:space="preserve">à  </w:t>
            </w:r>
            <w:r>
              <w:rPr>
                <w:rFonts w:ascii="Arial" w:cs="Arial" w:eastAsia="Arial" w:hAnsi="Arial"/>
                <w:sz w:val="16"/>
                <w:szCs w:val="16"/>
                <w:b w:val="1"/>
                <w:bCs w:val="1"/>
                <w:color w:val="032E5C"/>
                <w:w w:val="99"/>
              </w:rPr>
              <w:t>International</w:t>
            </w:r>
            <w:r>
              <w:rPr>
                <w:rFonts w:ascii="Wingdings" w:cs="Wingdings" w:eastAsia="Wingdings" w:hAnsi="Wingdings"/>
                <w:sz w:val="16"/>
                <w:szCs w:val="16"/>
                <w:b w:val="1"/>
                <w:bCs w:val="1"/>
                <w:color w:val="auto"/>
                <w:w w:val="99"/>
                <w:shd w:val="clear" w:color="auto" w:fill="3E5C7C"/>
              </w:rPr>
              <w:t xml:space="preserve"> </w:t>
            </w:r>
            <w:r>
              <w:rPr>
                <w:rFonts w:ascii="Arial" w:cs="Arial" w:eastAsia="Arial" w:hAnsi="Arial"/>
                <w:sz w:val="16"/>
                <w:szCs w:val="16"/>
                <w:color w:val="032E5C"/>
                <w:w w:val="99"/>
              </w:rPr>
              <w:t>experience—formerly an international corporate law associate in Madrid, Spain, with a</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8200" w:type="dxa"/>
            <w:vAlign w:val="bottom"/>
          </w:tcPr>
          <w:p>
            <w:pPr>
              <w:ind w:left="1100"/>
              <w:spacing w:after="0"/>
              <w:rPr>
                <w:sz w:val="20"/>
                <w:szCs w:val="20"/>
                <w:color w:val="auto"/>
              </w:rPr>
            </w:pPr>
            <w:r>
              <w:rPr>
                <w:rFonts w:ascii="Arial" w:cs="Arial" w:eastAsia="Arial" w:hAnsi="Arial"/>
                <w:sz w:val="16"/>
                <w:szCs w:val="16"/>
                <w:color w:val="032E5C"/>
              </w:rPr>
              <w:t>large Spanish law firm (Uria Menendez Abogados); formerly in the Strategy and Corporate Finance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8200" w:type="dxa"/>
            <w:vAlign w:val="bottom"/>
          </w:tcPr>
          <w:p>
            <w:pPr>
              <w:ind w:left="1100"/>
              <w:spacing w:after="0"/>
              <w:rPr>
                <w:sz w:val="20"/>
                <w:szCs w:val="20"/>
                <w:color w:val="auto"/>
              </w:rPr>
            </w:pPr>
            <w:r>
              <w:rPr>
                <w:rFonts w:ascii="Arial" w:cs="Arial" w:eastAsia="Arial" w:hAnsi="Arial"/>
                <w:sz w:val="16"/>
                <w:szCs w:val="16"/>
                <w:color w:val="032E5C"/>
              </w:rPr>
              <w:t>practice at a global management consulting firm (McKinsey &amp; Co.); former private equity investor at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20" w:type="dxa"/>
            <w:vAlign w:val="bottom"/>
          </w:tcPr>
          <w:p>
            <w:pPr>
              <w:spacing w:after="0"/>
              <w:rPr>
                <w:sz w:val="17"/>
                <w:szCs w:val="17"/>
                <w:color w:val="auto"/>
              </w:rPr>
            </w:pPr>
          </w:p>
        </w:tc>
        <w:tc>
          <w:tcPr>
            <w:tcW w:w="8200" w:type="dxa"/>
            <w:vAlign w:val="bottom"/>
          </w:tcPr>
          <w:p>
            <w:pPr>
              <w:ind w:left="1100"/>
              <w:spacing w:after="0"/>
              <w:rPr>
                <w:sz w:val="20"/>
                <w:szCs w:val="20"/>
                <w:color w:val="auto"/>
              </w:rPr>
            </w:pPr>
            <w:r>
              <w:rPr>
                <w:rFonts w:ascii="Arial" w:cs="Arial" w:eastAsia="Arial" w:hAnsi="Arial"/>
                <w:sz w:val="16"/>
                <w:szCs w:val="16"/>
                <w:color w:val="032E5C"/>
              </w:rPr>
              <w:t>a multinational private equity and venture capital company headquartered in London, United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8200" w:type="dxa"/>
            <w:vAlign w:val="bottom"/>
          </w:tcPr>
          <w:p>
            <w:pPr>
              <w:ind w:left="1100"/>
              <w:spacing w:after="0"/>
              <w:rPr>
                <w:sz w:val="20"/>
                <w:szCs w:val="20"/>
                <w:color w:val="auto"/>
              </w:rPr>
            </w:pPr>
            <w:r>
              <w:rPr>
                <w:rFonts w:ascii="Arial" w:cs="Arial" w:eastAsia="Arial" w:hAnsi="Arial"/>
                <w:sz w:val="16"/>
                <w:szCs w:val="16"/>
                <w:color w:val="032E5C"/>
              </w:rPr>
              <w:t>Kingdom (3i Group plc); former attorney at an international law firm (Simpson Thacher &amp; Bartlett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200" w:type="dxa"/>
            <w:vAlign w:val="bottom"/>
          </w:tcPr>
          <w:p>
            <w:pPr>
              <w:ind w:left="1100"/>
              <w:spacing w:after="0"/>
              <w:rPr>
                <w:sz w:val="20"/>
                <w:szCs w:val="20"/>
                <w:color w:val="auto"/>
              </w:rPr>
            </w:pPr>
            <w:r>
              <w:rPr>
                <w:rFonts w:ascii="Arial" w:cs="Arial" w:eastAsia="Arial" w:hAnsi="Arial"/>
                <w:sz w:val="16"/>
                <w:szCs w:val="16"/>
                <w:color w:val="032E5C"/>
              </w:rPr>
              <w:t>LLP)</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tcBorders>
              <w:bottom w:val="single" w:sz="8" w:color="3E5C7C"/>
            </w:tcBorders>
          </w:tcPr>
          <w:p>
            <w:pPr>
              <w:spacing w:after="0"/>
              <w:rPr>
                <w:sz w:val="18"/>
                <w:szCs w:val="18"/>
                <w:color w:val="auto"/>
              </w:rPr>
            </w:pPr>
          </w:p>
        </w:tc>
        <w:tc>
          <w:tcPr>
            <w:tcW w:w="8200" w:type="dxa"/>
            <w:vAlign w:val="bottom"/>
            <w:tcBorders>
              <w:bottom w:val="single" w:sz="8" w:color="3E5C7C"/>
            </w:tcBorders>
          </w:tcPr>
          <w:p>
            <w:pPr>
              <w:spacing w:after="0"/>
              <w:rPr>
                <w:sz w:val="18"/>
                <w:szCs w:val="18"/>
                <w:color w:val="auto"/>
              </w:rPr>
            </w:pPr>
          </w:p>
        </w:tc>
        <w:tc>
          <w:tcPr>
            <w:tcW w:w="220" w:type="dxa"/>
            <w:vAlign w:val="bottom"/>
            <w:tcBorders>
              <w:bottom w:val="single" w:sz="8" w:color="3E5C7C"/>
            </w:tcBorders>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2820" w:type="dxa"/>
            <w:vAlign w:val="bottom"/>
          </w:tcPr>
          <w:p>
            <w:pPr>
              <w:spacing w:after="0"/>
              <w:rPr>
                <w:sz w:val="24"/>
                <w:szCs w:val="24"/>
                <w:color w:val="auto"/>
              </w:rPr>
            </w:pPr>
          </w:p>
        </w:tc>
        <w:tc>
          <w:tcPr>
            <w:tcW w:w="8200" w:type="dxa"/>
            <w:vAlign w:val="bottom"/>
            <w:vMerge w:val="restart"/>
          </w:tcPr>
          <w:p>
            <w:pPr>
              <w:ind w:left="2000"/>
              <w:spacing w:after="0"/>
              <w:rPr>
                <w:sz w:val="20"/>
                <w:szCs w:val="20"/>
                <w:color w:val="auto"/>
              </w:rPr>
            </w:pPr>
            <w:r>
              <w:rPr>
                <w:rFonts w:ascii="Arial" w:cs="Arial" w:eastAsia="Arial" w:hAnsi="Arial"/>
                <w:sz w:val="16"/>
                <w:szCs w:val="16"/>
                <w:color w:val="98BDE2"/>
              </w:rPr>
              <w:t>2024 Proxy Statement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032E5C"/>
              </w:rPr>
              <w:t>13</w:t>
            </w:r>
          </w:p>
        </w:tc>
        <w:tc>
          <w:tcPr>
            <w:tcW w:w="0" w:type="dxa"/>
            <w:vAlign w:val="bottom"/>
          </w:tcPr>
          <w:p>
            <w:pPr>
              <w:spacing w:after="0"/>
              <w:rPr>
                <w:sz w:val="1"/>
                <w:szCs w:val="1"/>
                <w:color w:val="auto"/>
              </w:rPr>
            </w:pPr>
          </w:p>
        </w:tc>
      </w:tr>
      <w:tr>
        <w:trPr>
          <w:trHeight w:val="60"/>
        </w:trPr>
        <w:tc>
          <w:tcPr>
            <w:tcW w:w="282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282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1</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205740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1573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157345"/>
                    </a:xfrm>
                    <a:prstGeom prst="rect">
                      <a:avLst/>
                    </a:prstGeom>
                    <a:noFill/>
                  </pic:spPr>
                </pic:pic>
              </a:graphicData>
            </a:graphic>
          </wp:anchor>
        </w:drawing>
      </w:r>
    </w:p>
    <w:p>
      <w:pPr>
        <w:spacing w:after="0" w:line="147"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2620" w:type="dxa"/>
            <w:vAlign w:val="bottom"/>
          </w:tcPr>
          <w:p>
            <w:pPr>
              <w:spacing w:after="0"/>
              <w:rPr>
                <w:sz w:val="19"/>
                <w:szCs w:val="19"/>
                <w:color w:val="auto"/>
              </w:rPr>
            </w:pPr>
          </w:p>
        </w:tc>
        <w:tc>
          <w:tcPr>
            <w:tcW w:w="8020" w:type="dxa"/>
            <w:vAlign w:val="bottom"/>
          </w:tcPr>
          <w:p>
            <w:pPr>
              <w:ind w:left="320"/>
              <w:spacing w:after="0"/>
              <w:rPr>
                <w:sz w:val="20"/>
                <w:szCs w:val="20"/>
                <w:color w:val="auto"/>
              </w:rPr>
            </w:pPr>
            <w:r>
              <w:rPr>
                <w:rFonts w:ascii="Arial" w:cs="Arial" w:eastAsia="Arial" w:hAnsi="Arial"/>
                <w:sz w:val="16"/>
                <w:szCs w:val="16"/>
                <w:b w:val="1"/>
                <w:bCs w:val="1"/>
                <w:color w:val="032E5C"/>
              </w:rPr>
              <w:t>Business Experience, Other Directorships and Qualifications</w:t>
            </w:r>
          </w:p>
        </w:tc>
        <w:tc>
          <w:tcPr>
            <w:tcW w:w="0" w:type="dxa"/>
            <w:vAlign w:val="bottom"/>
          </w:tcPr>
          <w:p>
            <w:pPr>
              <w:spacing w:after="0"/>
              <w:rPr>
                <w:sz w:val="1"/>
                <w:szCs w:val="1"/>
                <w:color w:val="auto"/>
              </w:rPr>
            </w:pPr>
          </w:p>
        </w:tc>
      </w:tr>
      <w:tr>
        <w:trPr>
          <w:trHeight w:val="317"/>
        </w:trPr>
        <w:tc>
          <w:tcPr>
            <w:tcW w:w="2620" w:type="dxa"/>
            <w:vAlign w:val="bottom"/>
          </w:tcPr>
          <w:p>
            <w:pPr>
              <w:spacing w:after="0"/>
              <w:rPr>
                <w:sz w:val="24"/>
                <w:szCs w:val="24"/>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Ms. Decker is CEO and co-founder of Raftr, a Community Engagement Platform which was launched in</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2021. In addition, Ms. Decker is the principal of Deck3 Ventures LLC, a privately held consulting and</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advisory firm, a position she has held since 2009. Ms. Decker currently serves on the boards of directors of</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Berkshire Hathaway Inc. and Costco Wholesale Corporation and of private corporations Automattic, Chime</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Financial, and Vox Media, Inc. She previously served on the board of directors of Intel Corporation, Pixar,</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InterPrivate II Acquisition Corp., and Momentive Inc. (formerly SurveyMonkey). During the 2009 - 2010</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academic year, Ms. Decker served as Entrepreneur-in-Residence at Harvard Business School. Prior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that, from June 2000 to April 2009, she held various executive management positions at Yahoo! Inc., a</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global Internet brand, including President (June 2007 to April 2009), head of the Advertiser and Publisher</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Group (December 2006 to June 2007) and Chief Financial Officer (June 2000 to June 2007). Prior to</w:t>
            </w:r>
          </w:p>
        </w:tc>
        <w:tc>
          <w:tcPr>
            <w:tcW w:w="0" w:type="dxa"/>
            <w:vAlign w:val="bottom"/>
          </w:tcPr>
          <w:p>
            <w:pPr>
              <w:spacing w:after="0"/>
              <w:rPr>
                <w:sz w:val="1"/>
                <w:szCs w:val="1"/>
                <w:color w:val="auto"/>
              </w:rPr>
            </w:pPr>
          </w:p>
        </w:tc>
      </w:tr>
      <w:tr>
        <w:trPr>
          <w:trHeight w:val="204"/>
        </w:trPr>
        <w:tc>
          <w:tcPr>
            <w:tcW w:w="2620" w:type="dxa"/>
            <w:vAlign w:val="bottom"/>
            <w:vMerge w:val="restart"/>
          </w:tcPr>
          <w:p>
            <w:pPr>
              <w:jc w:val="center"/>
              <w:ind w:right="234"/>
              <w:spacing w:after="0"/>
              <w:rPr>
                <w:sz w:val="20"/>
                <w:szCs w:val="20"/>
                <w:color w:val="auto"/>
              </w:rPr>
            </w:pPr>
            <w:r>
              <w:rPr>
                <w:rFonts w:ascii="Arial" w:cs="Arial" w:eastAsia="Arial" w:hAnsi="Arial"/>
                <w:sz w:val="25"/>
                <w:szCs w:val="25"/>
                <w:b w:val="1"/>
                <w:bCs w:val="1"/>
                <w:color w:val="032E5C"/>
              </w:rPr>
              <w:t>SUSAN L. DECKER</w:t>
            </w:r>
          </w:p>
        </w:tc>
        <w:tc>
          <w:tcPr>
            <w:tcW w:w="8020" w:type="dxa"/>
            <w:vAlign w:val="bottom"/>
          </w:tcPr>
          <w:p>
            <w:pPr>
              <w:ind w:left="320"/>
              <w:spacing w:after="0"/>
              <w:rPr>
                <w:sz w:val="20"/>
                <w:szCs w:val="20"/>
                <w:color w:val="auto"/>
              </w:rPr>
            </w:pPr>
            <w:r>
              <w:rPr>
                <w:rFonts w:ascii="Arial" w:cs="Arial" w:eastAsia="Arial" w:hAnsi="Arial"/>
                <w:sz w:val="16"/>
                <w:szCs w:val="16"/>
                <w:color w:val="032E5C"/>
              </w:rPr>
              <w:t>joining Yahoo!, she spent 14 years with Donaldson, Lufkin &amp; Jenrette ("DLJ"), most recently as Managing</w:t>
            </w:r>
          </w:p>
        </w:tc>
        <w:tc>
          <w:tcPr>
            <w:tcW w:w="0" w:type="dxa"/>
            <w:vAlign w:val="bottom"/>
          </w:tcPr>
          <w:p>
            <w:pPr>
              <w:spacing w:after="0"/>
              <w:rPr>
                <w:sz w:val="1"/>
                <w:szCs w:val="1"/>
                <w:color w:val="auto"/>
              </w:rPr>
            </w:pPr>
          </w:p>
        </w:tc>
      </w:tr>
      <w:tr>
        <w:trPr>
          <w:trHeight w:val="215"/>
        </w:trPr>
        <w:tc>
          <w:tcPr>
            <w:tcW w:w="2620" w:type="dxa"/>
            <w:vAlign w:val="bottom"/>
            <w:vMerge w:val="continue"/>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6"/>
                <w:szCs w:val="16"/>
                <w:color w:val="032E5C"/>
              </w:rPr>
              <w:t>Director, global equity research (1998 - 2000), and previously as an equity research analyst, covering</w:t>
            </w:r>
          </w:p>
        </w:tc>
        <w:tc>
          <w:tcPr>
            <w:tcW w:w="0" w:type="dxa"/>
            <w:vAlign w:val="bottom"/>
          </w:tcPr>
          <w:p>
            <w:pPr>
              <w:spacing w:after="0"/>
              <w:rPr>
                <w:sz w:val="1"/>
                <w:szCs w:val="1"/>
                <w:color w:val="auto"/>
              </w:rPr>
            </w:pPr>
          </w:p>
        </w:tc>
      </w:tr>
      <w:tr>
        <w:trPr>
          <w:trHeight w:val="216"/>
        </w:trPr>
        <w:tc>
          <w:tcPr>
            <w:tcW w:w="2620" w:type="dxa"/>
            <w:vAlign w:val="bottom"/>
            <w:vMerge w:val="restart"/>
          </w:tcPr>
          <w:p>
            <w:pPr>
              <w:ind w:left="320"/>
              <w:spacing w:after="0"/>
              <w:rPr>
                <w:sz w:val="20"/>
                <w:szCs w:val="20"/>
                <w:color w:val="auto"/>
              </w:rPr>
            </w:pPr>
            <w:r>
              <w:rPr>
                <w:rFonts w:ascii="Arial" w:cs="Arial" w:eastAsia="Arial" w:hAnsi="Arial"/>
                <w:sz w:val="16"/>
                <w:szCs w:val="16"/>
                <w:color w:val="032E5C"/>
              </w:rPr>
              <w:t>CEO and Co-Founder,</w:t>
            </w:r>
          </w:p>
        </w:tc>
        <w:tc>
          <w:tcPr>
            <w:tcW w:w="8020" w:type="dxa"/>
            <w:vAlign w:val="bottom"/>
          </w:tcPr>
          <w:p>
            <w:pPr>
              <w:ind w:left="320"/>
              <w:spacing w:after="0"/>
              <w:rPr>
                <w:sz w:val="20"/>
                <w:szCs w:val="20"/>
                <w:color w:val="auto"/>
              </w:rPr>
            </w:pPr>
            <w:r>
              <w:rPr>
                <w:rFonts w:ascii="Arial" w:cs="Arial" w:eastAsia="Arial" w:hAnsi="Arial"/>
                <w:sz w:val="16"/>
                <w:szCs w:val="16"/>
                <w:color w:val="032E5C"/>
              </w:rPr>
              <w:t>publishing and advertising stocks from 1986 to 1998.</w:t>
            </w: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8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20" w:type="dxa"/>
            <w:vAlign w:val="bottom"/>
          </w:tcPr>
          <w:p>
            <w:pPr>
              <w:jc w:val="center"/>
              <w:ind w:right="234"/>
              <w:spacing w:after="0"/>
              <w:rPr>
                <w:sz w:val="20"/>
                <w:szCs w:val="20"/>
                <w:color w:val="auto"/>
              </w:rPr>
            </w:pPr>
            <w:r>
              <w:rPr>
                <w:rFonts w:ascii="Arial" w:cs="Arial" w:eastAsia="Arial" w:hAnsi="Arial"/>
                <w:sz w:val="16"/>
                <w:szCs w:val="16"/>
                <w:color w:val="032E5C"/>
                <w:w w:val="97"/>
              </w:rPr>
              <w:t>Raftr</w:t>
            </w:r>
          </w:p>
        </w:tc>
        <w:tc>
          <w:tcPr>
            <w:tcW w:w="8020" w:type="dxa"/>
            <w:vAlign w:val="bottom"/>
            <w:vMerge w:val="restart"/>
          </w:tcPr>
          <w:p>
            <w:pPr>
              <w:ind w:left="320"/>
              <w:spacing w:after="0"/>
              <w:rPr>
                <w:sz w:val="20"/>
                <w:szCs w:val="20"/>
                <w:color w:val="auto"/>
              </w:rPr>
            </w:pPr>
            <w:r>
              <w:rPr>
                <w:rFonts w:ascii="Arial" w:cs="Arial" w:eastAsia="Arial" w:hAnsi="Arial"/>
                <w:sz w:val="16"/>
                <w:szCs w:val="16"/>
                <w:b w:val="1"/>
                <w:bCs w:val="1"/>
                <w:color w:val="032E5C"/>
              </w:rPr>
              <w:t>Key Skills and Qualifications:</w:t>
            </w:r>
          </w:p>
        </w:tc>
        <w:tc>
          <w:tcPr>
            <w:tcW w:w="0" w:type="dxa"/>
            <w:vAlign w:val="bottom"/>
          </w:tcPr>
          <w:p>
            <w:pPr>
              <w:spacing w:after="0"/>
              <w:rPr>
                <w:sz w:val="1"/>
                <w:szCs w:val="1"/>
                <w:color w:val="auto"/>
              </w:rPr>
            </w:pPr>
          </w:p>
        </w:tc>
      </w:tr>
      <w:tr>
        <w:trPr>
          <w:trHeight w:val="62"/>
        </w:trPr>
        <w:tc>
          <w:tcPr>
            <w:tcW w:w="2620" w:type="dxa"/>
            <w:vAlign w:val="bottom"/>
          </w:tcPr>
          <w:p>
            <w:pPr>
              <w:spacing w:after="0"/>
              <w:rPr>
                <w:sz w:val="5"/>
                <w:szCs w:val="5"/>
                <w:color w:val="auto"/>
              </w:rPr>
            </w:pPr>
          </w:p>
        </w:tc>
        <w:tc>
          <w:tcPr>
            <w:tcW w:w="8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2620" w:type="dxa"/>
            <w:vAlign w:val="bottom"/>
          </w:tcPr>
          <w:p>
            <w:pPr>
              <w:jc w:val="center"/>
              <w:ind w:right="254"/>
              <w:spacing w:after="0"/>
              <w:rPr>
                <w:sz w:val="20"/>
                <w:szCs w:val="20"/>
                <w:color w:val="auto"/>
              </w:rPr>
            </w:pPr>
            <w:r>
              <w:rPr>
                <w:rFonts w:ascii="Arial" w:cs="Arial" w:eastAsia="Arial" w:hAnsi="Arial"/>
                <w:sz w:val="16"/>
                <w:szCs w:val="16"/>
                <w:b w:val="1"/>
                <w:bCs w:val="1"/>
                <w:color w:val="032E5C"/>
              </w:rPr>
              <w:t>Independent</w:t>
            </w:r>
          </w:p>
        </w:tc>
        <w:tc>
          <w:tcPr>
            <w:tcW w:w="8020" w:type="dxa"/>
            <w:vAlign w:val="bottom"/>
          </w:tcPr>
          <w:p>
            <w:pPr>
              <w:jc w:val="right"/>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b w:val="1"/>
                <w:bCs w:val="1"/>
                <w:color w:val="032E5C"/>
              </w:rPr>
              <w:t>Leadership</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and</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b w:val="1"/>
                <w:bCs w:val="1"/>
                <w:color w:val="032E5C"/>
              </w:rPr>
              <w:t>Finance</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experience—former lead director of an international manufacturer of</w:t>
            </w:r>
          </w:p>
        </w:tc>
        <w:tc>
          <w:tcPr>
            <w:tcW w:w="0" w:type="dxa"/>
            <w:vAlign w:val="bottom"/>
          </w:tcPr>
          <w:p>
            <w:pPr>
              <w:spacing w:after="0"/>
              <w:rPr>
                <w:sz w:val="1"/>
                <w:szCs w:val="1"/>
                <w:color w:val="auto"/>
              </w:rPr>
            </w:pPr>
          </w:p>
        </w:tc>
      </w:tr>
      <w:tr>
        <w:trPr>
          <w:trHeight w:val="215"/>
        </w:trPr>
        <w:tc>
          <w:tcPr>
            <w:tcW w:w="2620" w:type="dxa"/>
            <w:vAlign w:val="bottom"/>
            <w:vMerge w:val="restart"/>
          </w:tcPr>
          <w:p>
            <w:pPr>
              <w:jc w:val="center"/>
              <w:ind w:right="234"/>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61</w:t>
            </w:r>
          </w:p>
        </w:tc>
        <w:tc>
          <w:tcPr>
            <w:tcW w:w="8020" w:type="dxa"/>
            <w:vAlign w:val="bottom"/>
          </w:tcPr>
          <w:p>
            <w:pPr>
              <w:jc w:val="right"/>
              <w:spacing w:after="0"/>
              <w:rPr>
                <w:sz w:val="20"/>
                <w:szCs w:val="20"/>
                <w:color w:val="auto"/>
              </w:rPr>
            </w:pPr>
            <w:r>
              <w:rPr>
                <w:rFonts w:ascii="Arial" w:cs="Arial" w:eastAsia="Arial" w:hAnsi="Arial"/>
                <w:sz w:val="16"/>
                <w:szCs w:val="16"/>
                <w:color w:val="032E5C"/>
              </w:rPr>
              <w:t>microprocessors and chipsets (Intel); current principal of corporate advisory firm (Deck3); former</w:t>
            </w:r>
          </w:p>
        </w:tc>
        <w:tc>
          <w:tcPr>
            <w:tcW w:w="0" w:type="dxa"/>
            <w:vAlign w:val="bottom"/>
          </w:tcPr>
          <w:p>
            <w:pPr>
              <w:spacing w:after="0"/>
              <w:rPr>
                <w:sz w:val="1"/>
                <w:szCs w:val="1"/>
                <w:color w:val="auto"/>
              </w:rPr>
            </w:pPr>
          </w:p>
        </w:tc>
      </w:tr>
      <w:tr>
        <w:trPr>
          <w:trHeight w:val="103"/>
        </w:trPr>
        <w:tc>
          <w:tcPr>
            <w:tcW w:w="2620" w:type="dxa"/>
            <w:vAlign w:val="bottom"/>
            <w:vMerge w:val="continue"/>
          </w:tcPr>
          <w:p>
            <w:pPr>
              <w:spacing w:after="0"/>
              <w:rPr>
                <w:sz w:val="8"/>
                <w:szCs w:val="8"/>
                <w:color w:val="auto"/>
              </w:rPr>
            </w:pPr>
          </w:p>
        </w:tc>
        <w:tc>
          <w:tcPr>
            <w:tcW w:w="8020" w:type="dxa"/>
            <w:vAlign w:val="bottom"/>
            <w:vMerge w:val="restart"/>
          </w:tcPr>
          <w:p>
            <w:pPr>
              <w:jc w:val="right"/>
              <w:spacing w:after="0"/>
              <w:rPr>
                <w:sz w:val="20"/>
                <w:szCs w:val="20"/>
                <w:color w:val="auto"/>
              </w:rPr>
            </w:pPr>
            <w:r>
              <w:rPr>
                <w:rFonts w:ascii="Arial" w:cs="Arial" w:eastAsia="Arial" w:hAnsi="Arial"/>
                <w:sz w:val="16"/>
                <w:szCs w:val="16"/>
                <w:color w:val="032E5C"/>
              </w:rPr>
              <w:t>president and CFO of large public global technology company (Yahoo!); former entrepreneur-in-</w:t>
            </w:r>
          </w:p>
        </w:tc>
        <w:tc>
          <w:tcPr>
            <w:tcW w:w="0" w:type="dxa"/>
            <w:vAlign w:val="bottom"/>
          </w:tcPr>
          <w:p>
            <w:pPr>
              <w:spacing w:after="0"/>
              <w:rPr>
                <w:sz w:val="1"/>
                <w:szCs w:val="1"/>
                <w:color w:val="auto"/>
              </w:rPr>
            </w:pPr>
          </w:p>
        </w:tc>
      </w:tr>
      <w:tr>
        <w:trPr>
          <w:trHeight w:val="113"/>
        </w:trPr>
        <w:tc>
          <w:tcPr>
            <w:tcW w:w="2620" w:type="dxa"/>
            <w:vAlign w:val="bottom"/>
          </w:tcPr>
          <w:p>
            <w:pPr>
              <w:spacing w:after="0"/>
              <w:rPr>
                <w:sz w:val="9"/>
                <w:szCs w:val="9"/>
                <w:color w:val="auto"/>
              </w:rPr>
            </w:pPr>
          </w:p>
        </w:tc>
        <w:tc>
          <w:tcPr>
            <w:tcW w:w="8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620" w:type="dxa"/>
            <w:vAlign w:val="bottom"/>
          </w:tcPr>
          <w:p>
            <w:pPr>
              <w:jc w:val="center"/>
              <w:ind w:right="234"/>
              <w:spacing w:after="0"/>
              <w:rPr>
                <w:sz w:val="20"/>
                <w:szCs w:val="20"/>
                <w:color w:val="auto"/>
              </w:rPr>
            </w:pPr>
            <w:r>
              <w:rPr>
                <w:rFonts w:ascii="Arial" w:cs="Arial" w:eastAsia="Arial" w:hAnsi="Arial"/>
                <w:sz w:val="16"/>
                <w:szCs w:val="16"/>
                <w:b w:val="1"/>
                <w:bCs w:val="1"/>
                <w:color w:val="032E5C"/>
              </w:rPr>
              <w:t>Director Since:</w:t>
            </w:r>
          </w:p>
        </w:tc>
        <w:tc>
          <w:tcPr>
            <w:tcW w:w="8020" w:type="dxa"/>
            <w:vAlign w:val="bottom"/>
          </w:tcPr>
          <w:p>
            <w:pPr>
              <w:jc w:val="right"/>
              <w:spacing w:after="0"/>
              <w:rPr>
                <w:sz w:val="20"/>
                <w:szCs w:val="20"/>
                <w:color w:val="auto"/>
              </w:rPr>
            </w:pPr>
            <w:r>
              <w:rPr>
                <w:rFonts w:ascii="Arial" w:cs="Arial" w:eastAsia="Arial" w:hAnsi="Arial"/>
                <w:sz w:val="16"/>
                <w:szCs w:val="16"/>
                <w:color w:val="032E5C"/>
              </w:rPr>
              <w:t>residence for leading business school (Harvard); former global director of equity research for an</w:t>
            </w:r>
          </w:p>
        </w:tc>
        <w:tc>
          <w:tcPr>
            <w:tcW w:w="0" w:type="dxa"/>
            <w:vAlign w:val="bottom"/>
          </w:tcPr>
          <w:p>
            <w:pPr>
              <w:spacing w:after="0"/>
              <w:rPr>
                <w:sz w:val="1"/>
                <w:szCs w:val="1"/>
                <w:color w:val="auto"/>
              </w:rPr>
            </w:pPr>
          </w:p>
        </w:tc>
      </w:tr>
      <w:tr>
        <w:trPr>
          <w:trHeight w:val="228"/>
        </w:trPr>
        <w:tc>
          <w:tcPr>
            <w:tcW w:w="2620" w:type="dxa"/>
            <w:vAlign w:val="bottom"/>
          </w:tcPr>
          <w:p>
            <w:pPr>
              <w:jc w:val="center"/>
              <w:ind w:right="254"/>
              <w:spacing w:after="0"/>
              <w:rPr>
                <w:sz w:val="20"/>
                <w:szCs w:val="20"/>
                <w:color w:val="auto"/>
              </w:rPr>
            </w:pPr>
            <w:r>
              <w:rPr>
                <w:rFonts w:ascii="Arial" w:cs="Arial" w:eastAsia="Arial" w:hAnsi="Arial"/>
                <w:sz w:val="16"/>
                <w:szCs w:val="16"/>
                <w:color w:val="032E5C"/>
              </w:rPr>
              <w:t>September 2015</w:t>
            </w:r>
          </w:p>
        </w:tc>
        <w:tc>
          <w:tcPr>
            <w:tcW w:w="8020" w:type="dxa"/>
            <w:vAlign w:val="bottom"/>
          </w:tcPr>
          <w:p>
            <w:pPr>
              <w:ind w:left="820"/>
              <w:spacing w:after="0"/>
              <w:rPr>
                <w:sz w:val="20"/>
                <w:szCs w:val="20"/>
                <w:color w:val="auto"/>
              </w:rPr>
            </w:pPr>
            <w:r>
              <w:rPr>
                <w:rFonts w:ascii="Arial" w:cs="Arial" w:eastAsia="Arial" w:hAnsi="Arial"/>
                <w:sz w:val="16"/>
                <w:szCs w:val="16"/>
                <w:color w:val="032E5C"/>
              </w:rPr>
              <w:t>investment bank (DLJ)</w:t>
            </w:r>
          </w:p>
        </w:tc>
        <w:tc>
          <w:tcPr>
            <w:tcW w:w="0" w:type="dxa"/>
            <w:vAlign w:val="bottom"/>
          </w:tcPr>
          <w:p>
            <w:pPr>
              <w:spacing w:after="0"/>
              <w:rPr>
                <w:sz w:val="1"/>
                <w:szCs w:val="1"/>
                <w:color w:val="auto"/>
              </w:rPr>
            </w:pPr>
          </w:p>
        </w:tc>
      </w:tr>
      <w:tr>
        <w:trPr>
          <w:trHeight w:val="325"/>
        </w:trPr>
        <w:tc>
          <w:tcPr>
            <w:tcW w:w="2620" w:type="dxa"/>
            <w:vAlign w:val="bottom"/>
          </w:tcPr>
          <w:p>
            <w:pPr>
              <w:jc w:val="center"/>
              <w:ind w:right="234"/>
              <w:spacing w:after="0"/>
              <w:rPr>
                <w:sz w:val="20"/>
                <w:szCs w:val="20"/>
                <w:color w:val="auto"/>
              </w:rPr>
            </w:pPr>
            <w:r>
              <w:rPr>
                <w:rFonts w:ascii="Arial" w:cs="Arial" w:eastAsia="Arial" w:hAnsi="Arial"/>
                <w:sz w:val="16"/>
                <w:szCs w:val="16"/>
                <w:b w:val="1"/>
                <w:bCs w:val="1"/>
                <w:color w:val="032E5C"/>
              </w:rPr>
              <w:t>Committees:</w:t>
            </w:r>
          </w:p>
        </w:tc>
        <w:tc>
          <w:tcPr>
            <w:tcW w:w="8020" w:type="dxa"/>
            <w:vAlign w:val="bottom"/>
          </w:tcPr>
          <w:p>
            <w:pPr>
              <w:jc w:val="right"/>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b w:val="1"/>
                <w:bCs w:val="1"/>
                <w:color w:val="032E5C"/>
              </w:rPr>
              <w:t>Technology</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and</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b w:val="1"/>
                <w:bCs w:val="1"/>
                <w:color w:val="032E5C"/>
              </w:rPr>
              <w:t>International</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experience—director of a large, diverse multinational conglomerate</w:t>
            </w:r>
          </w:p>
        </w:tc>
        <w:tc>
          <w:tcPr>
            <w:tcW w:w="0" w:type="dxa"/>
            <w:vAlign w:val="bottom"/>
          </w:tcPr>
          <w:p>
            <w:pPr>
              <w:spacing w:after="0"/>
              <w:rPr>
                <w:sz w:val="1"/>
                <w:szCs w:val="1"/>
                <w:color w:val="auto"/>
              </w:rPr>
            </w:pPr>
          </w:p>
        </w:tc>
      </w:tr>
      <w:tr>
        <w:trPr>
          <w:trHeight w:val="216"/>
        </w:trPr>
        <w:tc>
          <w:tcPr>
            <w:tcW w:w="2620" w:type="dxa"/>
            <w:vAlign w:val="bottom"/>
          </w:tcPr>
          <w:p>
            <w:pPr>
              <w:jc w:val="center"/>
              <w:ind w:right="234"/>
              <w:spacing w:after="0"/>
              <w:rPr>
                <w:sz w:val="20"/>
                <w:szCs w:val="20"/>
                <w:color w:val="auto"/>
              </w:rPr>
            </w:pPr>
            <w:r>
              <w:rPr>
                <w:rFonts w:ascii="Arial" w:cs="Arial" w:eastAsia="Arial" w:hAnsi="Arial"/>
                <w:sz w:val="16"/>
                <w:szCs w:val="16"/>
                <w:color w:val="032E5C"/>
              </w:rPr>
              <w:t>Compensation</w:t>
            </w:r>
          </w:p>
        </w:tc>
        <w:tc>
          <w:tcPr>
            <w:tcW w:w="8020" w:type="dxa"/>
            <w:vAlign w:val="bottom"/>
          </w:tcPr>
          <w:p>
            <w:pPr>
              <w:jc w:val="right"/>
              <w:spacing w:after="0"/>
              <w:rPr>
                <w:sz w:val="20"/>
                <w:szCs w:val="20"/>
                <w:color w:val="auto"/>
              </w:rPr>
            </w:pPr>
            <w:r>
              <w:rPr>
                <w:rFonts w:ascii="Arial" w:cs="Arial" w:eastAsia="Arial" w:hAnsi="Arial"/>
                <w:sz w:val="16"/>
                <w:szCs w:val="16"/>
                <w:color w:val="032E5C"/>
              </w:rPr>
              <w:t>(Berkshire); director of a financial technology and mobile banking company (Chime); director of a</w:t>
            </w:r>
          </w:p>
        </w:tc>
        <w:tc>
          <w:tcPr>
            <w:tcW w:w="0" w:type="dxa"/>
            <w:vAlign w:val="bottom"/>
          </w:tcPr>
          <w:p>
            <w:pPr>
              <w:spacing w:after="0"/>
              <w:rPr>
                <w:sz w:val="1"/>
                <w:szCs w:val="1"/>
                <w:color w:val="auto"/>
              </w:rPr>
            </w:pPr>
          </w:p>
        </w:tc>
      </w:tr>
      <w:tr>
        <w:trPr>
          <w:trHeight w:val="164"/>
        </w:trPr>
        <w:tc>
          <w:tcPr>
            <w:tcW w:w="2620" w:type="dxa"/>
            <w:vAlign w:val="bottom"/>
          </w:tcPr>
          <w:p>
            <w:pPr>
              <w:spacing w:after="0"/>
              <w:rPr>
                <w:sz w:val="14"/>
                <w:szCs w:val="14"/>
                <w:color w:val="auto"/>
              </w:rPr>
            </w:pPr>
          </w:p>
        </w:tc>
        <w:tc>
          <w:tcPr>
            <w:tcW w:w="8020" w:type="dxa"/>
            <w:vAlign w:val="bottom"/>
          </w:tcPr>
          <w:p>
            <w:pPr>
              <w:jc w:val="right"/>
              <w:spacing w:after="0" w:line="165" w:lineRule="exact"/>
              <w:rPr>
                <w:sz w:val="20"/>
                <w:szCs w:val="20"/>
                <w:color w:val="auto"/>
              </w:rPr>
            </w:pPr>
            <w:r>
              <w:rPr>
                <w:rFonts w:ascii="Arial" w:cs="Arial" w:eastAsia="Arial" w:hAnsi="Arial"/>
                <w:sz w:val="16"/>
                <w:szCs w:val="16"/>
                <w:color w:val="032E5C"/>
              </w:rPr>
              <w:t>leading global retailer (Costco); former director of an international manufacturer of microprocessors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Pr>
          <w:p>
            <w:pPr>
              <w:spacing w:after="0"/>
              <w:rPr>
                <w:sz w:val="18"/>
                <w:szCs w:val="18"/>
                <w:color w:val="auto"/>
              </w:rPr>
            </w:pPr>
          </w:p>
        </w:tc>
        <w:tc>
          <w:tcPr>
            <w:tcW w:w="2980" w:type="dxa"/>
            <w:vAlign w:val="bottom"/>
          </w:tcPr>
          <w:p>
            <w:pPr>
              <w:jc w:val="center"/>
              <w:ind w:right="359"/>
              <w:spacing w:after="0"/>
              <w:rPr>
                <w:sz w:val="20"/>
                <w:szCs w:val="20"/>
                <w:color w:val="auto"/>
              </w:rPr>
            </w:pPr>
            <w:r>
              <w:rPr>
                <w:rFonts w:ascii="Arial" w:cs="Arial" w:eastAsia="Arial" w:hAnsi="Arial"/>
                <w:sz w:val="16"/>
                <w:szCs w:val="16"/>
                <w:b w:val="1"/>
                <w:bCs w:val="1"/>
                <w:color w:val="032E5C"/>
              </w:rPr>
              <w:t>Current Public Directorships:</w:t>
            </w:r>
          </w:p>
        </w:tc>
        <w:tc>
          <w:tcPr>
            <w:tcW w:w="7900" w:type="dxa"/>
            <w:vAlign w:val="bottom"/>
            <w:vMerge w:val="restart"/>
          </w:tcPr>
          <w:p>
            <w:pPr>
              <w:ind w:left="580"/>
              <w:spacing w:after="0"/>
              <w:rPr>
                <w:sz w:val="20"/>
                <w:szCs w:val="20"/>
                <w:color w:val="auto"/>
              </w:rPr>
            </w:pPr>
            <w:r>
              <w:rPr>
                <w:rFonts w:ascii="Arial" w:cs="Arial" w:eastAsia="Arial" w:hAnsi="Arial"/>
                <w:sz w:val="16"/>
                <w:szCs w:val="16"/>
                <w:color w:val="032E5C"/>
              </w:rPr>
              <w:t>and chipsets company (Intel); leadership positions at large public global technology company</w:t>
            </w:r>
          </w:p>
        </w:tc>
        <w:tc>
          <w:tcPr>
            <w:tcW w:w="0" w:type="dxa"/>
            <w:vAlign w:val="bottom"/>
          </w:tcPr>
          <w:p>
            <w:pPr>
              <w:spacing w:after="0"/>
              <w:rPr>
                <w:sz w:val="1"/>
                <w:szCs w:val="1"/>
                <w:color w:val="auto"/>
              </w:rPr>
            </w:pPr>
          </w:p>
        </w:tc>
      </w:tr>
      <w:tr>
        <w:trPr>
          <w:trHeight w:val="40"/>
        </w:trPr>
        <w:tc>
          <w:tcPr>
            <w:tcW w:w="360" w:type="dxa"/>
            <w:vAlign w:val="bottom"/>
          </w:tcPr>
          <w:p>
            <w:pPr>
              <w:spacing w:after="0"/>
              <w:rPr>
                <w:sz w:val="3"/>
                <w:szCs w:val="3"/>
                <w:color w:val="auto"/>
              </w:rPr>
            </w:pPr>
          </w:p>
        </w:tc>
        <w:tc>
          <w:tcPr>
            <w:tcW w:w="2980" w:type="dxa"/>
            <w:vAlign w:val="bottom"/>
            <w:vMerge w:val="restart"/>
          </w:tcPr>
          <w:p>
            <w:pPr>
              <w:jc w:val="center"/>
              <w:ind w:right="359"/>
              <w:spacing w:after="0"/>
              <w:rPr>
                <w:sz w:val="20"/>
                <w:szCs w:val="20"/>
                <w:color w:val="auto"/>
              </w:rPr>
            </w:pPr>
            <w:r>
              <w:rPr>
                <w:rFonts w:ascii="Arial" w:cs="Arial" w:eastAsia="Arial" w:hAnsi="Arial"/>
                <w:sz w:val="16"/>
                <w:szCs w:val="16"/>
                <w:color w:val="032E5C"/>
              </w:rPr>
              <w:t>Berkshire Hathaway, Inc.</w:t>
            </w:r>
          </w:p>
        </w:tc>
        <w:tc>
          <w:tcPr>
            <w:tcW w:w="7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36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7900" w:type="dxa"/>
            <w:vAlign w:val="bottom"/>
            <w:vMerge w:val="restart"/>
          </w:tcPr>
          <w:p>
            <w:pPr>
              <w:ind w:left="580"/>
              <w:spacing w:after="0"/>
              <w:rPr>
                <w:sz w:val="20"/>
                <w:szCs w:val="20"/>
                <w:color w:val="auto"/>
              </w:rPr>
            </w:pPr>
            <w:r>
              <w:rPr>
                <w:rFonts w:ascii="Arial" w:cs="Arial" w:eastAsia="Arial" w:hAnsi="Arial"/>
                <w:sz w:val="16"/>
                <w:szCs w:val="16"/>
                <w:color w:val="032E5C"/>
              </w:rPr>
              <w:t>(Yahoo!); former director of global equity research for an investment bank (DLJ); former director of a</w:t>
            </w:r>
          </w:p>
        </w:tc>
        <w:tc>
          <w:tcPr>
            <w:tcW w:w="0" w:type="dxa"/>
            <w:vAlign w:val="bottom"/>
          </w:tcPr>
          <w:p>
            <w:pPr>
              <w:spacing w:after="0"/>
              <w:rPr>
                <w:sz w:val="1"/>
                <w:szCs w:val="1"/>
                <w:color w:val="auto"/>
              </w:rPr>
            </w:pPr>
          </w:p>
        </w:tc>
      </w:tr>
      <w:tr>
        <w:trPr>
          <w:trHeight w:val="52"/>
        </w:trPr>
        <w:tc>
          <w:tcPr>
            <w:tcW w:w="360" w:type="dxa"/>
            <w:vAlign w:val="bottom"/>
          </w:tcPr>
          <w:p>
            <w:pPr>
              <w:spacing w:after="0"/>
              <w:rPr>
                <w:sz w:val="4"/>
                <w:szCs w:val="4"/>
                <w:color w:val="auto"/>
              </w:rPr>
            </w:pPr>
          </w:p>
        </w:tc>
        <w:tc>
          <w:tcPr>
            <w:tcW w:w="2980" w:type="dxa"/>
            <w:vAlign w:val="bottom"/>
            <w:vMerge w:val="restart"/>
          </w:tcPr>
          <w:p>
            <w:pPr>
              <w:jc w:val="center"/>
              <w:ind w:right="379"/>
              <w:spacing w:after="0"/>
              <w:rPr>
                <w:sz w:val="20"/>
                <w:szCs w:val="20"/>
                <w:color w:val="auto"/>
              </w:rPr>
            </w:pPr>
            <w:r>
              <w:rPr>
                <w:rFonts w:ascii="Arial" w:cs="Arial" w:eastAsia="Arial" w:hAnsi="Arial"/>
                <w:sz w:val="16"/>
                <w:szCs w:val="16"/>
                <w:color w:val="032E5C"/>
              </w:rPr>
              <w:t>Costco Wholesale Corporation</w:t>
            </w:r>
          </w:p>
        </w:tc>
        <w:tc>
          <w:tcPr>
            <w:tcW w:w="7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7900" w:type="dxa"/>
            <w:vAlign w:val="bottom"/>
            <w:vMerge w:val="restart"/>
          </w:tcPr>
          <w:p>
            <w:pPr>
              <w:ind w:left="580"/>
              <w:spacing w:after="0"/>
              <w:rPr>
                <w:sz w:val="20"/>
                <w:szCs w:val="20"/>
                <w:color w:val="auto"/>
              </w:rPr>
            </w:pPr>
            <w:r>
              <w:rPr>
                <w:rFonts w:ascii="Arial" w:cs="Arial" w:eastAsia="Arial" w:hAnsi="Arial"/>
                <w:sz w:val="16"/>
                <w:szCs w:val="16"/>
                <w:color w:val="032E5C"/>
              </w:rPr>
              <w:t>cloud-based software as a service (SaaS) company (Momentive); CEO &amp; co-founder of a community</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7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900" w:type="dxa"/>
            <w:vAlign w:val="bottom"/>
          </w:tcPr>
          <w:p>
            <w:pPr>
              <w:ind w:left="580"/>
              <w:spacing w:after="0"/>
              <w:rPr>
                <w:sz w:val="20"/>
                <w:szCs w:val="20"/>
                <w:color w:val="auto"/>
              </w:rPr>
            </w:pPr>
            <w:r>
              <w:rPr>
                <w:rFonts w:ascii="Arial" w:cs="Arial" w:eastAsia="Arial" w:hAnsi="Arial"/>
                <w:sz w:val="16"/>
                <w:szCs w:val="16"/>
                <w:color w:val="032E5C"/>
              </w:rPr>
              <w:t>experience platform (Raftr)</w:t>
            </w:r>
          </w:p>
        </w:tc>
        <w:tc>
          <w:tcPr>
            <w:tcW w:w="0" w:type="dxa"/>
            <w:vAlign w:val="bottom"/>
          </w:tcPr>
          <w:p>
            <w:pPr>
              <w:spacing w:after="0"/>
              <w:rPr>
                <w:sz w:val="1"/>
                <w:szCs w:val="1"/>
                <w:color w:val="auto"/>
              </w:rPr>
            </w:pPr>
          </w:p>
        </w:tc>
      </w:tr>
      <w:tr>
        <w:trPr>
          <w:trHeight w:val="225"/>
        </w:trPr>
        <w:tc>
          <w:tcPr>
            <w:tcW w:w="360" w:type="dxa"/>
            <w:vAlign w:val="bottom"/>
            <w:tcBorders>
              <w:bottom w:val="single" w:sz="8" w:color="3E5C7C"/>
            </w:tcBorders>
          </w:tcPr>
          <w:p>
            <w:pPr>
              <w:spacing w:after="0"/>
              <w:rPr>
                <w:sz w:val="19"/>
                <w:szCs w:val="19"/>
                <w:color w:val="auto"/>
              </w:rPr>
            </w:pPr>
          </w:p>
        </w:tc>
        <w:tc>
          <w:tcPr>
            <w:tcW w:w="2980" w:type="dxa"/>
            <w:vAlign w:val="bottom"/>
            <w:tcBorders>
              <w:bottom w:val="single" w:sz="8" w:color="3E5C7C"/>
            </w:tcBorders>
          </w:tcPr>
          <w:p>
            <w:pPr>
              <w:spacing w:after="0"/>
              <w:rPr>
                <w:sz w:val="19"/>
                <w:szCs w:val="19"/>
                <w:color w:val="auto"/>
              </w:rPr>
            </w:pPr>
          </w:p>
        </w:tc>
        <w:tc>
          <w:tcPr>
            <w:tcW w:w="7900" w:type="dxa"/>
            <w:vAlign w:val="bottom"/>
            <w:tcBorders>
              <w:bottom w:val="single" w:sz="8" w:color="3E5C7C"/>
            </w:tcBorders>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032E5C"/>
              </w:rPr>
              <w:t>14</w:t>
            </w:r>
          </w:p>
        </w:tc>
        <w:tc>
          <w:tcPr>
            <w:tcW w:w="2980" w:type="dxa"/>
            <w:vAlign w:val="bottom"/>
          </w:tcPr>
          <w:p>
            <w:pPr>
              <w:spacing w:after="0"/>
              <w:rPr>
                <w:sz w:val="24"/>
                <w:szCs w:val="24"/>
                <w:color w:val="auto"/>
              </w:rPr>
            </w:pPr>
          </w:p>
        </w:tc>
        <w:tc>
          <w:tcPr>
            <w:tcW w:w="7900" w:type="dxa"/>
            <w:vAlign w:val="bottom"/>
            <w:vMerge w:val="restart"/>
          </w:tcPr>
          <w:p>
            <w:pPr>
              <w:ind w:left="146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3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7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3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-445135</wp:posOffset>
            </wp:positionV>
            <wp:extent cx="92583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190"/>
        </w:trPr>
        <w:tc>
          <w:tcPr>
            <w:tcW w:w="5700" w:type="dxa"/>
            <w:vAlign w:val="bottom"/>
          </w:tcPr>
          <w:p>
            <w:pPr>
              <w:spacing w:after="0"/>
              <w:rPr>
                <w:sz w:val="20"/>
                <w:szCs w:val="20"/>
                <w:color w:val="auto"/>
              </w:rPr>
            </w:pPr>
            <w:r>
              <w:rPr>
                <w:rFonts w:ascii="Arial" w:cs="Arial" w:eastAsia="Arial" w:hAnsi="Arial"/>
                <w:sz w:val="14"/>
                <w:szCs w:val="14"/>
                <w:color w:val="032E5C"/>
              </w:rPr>
              <w:t>Table of Contents</w:t>
            </w:r>
          </w:p>
        </w:tc>
        <w:tc>
          <w:tcPr>
            <w:tcW w:w="538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5"/>
              </w:rPr>
              <w:t>PROPOSAL 1</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6637655</wp:posOffset>
            </wp:positionH>
            <wp:positionV relativeFrom="page">
              <wp:posOffset>106045</wp:posOffset>
            </wp:positionV>
            <wp:extent cx="702945"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294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205740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2602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260215"/>
                    </a:xfrm>
                    <a:prstGeom prst="rect">
                      <a:avLst/>
                    </a:prstGeom>
                    <a:noFill/>
                  </pic:spPr>
                </pic:pic>
              </a:graphicData>
            </a:graphic>
          </wp:anchor>
        </w:drawing>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2480" w:type="dxa"/>
            <w:vAlign w:val="bottom"/>
          </w:tcPr>
          <w:p>
            <w:pPr>
              <w:spacing w:after="0"/>
              <w:rPr>
                <w:sz w:val="19"/>
                <w:szCs w:val="19"/>
                <w:color w:val="auto"/>
              </w:rPr>
            </w:pPr>
          </w:p>
        </w:tc>
        <w:tc>
          <w:tcPr>
            <w:tcW w:w="8060" w:type="dxa"/>
            <w:vAlign w:val="bottom"/>
          </w:tcPr>
          <w:p>
            <w:pPr>
              <w:ind w:left="360"/>
              <w:spacing w:after="0"/>
              <w:rPr>
                <w:sz w:val="20"/>
                <w:szCs w:val="20"/>
                <w:color w:val="auto"/>
              </w:rPr>
            </w:pPr>
            <w:r>
              <w:rPr>
                <w:rFonts w:ascii="Arial" w:cs="Arial" w:eastAsia="Arial" w:hAnsi="Arial"/>
                <w:sz w:val="16"/>
                <w:szCs w:val="16"/>
                <w:b w:val="1"/>
                <w:bCs w:val="1"/>
                <w:color w:val="032E5C"/>
              </w:rPr>
              <w:t>Business Experience, Other Directorships and Qualifications</w:t>
            </w:r>
          </w:p>
        </w:tc>
        <w:tc>
          <w:tcPr>
            <w:tcW w:w="0" w:type="dxa"/>
            <w:vAlign w:val="bottom"/>
          </w:tcPr>
          <w:p>
            <w:pPr>
              <w:spacing w:after="0"/>
              <w:rPr>
                <w:sz w:val="1"/>
                <w:szCs w:val="1"/>
                <w:color w:val="auto"/>
              </w:rPr>
            </w:pPr>
          </w:p>
        </w:tc>
      </w:tr>
      <w:tr>
        <w:trPr>
          <w:trHeight w:val="317"/>
        </w:trPr>
        <w:tc>
          <w:tcPr>
            <w:tcW w:w="2480" w:type="dxa"/>
            <w:vAlign w:val="bottom"/>
          </w:tcPr>
          <w:p>
            <w:pPr>
              <w:spacing w:after="0"/>
              <w:rPr>
                <w:sz w:val="24"/>
                <w:szCs w:val="24"/>
                <w:color w:val="auto"/>
              </w:rPr>
            </w:pPr>
          </w:p>
        </w:tc>
        <w:tc>
          <w:tcPr>
            <w:tcW w:w="8060" w:type="dxa"/>
            <w:vAlign w:val="bottom"/>
          </w:tcPr>
          <w:p>
            <w:pPr>
              <w:ind w:left="360"/>
              <w:spacing w:after="0"/>
              <w:rPr>
                <w:sz w:val="20"/>
                <w:szCs w:val="20"/>
                <w:color w:val="auto"/>
              </w:rPr>
            </w:pPr>
            <w:r>
              <w:rPr>
                <w:rFonts w:ascii="Arial" w:cs="Arial" w:eastAsia="Arial" w:hAnsi="Arial"/>
                <w:sz w:val="16"/>
                <w:szCs w:val="16"/>
                <w:color w:val="032E5C"/>
              </w:rPr>
              <w:t>Mr. Katz is the Executive Chairperson of the Board of Vail Resorts. Mr. Katz served as Chairperson from</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Arial" w:cs="Arial" w:eastAsia="Arial" w:hAnsi="Arial"/>
                <w:sz w:val="16"/>
                <w:szCs w:val="16"/>
                <w:color w:val="032E5C"/>
              </w:rPr>
              <w:t>March 2009 until November 2021, at which point he was appointed as Executive Chairperson. He</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Arial" w:cs="Arial" w:eastAsia="Arial" w:hAnsi="Arial"/>
                <w:sz w:val="16"/>
                <w:szCs w:val="16"/>
                <w:color w:val="032E5C"/>
              </w:rPr>
              <w:t>previously served as Lead Director from June 2003 until his appointment as Chief Executive Officer in</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8060" w:type="dxa"/>
            <w:vAlign w:val="bottom"/>
          </w:tcPr>
          <w:p>
            <w:pPr>
              <w:ind w:left="360"/>
              <w:spacing w:after="0"/>
              <w:rPr>
                <w:sz w:val="20"/>
                <w:szCs w:val="20"/>
                <w:color w:val="auto"/>
              </w:rPr>
            </w:pPr>
            <w:r>
              <w:rPr>
                <w:rFonts w:ascii="Arial" w:cs="Arial" w:eastAsia="Arial" w:hAnsi="Arial"/>
                <w:sz w:val="16"/>
                <w:szCs w:val="16"/>
                <w:color w:val="032E5C"/>
              </w:rPr>
              <w:t>February 2006. Mr. Katz served as Chief Executive Officer until November 2021. Mr. Katz has served on</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Arial" w:cs="Arial" w:eastAsia="Arial" w:hAnsi="Arial"/>
                <w:sz w:val="16"/>
                <w:szCs w:val="16"/>
                <w:color w:val="032E5C"/>
              </w:rPr>
              <w:t>the Board of Directors of Vail Resorts since 1996 and has been involved with the Company since 1991.</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8060" w:type="dxa"/>
            <w:vAlign w:val="bottom"/>
          </w:tcPr>
          <w:p>
            <w:pPr>
              <w:ind w:left="360"/>
              <w:spacing w:after="0"/>
              <w:rPr>
                <w:sz w:val="20"/>
                <w:szCs w:val="20"/>
                <w:color w:val="auto"/>
              </w:rPr>
            </w:pPr>
            <w:r>
              <w:rPr>
                <w:rFonts w:ascii="Arial" w:cs="Arial" w:eastAsia="Arial" w:hAnsi="Arial"/>
                <w:sz w:val="16"/>
                <w:szCs w:val="16"/>
                <w:color w:val="032E5C"/>
              </w:rPr>
              <w:t>Prior to becoming the Chief Executive Officer, he was associated with Apollo Management L.P., a private</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Arial" w:cs="Arial" w:eastAsia="Arial" w:hAnsi="Arial"/>
                <w:sz w:val="16"/>
                <w:szCs w:val="16"/>
                <w:color w:val="032E5C"/>
              </w:rPr>
              <w:t>equity investment firm, since its founding in 1990. Mr. Katz and his wife are the founders and board</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Arial" w:cs="Arial" w:eastAsia="Arial" w:hAnsi="Arial"/>
                <w:sz w:val="16"/>
                <w:szCs w:val="16"/>
                <w:color w:val="032E5C"/>
              </w:rPr>
              <w:t>members of the Katz Amsterdam Foundation, which works to address systemic injustice and racial and</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8060" w:type="dxa"/>
            <w:vAlign w:val="bottom"/>
          </w:tcPr>
          <w:p>
            <w:pPr>
              <w:ind w:left="360"/>
              <w:spacing w:after="0"/>
              <w:rPr>
                <w:sz w:val="20"/>
                <w:szCs w:val="20"/>
                <w:color w:val="auto"/>
              </w:rPr>
            </w:pPr>
            <w:r>
              <w:rPr>
                <w:rFonts w:ascii="Arial" w:cs="Arial" w:eastAsia="Arial" w:hAnsi="Arial"/>
                <w:sz w:val="16"/>
                <w:szCs w:val="16"/>
                <w:color w:val="032E5C"/>
              </w:rPr>
              <w:t>social disparities in mental health, reproductive health, and civic engagement. Mr. Katz currently serves on</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Arial" w:cs="Arial" w:eastAsia="Arial" w:hAnsi="Arial"/>
                <w:sz w:val="16"/>
                <w:szCs w:val="16"/>
                <w:color w:val="032E5C"/>
              </w:rPr>
              <w:t>the board of directors of Yeti Holdings, Inc. and on the Wharton Leadership Advisory Board. He has</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25"/>
                <w:szCs w:val="25"/>
                <w:b w:val="1"/>
                <w:bCs w:val="1"/>
                <w:color w:val="032E5C"/>
              </w:rPr>
              <w:t>ROBERT A. KATZ</w:t>
            </w:r>
          </w:p>
        </w:tc>
        <w:tc>
          <w:tcPr>
            <w:tcW w:w="8060" w:type="dxa"/>
            <w:vAlign w:val="bottom"/>
          </w:tcPr>
          <w:p>
            <w:pPr>
              <w:ind w:left="360"/>
              <w:spacing w:after="0"/>
              <w:rPr>
                <w:sz w:val="20"/>
                <w:szCs w:val="20"/>
                <w:color w:val="auto"/>
              </w:rPr>
            </w:pPr>
            <w:r>
              <w:rPr>
                <w:rFonts w:ascii="Arial" w:cs="Arial" w:eastAsia="Arial" w:hAnsi="Arial"/>
                <w:sz w:val="16"/>
                <w:szCs w:val="16"/>
                <w:color w:val="032E5C"/>
              </w:rPr>
              <w:t>previously served on numerous private, public and non-profit boards.</w:t>
            </w:r>
          </w:p>
        </w:tc>
        <w:tc>
          <w:tcPr>
            <w:tcW w:w="0" w:type="dxa"/>
            <w:vAlign w:val="bottom"/>
          </w:tcPr>
          <w:p>
            <w:pPr>
              <w:spacing w:after="0"/>
              <w:rPr>
                <w:sz w:val="1"/>
                <w:szCs w:val="1"/>
                <w:color w:val="auto"/>
              </w:rPr>
            </w:pPr>
          </w:p>
        </w:tc>
      </w:tr>
      <w:tr>
        <w:trPr>
          <w:trHeight w:val="139"/>
        </w:trPr>
        <w:tc>
          <w:tcPr>
            <w:tcW w:w="2480" w:type="dxa"/>
            <w:vAlign w:val="bottom"/>
            <w:vMerge w:val="continue"/>
          </w:tcPr>
          <w:p>
            <w:pPr>
              <w:spacing w:after="0"/>
              <w:rPr>
                <w:sz w:val="12"/>
                <w:szCs w:val="12"/>
                <w:color w:val="auto"/>
              </w:rPr>
            </w:pPr>
          </w:p>
        </w:tc>
        <w:tc>
          <w:tcPr>
            <w:tcW w:w="8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84" w:right="339" w:bottom="1440" w:gutter="0" w:footer="0" w:header="0"/>
        </w:sectPr>
      </w:pPr>
    </w:p>
    <w:p>
      <w:pPr>
        <w:spacing w:after="0" w:line="132"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032E5C"/>
        </w:rPr>
        <w:t>Executive Chairperson of the Board, Vail</w:t>
      </w:r>
    </w:p>
    <w:p>
      <w:pPr>
        <w:spacing w:after="0" w:line="32"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032E5C"/>
        </w:rPr>
        <w:t>Resorts Inc.,</w:t>
      </w:r>
    </w:p>
    <w:p>
      <w:pPr>
        <w:spacing w:after="0" w:line="32"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032E5C"/>
        </w:rPr>
        <w:t>Since November 2021</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6"/>
          <w:szCs w:val="16"/>
          <w:color w:val="032E5C"/>
        </w:rPr>
        <w:t>Chairperson of the Board,</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6"/>
          <w:szCs w:val="16"/>
          <w:color w:val="032E5C"/>
        </w:rPr>
        <w:t>Vail Resorts Inc.,</w:t>
      </w:r>
    </w:p>
    <w:p>
      <w:pPr>
        <w:spacing w:after="0" w:line="31"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032E5C"/>
        </w:rPr>
        <w:t>From March 2009 to November 2021</w:t>
      </w:r>
    </w:p>
    <w:p>
      <w:pPr>
        <w:spacing w:after="0" w:line="155"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57</w:t>
      </w:r>
    </w:p>
    <w:p>
      <w:pPr>
        <w:spacing w:after="0" w:line="167"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color w:val="032E5C"/>
        </w:rPr>
        <w:t>Director Since:</w:t>
      </w:r>
    </w:p>
    <w:p>
      <w:pPr>
        <w:spacing w:after="0" w:line="35"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032E5C"/>
        </w:rPr>
        <w:t>June 1996</w:t>
      </w:r>
    </w:p>
    <w:p>
      <w:pPr>
        <w:spacing w:after="0" w:line="151"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color w:val="032E5C"/>
        </w:rPr>
        <w:t>Committees:</w:t>
      </w:r>
    </w:p>
    <w:p>
      <w:pPr>
        <w:spacing w:after="0" w:line="35"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032E5C"/>
        </w:rPr>
        <w:t>Executive</w:t>
      </w:r>
    </w:p>
    <w:p>
      <w:pPr>
        <w:spacing w:after="0" w:line="151"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color w:val="032E5C"/>
        </w:rPr>
        <w:t>Current Public Directorships:</w:t>
      </w:r>
    </w:p>
    <w:p>
      <w:pPr>
        <w:spacing w:after="0" w:line="39" w:lineRule="exact"/>
        <w:rPr>
          <w:sz w:val="20"/>
          <w:szCs w:val="20"/>
          <w:color w:val="auto"/>
        </w:rPr>
      </w:pPr>
    </w:p>
    <w:p>
      <w:pPr>
        <w:ind w:left="980"/>
        <w:spacing w:after="0"/>
        <w:rPr>
          <w:sz w:val="20"/>
          <w:szCs w:val="20"/>
          <w:color w:val="auto"/>
        </w:rPr>
      </w:pPr>
      <w:r>
        <w:rPr>
          <w:rFonts w:ascii="Arial" w:cs="Arial" w:eastAsia="Arial" w:hAnsi="Arial"/>
          <w:sz w:val="16"/>
          <w:szCs w:val="16"/>
          <w:color w:val="032E5C"/>
        </w:rPr>
        <w:t>Yeti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32E5C"/>
        </w:rPr>
        <w:t>Key Skills and Qualifications:</w:t>
      </w:r>
    </w:p>
    <w:p>
      <w:pPr>
        <w:spacing w:after="0" w:line="138" w:lineRule="exact"/>
        <w:rPr>
          <w:sz w:val="20"/>
          <w:szCs w:val="20"/>
          <w:color w:val="auto"/>
        </w:rPr>
      </w:pPr>
    </w:p>
    <w:p>
      <w:pPr>
        <w:jc w:val="both"/>
        <w:ind w:left="500" w:right="200" w:hanging="330"/>
        <w:spacing w:after="0" w:line="284" w:lineRule="auto"/>
        <w:tabs>
          <w:tab w:leader="none" w:pos="497" w:val="left"/>
        </w:tabs>
        <w:numPr>
          <w:ilvl w:val="0"/>
          <w:numId w:val="1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 xml:space="preserve">Leadership, Industry </w:t>
      </w:r>
      <w:r>
        <w:rPr>
          <w:rFonts w:ascii="Arial" w:cs="Arial" w:eastAsia="Arial" w:hAnsi="Arial"/>
          <w:sz w:val="16"/>
          <w:szCs w:val="16"/>
          <w:color w:val="032E5C"/>
        </w:rPr>
        <w:t>and</w:t>
      </w:r>
      <w:r>
        <w:rPr>
          <w:rFonts w:ascii="Arial" w:cs="Arial" w:eastAsia="Arial" w:hAnsi="Arial"/>
          <w:sz w:val="16"/>
          <w:szCs w:val="16"/>
          <w:b w:val="1"/>
          <w:bCs w:val="1"/>
          <w:color w:val="032E5C"/>
        </w:rPr>
        <w:t xml:space="preserve"> Marketing </w:t>
      </w:r>
      <w:r>
        <w:rPr>
          <w:rFonts w:ascii="Arial" w:cs="Arial" w:eastAsia="Arial" w:hAnsi="Arial"/>
          <w:sz w:val="16"/>
          <w:szCs w:val="16"/>
          <w:color w:val="032E5C"/>
        </w:rPr>
        <w:t>experience—professional association with Vail Resorts</w:t>
      </w:r>
      <w:r>
        <w:rPr>
          <w:rFonts w:ascii="Arial" w:cs="Arial" w:eastAsia="Arial" w:hAnsi="Arial"/>
          <w:sz w:val="16"/>
          <w:szCs w:val="16"/>
          <w:b w:val="1"/>
          <w:bCs w:val="1"/>
          <w:color w:val="032E5C"/>
        </w:rPr>
        <w:t xml:space="preserve"> </w:t>
      </w:r>
      <w:r>
        <w:rPr>
          <w:rFonts w:ascii="Arial" w:cs="Arial" w:eastAsia="Arial" w:hAnsi="Arial"/>
          <w:sz w:val="16"/>
          <w:szCs w:val="16"/>
          <w:color w:val="032E5C"/>
        </w:rPr>
        <w:t>began in 1991 and has been involved with all major strategic decisions for over three decades; CEO from February 2006 to November 2021 with unique insight and information regarding the Company’s strategy, operations and business, and experience with global branding, development, and strategy, as well a unique historical perspective into the operations and vision for the Company (Vail Resorts)</w:t>
      </w:r>
    </w:p>
    <w:p>
      <w:pPr>
        <w:spacing w:after="0" w:line="301" w:lineRule="exact"/>
        <w:rPr>
          <w:rFonts w:ascii="Wingdings" w:cs="Wingdings" w:eastAsia="Wingdings" w:hAnsi="Wingdings"/>
          <w:sz w:val="16"/>
          <w:szCs w:val="16"/>
          <w:b w:val="1"/>
          <w:bCs w:val="1"/>
          <w:color w:val="auto"/>
          <w:shd w:val="clear" w:color="auto" w:fill="3E5C7C"/>
        </w:rPr>
      </w:pPr>
    </w:p>
    <w:p>
      <w:pPr>
        <w:ind w:left="500" w:right="120" w:hanging="330"/>
        <w:spacing w:after="0" w:line="321" w:lineRule="auto"/>
        <w:tabs>
          <w:tab w:leader="none" w:pos="497" w:val="left"/>
        </w:tabs>
        <w:numPr>
          <w:ilvl w:val="0"/>
          <w:numId w:val="1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 xml:space="preserve">Finance </w:t>
      </w:r>
      <w:r>
        <w:rPr>
          <w:rFonts w:ascii="Arial" w:cs="Arial" w:eastAsia="Arial" w:hAnsi="Arial"/>
          <w:sz w:val="16"/>
          <w:szCs w:val="16"/>
          <w:color w:val="032E5C"/>
        </w:rPr>
        <w:t>experience—former CEO of large public company (Vail Resorts); former senior partner at</w:t>
      </w:r>
      <w:r>
        <w:rPr>
          <w:rFonts w:ascii="Arial" w:cs="Arial" w:eastAsia="Arial" w:hAnsi="Arial"/>
          <w:sz w:val="16"/>
          <w:szCs w:val="16"/>
          <w:b w:val="1"/>
          <w:bCs w:val="1"/>
          <w:color w:val="032E5C"/>
        </w:rPr>
        <w:t xml:space="preserve"> </w:t>
      </w:r>
      <w:r>
        <w:rPr>
          <w:rFonts w:ascii="Arial" w:cs="Arial" w:eastAsia="Arial" w:hAnsi="Arial"/>
          <w:sz w:val="16"/>
          <w:szCs w:val="16"/>
          <w:color w:val="032E5C"/>
        </w:rPr>
        <w:t>large private equity investment firm (Apollo)</w:t>
      </w:r>
    </w:p>
    <w:p>
      <w:pPr>
        <w:spacing w:after="0" w:line="1531" w:lineRule="exact"/>
        <w:rPr>
          <w:sz w:val="20"/>
          <w:szCs w:val="20"/>
          <w:color w:val="auto"/>
        </w:rPr>
      </w:pPr>
    </w:p>
    <w:p>
      <w:pPr>
        <w:sectPr>
          <w:pgSz w:w="11900" w:h="16838" w:orient="portrait"/>
          <w:cols w:equalWidth="0" w:num="2">
            <w:col w:w="3080" w:space="340"/>
            <w:col w:w="7820"/>
          </w:cols>
          <w:pgMar w:left="320" w:top="184" w:right="339" w:bottom="1440" w:gutter="0" w:footer="0" w:header="0"/>
          <w:type w:val="continuous"/>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15</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1</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205740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51860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2420" w:type="dxa"/>
            <w:vAlign w:val="bottom"/>
          </w:tcPr>
          <w:p>
            <w:pPr>
              <w:spacing w:after="0"/>
              <w:rPr>
                <w:sz w:val="19"/>
                <w:szCs w:val="19"/>
                <w:color w:val="auto"/>
              </w:rPr>
            </w:pPr>
          </w:p>
        </w:tc>
        <w:tc>
          <w:tcPr>
            <w:tcW w:w="8080" w:type="dxa"/>
            <w:vAlign w:val="bottom"/>
          </w:tcPr>
          <w:p>
            <w:pPr>
              <w:ind w:left="380"/>
              <w:spacing w:after="0"/>
              <w:rPr>
                <w:sz w:val="20"/>
                <w:szCs w:val="20"/>
                <w:color w:val="auto"/>
              </w:rPr>
            </w:pPr>
            <w:r>
              <w:rPr>
                <w:rFonts w:ascii="Arial" w:cs="Arial" w:eastAsia="Arial" w:hAnsi="Arial"/>
                <w:sz w:val="16"/>
                <w:szCs w:val="16"/>
                <w:b w:val="1"/>
                <w:bCs w:val="1"/>
                <w:color w:val="032E5C"/>
              </w:rPr>
              <w:t>Business Experience, Other Directorships and Qualifications</w:t>
            </w:r>
          </w:p>
        </w:tc>
        <w:tc>
          <w:tcPr>
            <w:tcW w:w="0" w:type="dxa"/>
            <w:vAlign w:val="bottom"/>
          </w:tcPr>
          <w:p>
            <w:pPr>
              <w:spacing w:after="0"/>
              <w:rPr>
                <w:sz w:val="1"/>
                <w:szCs w:val="1"/>
                <w:color w:val="auto"/>
              </w:rPr>
            </w:pPr>
          </w:p>
        </w:tc>
      </w:tr>
      <w:tr>
        <w:trPr>
          <w:trHeight w:val="317"/>
        </w:trPr>
        <w:tc>
          <w:tcPr>
            <w:tcW w:w="2420" w:type="dxa"/>
            <w:vAlign w:val="bottom"/>
          </w:tcPr>
          <w:p>
            <w:pPr>
              <w:spacing w:after="0"/>
              <w:rPr>
                <w:sz w:val="24"/>
                <w:szCs w:val="24"/>
                <w:color w:val="auto"/>
              </w:rPr>
            </w:pPr>
          </w:p>
        </w:tc>
        <w:tc>
          <w:tcPr>
            <w:tcW w:w="8080" w:type="dxa"/>
            <w:vAlign w:val="bottom"/>
          </w:tcPr>
          <w:p>
            <w:pPr>
              <w:ind w:left="380"/>
              <w:spacing w:after="0"/>
              <w:rPr>
                <w:sz w:val="20"/>
                <w:szCs w:val="20"/>
                <w:color w:val="auto"/>
              </w:rPr>
            </w:pPr>
            <w:r>
              <w:rPr>
                <w:rFonts w:ascii="Arial" w:cs="Arial" w:eastAsia="Arial" w:hAnsi="Arial"/>
                <w:sz w:val="16"/>
                <w:szCs w:val="16"/>
                <w:color w:val="032E5C"/>
              </w:rPr>
              <w:t>Ms. Knobloch has served as the President of the Cannes Film Festival, an annual film festival, since July</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8080" w:type="dxa"/>
            <w:vAlign w:val="bottom"/>
          </w:tcPr>
          <w:p>
            <w:pPr>
              <w:ind w:left="380"/>
              <w:spacing w:after="0"/>
              <w:rPr>
                <w:sz w:val="20"/>
                <w:szCs w:val="20"/>
                <w:color w:val="auto"/>
              </w:rPr>
            </w:pPr>
            <w:r>
              <w:rPr>
                <w:rFonts w:ascii="Arial" w:cs="Arial" w:eastAsia="Arial" w:hAnsi="Arial"/>
                <w:sz w:val="16"/>
                <w:szCs w:val="16"/>
                <w:color w:val="032E5C"/>
              </w:rPr>
              <w:t>2022. From June 2021 to July 2022, Ms. Knobloch was the Chief Executive Officer and Chairwoman of</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080" w:type="dxa"/>
            <w:vAlign w:val="bottom"/>
          </w:tcPr>
          <w:p>
            <w:pPr>
              <w:ind w:left="380"/>
              <w:spacing w:after="0"/>
              <w:rPr>
                <w:sz w:val="20"/>
                <w:szCs w:val="20"/>
                <w:color w:val="auto"/>
              </w:rPr>
            </w:pPr>
            <w:r>
              <w:rPr>
                <w:rFonts w:ascii="Arial" w:cs="Arial" w:eastAsia="Arial" w:hAnsi="Arial"/>
                <w:sz w:val="16"/>
                <w:szCs w:val="16"/>
                <w:color w:val="032E5C"/>
              </w:rPr>
              <w:t>I2PO SA, a special purpose acquisition company that merged with Deezer SA. Before joining I2PO, Ms.</w:t>
            </w: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8080" w:type="dxa"/>
            <w:vAlign w:val="bottom"/>
          </w:tcPr>
          <w:p>
            <w:pPr>
              <w:ind w:left="380"/>
              <w:spacing w:after="0"/>
              <w:rPr>
                <w:sz w:val="20"/>
                <w:szCs w:val="20"/>
                <w:color w:val="auto"/>
              </w:rPr>
            </w:pPr>
            <w:r>
              <w:rPr>
                <w:rFonts w:ascii="Arial" w:cs="Arial" w:eastAsia="Arial" w:hAnsi="Arial"/>
                <w:sz w:val="16"/>
                <w:szCs w:val="16"/>
                <w:color w:val="032E5C"/>
              </w:rPr>
              <w:t>Knobloch was a senior executive with WarnerMedia, an American multinational media and entertainment</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8080" w:type="dxa"/>
            <w:vAlign w:val="bottom"/>
          </w:tcPr>
          <w:p>
            <w:pPr>
              <w:ind w:left="380"/>
              <w:spacing w:after="0"/>
              <w:rPr>
                <w:sz w:val="20"/>
                <w:szCs w:val="20"/>
                <w:color w:val="auto"/>
              </w:rPr>
            </w:pPr>
            <w:r>
              <w:rPr>
                <w:rFonts w:ascii="Arial" w:cs="Arial" w:eastAsia="Arial" w:hAnsi="Arial"/>
                <w:sz w:val="16"/>
                <w:szCs w:val="16"/>
                <w:color w:val="032E5C"/>
              </w:rPr>
              <w:t>conglomerate, and its predecessor companies from January 1996 to June 2021, serving most recently as</w:t>
            </w: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8080" w:type="dxa"/>
            <w:vAlign w:val="bottom"/>
          </w:tcPr>
          <w:p>
            <w:pPr>
              <w:ind w:left="380"/>
              <w:spacing w:after="0"/>
              <w:rPr>
                <w:sz w:val="20"/>
                <w:szCs w:val="20"/>
                <w:color w:val="auto"/>
              </w:rPr>
            </w:pPr>
            <w:r>
              <w:rPr>
                <w:rFonts w:ascii="Arial" w:cs="Arial" w:eastAsia="Arial" w:hAnsi="Arial"/>
                <w:sz w:val="16"/>
                <w:szCs w:val="16"/>
                <w:color w:val="032E5C"/>
              </w:rPr>
              <w:t>President of WarnerMedia in Frane, Germany, the Benelux, Austria, and Switzerland. Previously, Ms.</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8080" w:type="dxa"/>
            <w:vAlign w:val="bottom"/>
          </w:tcPr>
          <w:p>
            <w:pPr>
              <w:ind w:left="380"/>
              <w:spacing w:after="0"/>
              <w:rPr>
                <w:sz w:val="20"/>
                <w:szCs w:val="20"/>
                <w:color w:val="auto"/>
              </w:rPr>
            </w:pPr>
            <w:r>
              <w:rPr>
                <w:rFonts w:ascii="Arial" w:cs="Arial" w:eastAsia="Arial" w:hAnsi="Arial"/>
                <w:sz w:val="16"/>
                <w:szCs w:val="16"/>
                <w:color w:val="032E5C"/>
              </w:rPr>
              <w:t>Knobloch was an attorney with the law firms of Norr, Stiefenhofer &amp; Lutz and with O'Melveny &amp; Myers in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080" w:type="dxa"/>
            <w:vAlign w:val="bottom"/>
          </w:tcPr>
          <w:p>
            <w:pPr>
              <w:ind w:left="380"/>
              <w:spacing w:after="0"/>
              <w:rPr>
                <w:sz w:val="20"/>
                <w:szCs w:val="20"/>
                <w:color w:val="auto"/>
              </w:rPr>
            </w:pPr>
            <w:r>
              <w:rPr>
                <w:rFonts w:ascii="Arial" w:cs="Arial" w:eastAsia="Arial" w:hAnsi="Arial"/>
                <w:sz w:val="16"/>
                <w:szCs w:val="16"/>
                <w:color w:val="032E5C"/>
              </w:rPr>
              <w:t>Munich, New York, and Los Angeles from 1992 until 1996. Ms. Knobloch has served as Chairwoman of the</w:t>
            </w:r>
          </w:p>
        </w:tc>
        <w:tc>
          <w:tcPr>
            <w:tcW w:w="0" w:type="dxa"/>
            <w:vAlign w:val="bottom"/>
          </w:tcPr>
          <w:p>
            <w:pPr>
              <w:spacing w:after="0"/>
              <w:rPr>
                <w:sz w:val="1"/>
                <w:szCs w:val="1"/>
                <w:color w:val="auto"/>
              </w:rPr>
            </w:pPr>
          </w:p>
        </w:tc>
      </w:tr>
      <w:tr>
        <w:trPr>
          <w:trHeight w:val="204"/>
        </w:trPr>
        <w:tc>
          <w:tcPr>
            <w:tcW w:w="2420" w:type="dxa"/>
            <w:vAlign w:val="bottom"/>
            <w:vMerge w:val="restart"/>
          </w:tcPr>
          <w:p>
            <w:pPr>
              <w:jc w:val="center"/>
              <w:ind w:right="308"/>
              <w:spacing w:after="0"/>
              <w:rPr>
                <w:sz w:val="20"/>
                <w:szCs w:val="20"/>
                <w:color w:val="auto"/>
              </w:rPr>
            </w:pPr>
            <w:r>
              <w:rPr>
                <w:rFonts w:ascii="Arial" w:cs="Arial" w:eastAsia="Arial" w:hAnsi="Arial"/>
                <w:sz w:val="25"/>
                <w:szCs w:val="25"/>
                <w:b w:val="1"/>
                <w:bCs w:val="1"/>
                <w:color w:val="032E5C"/>
              </w:rPr>
              <w:t>IRIS KNOBLOCH</w:t>
            </w:r>
          </w:p>
        </w:tc>
        <w:tc>
          <w:tcPr>
            <w:tcW w:w="8080" w:type="dxa"/>
            <w:vAlign w:val="bottom"/>
          </w:tcPr>
          <w:p>
            <w:pPr>
              <w:ind w:left="380"/>
              <w:spacing w:after="0"/>
              <w:rPr>
                <w:sz w:val="20"/>
                <w:szCs w:val="20"/>
                <w:color w:val="auto"/>
              </w:rPr>
            </w:pPr>
            <w:r>
              <w:rPr>
                <w:rFonts w:ascii="Arial" w:cs="Arial" w:eastAsia="Arial" w:hAnsi="Arial"/>
                <w:sz w:val="16"/>
                <w:szCs w:val="16"/>
                <w:color w:val="032E5C"/>
              </w:rPr>
              <w:t>board of directors at Deezer SA, a French music worldwide streaming service, since July 2022; Vice</w:t>
            </w: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8080" w:type="dxa"/>
            <w:vAlign w:val="bottom"/>
          </w:tcPr>
          <w:p>
            <w:pPr>
              <w:ind w:left="380"/>
              <w:spacing w:after="0"/>
              <w:rPr>
                <w:sz w:val="20"/>
                <w:szCs w:val="20"/>
                <w:color w:val="auto"/>
              </w:rPr>
            </w:pPr>
            <w:r>
              <w:rPr>
                <w:rFonts w:ascii="Arial" w:cs="Arial" w:eastAsia="Arial" w:hAnsi="Arial"/>
                <w:sz w:val="16"/>
                <w:szCs w:val="16"/>
                <w:color w:val="032E5C"/>
              </w:rPr>
              <w:t>Chairman and Lead Independent Director of the board of directors of Accor SA, a French multinational</w:t>
            </w:r>
          </w:p>
        </w:tc>
        <w:tc>
          <w:tcPr>
            <w:tcW w:w="0" w:type="dxa"/>
            <w:vAlign w:val="bottom"/>
          </w:tcPr>
          <w:p>
            <w:pPr>
              <w:spacing w:after="0"/>
              <w:rPr>
                <w:sz w:val="1"/>
                <w:szCs w:val="1"/>
                <w:color w:val="auto"/>
              </w:rPr>
            </w:pPr>
          </w:p>
        </w:tc>
      </w:tr>
      <w:tr>
        <w:trPr>
          <w:trHeight w:val="203"/>
        </w:trPr>
        <w:tc>
          <w:tcPr>
            <w:tcW w:w="2420" w:type="dxa"/>
            <w:vAlign w:val="bottom"/>
            <w:vMerge w:val="restart"/>
          </w:tcPr>
          <w:p>
            <w:pPr>
              <w:jc w:val="center"/>
              <w:ind w:right="308"/>
              <w:spacing w:after="0"/>
              <w:rPr>
                <w:sz w:val="20"/>
                <w:szCs w:val="20"/>
                <w:color w:val="auto"/>
              </w:rPr>
            </w:pPr>
            <w:r>
              <w:rPr>
                <w:rFonts w:ascii="Arial" w:cs="Arial" w:eastAsia="Arial" w:hAnsi="Arial"/>
                <w:sz w:val="16"/>
                <w:szCs w:val="16"/>
                <w:color w:val="032E5C"/>
              </w:rPr>
              <w:t>President,</w:t>
            </w:r>
          </w:p>
        </w:tc>
        <w:tc>
          <w:tcPr>
            <w:tcW w:w="8080" w:type="dxa"/>
            <w:vAlign w:val="bottom"/>
          </w:tcPr>
          <w:p>
            <w:pPr>
              <w:ind w:left="380"/>
              <w:spacing w:after="0"/>
              <w:rPr>
                <w:sz w:val="20"/>
                <w:szCs w:val="20"/>
                <w:color w:val="auto"/>
              </w:rPr>
            </w:pPr>
            <w:r>
              <w:rPr>
                <w:rFonts w:ascii="Arial" w:cs="Arial" w:eastAsia="Arial" w:hAnsi="Arial"/>
                <w:sz w:val="16"/>
                <w:szCs w:val="16"/>
                <w:color w:val="032E5C"/>
              </w:rPr>
              <w:t>hospitality company, since April 2013; and a member of the board of directors of Lazard, Inc., a financial</w:t>
            </w:r>
          </w:p>
        </w:tc>
        <w:tc>
          <w:tcPr>
            <w:tcW w:w="0" w:type="dxa"/>
            <w:vAlign w:val="bottom"/>
          </w:tcPr>
          <w:p>
            <w:pPr>
              <w:spacing w:after="0"/>
              <w:rPr>
                <w:sz w:val="1"/>
                <w:szCs w:val="1"/>
                <w:color w:val="auto"/>
              </w:rPr>
            </w:pPr>
          </w:p>
        </w:tc>
      </w:tr>
      <w:tr>
        <w:trPr>
          <w:trHeight w:val="93"/>
        </w:trPr>
        <w:tc>
          <w:tcPr>
            <w:tcW w:w="2420" w:type="dxa"/>
            <w:vAlign w:val="bottom"/>
            <w:vMerge w:val="continue"/>
          </w:tcPr>
          <w:p>
            <w:pPr>
              <w:spacing w:after="0"/>
              <w:rPr>
                <w:sz w:val="8"/>
                <w:szCs w:val="8"/>
                <w:color w:val="auto"/>
              </w:rPr>
            </w:pPr>
          </w:p>
        </w:tc>
        <w:tc>
          <w:tcPr>
            <w:tcW w:w="8080" w:type="dxa"/>
            <w:vAlign w:val="bottom"/>
            <w:vMerge w:val="restart"/>
          </w:tcPr>
          <w:p>
            <w:pPr>
              <w:ind w:left="380"/>
              <w:spacing w:after="0"/>
              <w:rPr>
                <w:sz w:val="20"/>
                <w:szCs w:val="20"/>
                <w:color w:val="auto"/>
              </w:rPr>
            </w:pPr>
            <w:r>
              <w:rPr>
                <w:rFonts w:ascii="Arial" w:cs="Arial" w:eastAsia="Arial" w:hAnsi="Arial"/>
                <w:sz w:val="16"/>
                <w:szCs w:val="16"/>
                <w:color w:val="032E5C"/>
              </w:rPr>
              <w:t>advisory and asset management firm, since April 2018. She was a member of the board of directors of</w:t>
            </w:r>
          </w:p>
        </w:tc>
        <w:tc>
          <w:tcPr>
            <w:tcW w:w="0" w:type="dxa"/>
            <w:vAlign w:val="bottom"/>
          </w:tcPr>
          <w:p>
            <w:pPr>
              <w:spacing w:after="0"/>
              <w:rPr>
                <w:sz w:val="1"/>
                <w:szCs w:val="1"/>
                <w:color w:val="auto"/>
              </w:rPr>
            </w:pPr>
          </w:p>
        </w:tc>
      </w:tr>
      <w:tr>
        <w:trPr>
          <w:trHeight w:val="122"/>
        </w:trPr>
        <w:tc>
          <w:tcPr>
            <w:tcW w:w="2420" w:type="dxa"/>
            <w:vAlign w:val="bottom"/>
            <w:vMerge w:val="restart"/>
          </w:tcPr>
          <w:p>
            <w:pPr>
              <w:jc w:val="center"/>
              <w:ind w:right="308"/>
              <w:spacing w:after="0"/>
              <w:rPr>
                <w:sz w:val="20"/>
                <w:szCs w:val="20"/>
                <w:color w:val="auto"/>
              </w:rPr>
            </w:pPr>
            <w:r>
              <w:rPr>
                <w:rFonts w:ascii="Arial" w:cs="Arial" w:eastAsia="Arial" w:hAnsi="Arial"/>
                <w:sz w:val="16"/>
                <w:szCs w:val="16"/>
                <w:color w:val="032E5C"/>
              </w:rPr>
              <w:t>Cannes Film Festival</w:t>
            </w: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420" w:type="dxa"/>
            <w:vAlign w:val="bottom"/>
            <w:vMerge w:val="continue"/>
          </w:tcPr>
          <w:p>
            <w:pPr>
              <w:spacing w:after="0"/>
              <w:rPr>
                <w:sz w:val="8"/>
                <w:szCs w:val="8"/>
                <w:color w:val="auto"/>
              </w:rPr>
            </w:pPr>
          </w:p>
        </w:tc>
        <w:tc>
          <w:tcPr>
            <w:tcW w:w="8080" w:type="dxa"/>
            <w:vAlign w:val="bottom"/>
            <w:vMerge w:val="restart"/>
          </w:tcPr>
          <w:p>
            <w:pPr>
              <w:ind w:left="380"/>
              <w:spacing w:after="0"/>
              <w:rPr>
                <w:sz w:val="20"/>
                <w:szCs w:val="20"/>
                <w:color w:val="auto"/>
              </w:rPr>
            </w:pPr>
            <w:r>
              <w:rPr>
                <w:rFonts w:ascii="Arial" w:cs="Arial" w:eastAsia="Arial" w:hAnsi="Arial"/>
                <w:sz w:val="16"/>
                <w:szCs w:val="16"/>
                <w:color w:val="032E5C"/>
              </w:rPr>
              <w:t>LVMH Moet Hennessy Louis Vuitton SE, a French multinational holding company and conglomerate</w:t>
            </w:r>
          </w:p>
        </w:tc>
        <w:tc>
          <w:tcPr>
            <w:tcW w:w="0" w:type="dxa"/>
            <w:vAlign w:val="bottom"/>
          </w:tcPr>
          <w:p>
            <w:pPr>
              <w:spacing w:after="0"/>
              <w:rPr>
                <w:sz w:val="1"/>
                <w:szCs w:val="1"/>
                <w:color w:val="auto"/>
              </w:rPr>
            </w:pPr>
          </w:p>
        </w:tc>
      </w:tr>
      <w:tr>
        <w:trPr>
          <w:trHeight w:val="109"/>
        </w:trPr>
        <w:tc>
          <w:tcPr>
            <w:tcW w:w="2420" w:type="dxa"/>
            <w:vAlign w:val="bottom"/>
          </w:tcPr>
          <w:p>
            <w:pPr>
              <w:spacing w:after="0"/>
              <w:rPr>
                <w:sz w:val="9"/>
                <w:szCs w:val="9"/>
                <w:color w:val="auto"/>
              </w:rPr>
            </w:pPr>
          </w:p>
        </w:tc>
        <w:tc>
          <w:tcPr>
            <w:tcW w:w="8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20" w:type="dxa"/>
            <w:vAlign w:val="bottom"/>
          </w:tcPr>
          <w:p>
            <w:pPr>
              <w:jc w:val="center"/>
              <w:ind w:right="328"/>
              <w:spacing w:after="0"/>
              <w:rPr>
                <w:sz w:val="20"/>
                <w:szCs w:val="20"/>
                <w:color w:val="auto"/>
              </w:rPr>
            </w:pPr>
            <w:r>
              <w:rPr>
                <w:rFonts w:ascii="Arial" w:cs="Arial" w:eastAsia="Arial" w:hAnsi="Arial"/>
                <w:sz w:val="16"/>
                <w:szCs w:val="16"/>
                <w:b w:val="1"/>
                <w:bCs w:val="1"/>
                <w:color w:val="032E5C"/>
              </w:rPr>
              <w:t>Independent</w:t>
            </w:r>
          </w:p>
        </w:tc>
        <w:tc>
          <w:tcPr>
            <w:tcW w:w="8080" w:type="dxa"/>
            <w:vAlign w:val="bottom"/>
          </w:tcPr>
          <w:p>
            <w:pPr>
              <w:ind w:left="380"/>
              <w:spacing w:after="0"/>
              <w:rPr>
                <w:sz w:val="20"/>
                <w:szCs w:val="20"/>
                <w:color w:val="auto"/>
              </w:rPr>
            </w:pPr>
            <w:r>
              <w:rPr>
                <w:rFonts w:ascii="Arial" w:cs="Arial" w:eastAsia="Arial" w:hAnsi="Arial"/>
                <w:sz w:val="16"/>
                <w:szCs w:val="16"/>
                <w:color w:val="032E5C"/>
              </w:rPr>
              <w:t>specializing in luxury goods, from April 2019 to July 2021 and Central European Media Enterprises Ltd, a</w:t>
            </w:r>
          </w:p>
        </w:tc>
        <w:tc>
          <w:tcPr>
            <w:tcW w:w="0" w:type="dxa"/>
            <w:vAlign w:val="bottom"/>
          </w:tcPr>
          <w:p>
            <w:pPr>
              <w:spacing w:after="0"/>
              <w:rPr>
                <w:sz w:val="1"/>
                <w:szCs w:val="1"/>
                <w:color w:val="auto"/>
              </w:rPr>
            </w:pPr>
          </w:p>
        </w:tc>
      </w:tr>
      <w:tr>
        <w:trPr>
          <w:trHeight w:val="164"/>
        </w:trPr>
        <w:tc>
          <w:tcPr>
            <w:tcW w:w="2420" w:type="dxa"/>
            <w:vAlign w:val="bottom"/>
          </w:tcPr>
          <w:p>
            <w:pPr>
              <w:spacing w:after="0"/>
              <w:rPr>
                <w:sz w:val="14"/>
                <w:szCs w:val="14"/>
                <w:color w:val="auto"/>
              </w:rPr>
            </w:pPr>
          </w:p>
        </w:tc>
        <w:tc>
          <w:tcPr>
            <w:tcW w:w="8080" w:type="dxa"/>
            <w:vAlign w:val="bottom"/>
          </w:tcPr>
          <w:p>
            <w:pPr>
              <w:ind w:left="380"/>
              <w:spacing w:after="0" w:line="165" w:lineRule="exact"/>
              <w:rPr>
                <w:sz w:val="20"/>
                <w:szCs w:val="20"/>
                <w:color w:val="auto"/>
              </w:rPr>
            </w:pPr>
            <w:r>
              <w:rPr>
                <w:rFonts w:ascii="Arial" w:cs="Arial" w:eastAsia="Arial" w:hAnsi="Arial"/>
                <w:sz w:val="16"/>
                <w:szCs w:val="16"/>
                <w:color w:val="032E5C"/>
              </w:rPr>
              <w:t>media and entertainment company that operates television channels in central Europe, from April 2014 to</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1760" w:type="dxa"/>
            <w:vAlign w:val="bottom"/>
          </w:tcPr>
          <w:p>
            <w:pPr>
              <w:jc w:val="center"/>
              <w:ind w:right="539"/>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61</w:t>
            </w:r>
          </w:p>
        </w:tc>
        <w:tc>
          <w:tcPr>
            <w:tcW w:w="8300" w:type="dxa"/>
            <w:vAlign w:val="bottom"/>
            <w:vMerge w:val="restart"/>
          </w:tcPr>
          <w:p>
            <w:pPr>
              <w:ind w:left="600"/>
              <w:spacing w:after="0"/>
              <w:rPr>
                <w:sz w:val="20"/>
                <w:szCs w:val="20"/>
                <w:color w:val="auto"/>
              </w:rPr>
            </w:pPr>
            <w:r>
              <w:rPr>
                <w:rFonts w:ascii="Arial" w:cs="Arial" w:eastAsia="Arial" w:hAnsi="Arial"/>
                <w:sz w:val="16"/>
                <w:szCs w:val="16"/>
                <w:color w:val="032E5C"/>
              </w:rPr>
              <w:t>June 2018. Ms. Knobloch served as a member of the supervisory board of Axel Springer SE, a German</w:t>
            </w: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8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1760" w:type="dxa"/>
            <w:vAlign w:val="bottom"/>
            <w:vMerge w:val="restart"/>
          </w:tcPr>
          <w:p>
            <w:pPr>
              <w:jc w:val="center"/>
              <w:ind w:right="539"/>
              <w:spacing w:after="0"/>
              <w:rPr>
                <w:sz w:val="20"/>
                <w:szCs w:val="20"/>
                <w:color w:val="auto"/>
              </w:rPr>
            </w:pPr>
            <w:r>
              <w:rPr>
                <w:rFonts w:ascii="Arial" w:cs="Arial" w:eastAsia="Arial" w:hAnsi="Arial"/>
                <w:sz w:val="16"/>
                <w:szCs w:val="16"/>
                <w:b w:val="1"/>
                <w:bCs w:val="1"/>
                <w:color w:val="032E5C"/>
              </w:rPr>
              <w:t>Director Since:</w:t>
            </w:r>
          </w:p>
        </w:tc>
        <w:tc>
          <w:tcPr>
            <w:tcW w:w="8300" w:type="dxa"/>
            <w:vAlign w:val="bottom"/>
          </w:tcPr>
          <w:p>
            <w:pPr>
              <w:ind w:left="600"/>
              <w:spacing w:after="0"/>
              <w:rPr>
                <w:sz w:val="20"/>
                <w:szCs w:val="20"/>
                <w:color w:val="auto"/>
              </w:rPr>
            </w:pPr>
            <w:r>
              <w:rPr>
                <w:rFonts w:ascii="Arial" w:cs="Arial" w:eastAsia="Arial" w:hAnsi="Arial"/>
                <w:sz w:val="16"/>
                <w:szCs w:val="16"/>
                <w:color w:val="032E5C"/>
              </w:rPr>
              <w:t>multinational media company, from April 2018 to December 2019. Ms. Knobloch received her JD from</w:t>
            </w:r>
          </w:p>
        </w:tc>
        <w:tc>
          <w:tcPr>
            <w:tcW w:w="0" w:type="dxa"/>
            <w:vAlign w:val="bottom"/>
          </w:tcPr>
          <w:p>
            <w:pPr>
              <w:spacing w:after="0"/>
              <w:rPr>
                <w:sz w:val="1"/>
                <w:szCs w:val="1"/>
                <w:color w:val="auto"/>
              </w:rPr>
            </w:pPr>
          </w:p>
        </w:tc>
      </w:tr>
      <w:tr>
        <w:trPr>
          <w:trHeight w:val="69"/>
        </w:trPr>
        <w:tc>
          <w:tcPr>
            <w:tcW w:w="1760" w:type="dxa"/>
            <w:vAlign w:val="bottom"/>
            <w:vMerge w:val="continue"/>
          </w:tcPr>
          <w:p>
            <w:pPr>
              <w:spacing w:after="0"/>
              <w:rPr>
                <w:sz w:val="5"/>
                <w:szCs w:val="5"/>
                <w:color w:val="auto"/>
              </w:rPr>
            </w:pPr>
          </w:p>
        </w:tc>
        <w:tc>
          <w:tcPr>
            <w:tcW w:w="8300" w:type="dxa"/>
            <w:vAlign w:val="bottom"/>
            <w:vMerge w:val="restart"/>
          </w:tcPr>
          <w:p>
            <w:pPr>
              <w:ind w:left="600"/>
              <w:spacing w:after="0"/>
              <w:rPr>
                <w:sz w:val="20"/>
                <w:szCs w:val="20"/>
                <w:color w:val="auto"/>
              </w:rPr>
            </w:pPr>
            <w:r>
              <w:rPr>
                <w:rFonts w:ascii="Arial" w:cs="Arial" w:eastAsia="Arial" w:hAnsi="Arial"/>
                <w:sz w:val="16"/>
                <w:szCs w:val="16"/>
                <w:color w:val="032E5C"/>
              </w:rPr>
              <w:t>Ludwig-Maximilians-Universitaet and an LLM from New York University.</w:t>
            </w:r>
          </w:p>
        </w:tc>
        <w:tc>
          <w:tcPr>
            <w:tcW w:w="0" w:type="dxa"/>
            <w:vAlign w:val="bottom"/>
          </w:tcPr>
          <w:p>
            <w:pPr>
              <w:spacing w:after="0"/>
              <w:rPr>
                <w:sz w:val="1"/>
                <w:szCs w:val="1"/>
                <w:color w:val="auto"/>
              </w:rPr>
            </w:pPr>
          </w:p>
        </w:tc>
      </w:tr>
      <w:tr>
        <w:trPr>
          <w:trHeight w:val="147"/>
        </w:trPr>
        <w:tc>
          <w:tcPr>
            <w:tcW w:w="1760" w:type="dxa"/>
            <w:vAlign w:val="bottom"/>
            <w:vMerge w:val="restart"/>
          </w:tcPr>
          <w:p>
            <w:pPr>
              <w:jc w:val="center"/>
              <w:ind w:right="539"/>
              <w:spacing w:after="0"/>
              <w:rPr>
                <w:sz w:val="20"/>
                <w:szCs w:val="20"/>
                <w:color w:val="auto"/>
              </w:rPr>
            </w:pPr>
            <w:r>
              <w:rPr>
                <w:rFonts w:ascii="Arial" w:cs="Arial" w:eastAsia="Arial" w:hAnsi="Arial"/>
                <w:sz w:val="16"/>
                <w:szCs w:val="16"/>
                <w:color w:val="032E5C"/>
              </w:rPr>
              <w:t>February 2024</w:t>
            </w:r>
          </w:p>
        </w:tc>
        <w:tc>
          <w:tcPr>
            <w:tcW w:w="8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60" w:type="dxa"/>
            <w:vAlign w:val="bottom"/>
            <w:vMerge w:val="continue"/>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760" w:type="dxa"/>
            <w:vAlign w:val="bottom"/>
            <w:vMerge w:val="restart"/>
          </w:tcPr>
          <w:p>
            <w:pPr>
              <w:jc w:val="center"/>
              <w:ind w:right="539"/>
              <w:spacing w:after="0"/>
              <w:rPr>
                <w:sz w:val="20"/>
                <w:szCs w:val="20"/>
                <w:color w:val="auto"/>
              </w:rPr>
            </w:pPr>
            <w:r>
              <w:rPr>
                <w:rFonts w:ascii="Arial" w:cs="Arial" w:eastAsia="Arial" w:hAnsi="Arial"/>
                <w:sz w:val="16"/>
                <w:szCs w:val="16"/>
                <w:b w:val="1"/>
                <w:bCs w:val="1"/>
                <w:color w:val="032E5C"/>
              </w:rPr>
              <w:t>Committees:</w:t>
            </w:r>
          </w:p>
        </w:tc>
        <w:tc>
          <w:tcPr>
            <w:tcW w:w="8300" w:type="dxa"/>
            <w:vAlign w:val="bottom"/>
          </w:tcPr>
          <w:p>
            <w:pPr>
              <w:ind w:left="600"/>
              <w:spacing w:after="0"/>
              <w:rPr>
                <w:sz w:val="20"/>
                <w:szCs w:val="20"/>
                <w:color w:val="auto"/>
              </w:rPr>
            </w:pPr>
            <w:r>
              <w:rPr>
                <w:rFonts w:ascii="Arial" w:cs="Arial" w:eastAsia="Arial" w:hAnsi="Arial"/>
                <w:sz w:val="16"/>
                <w:szCs w:val="16"/>
                <w:b w:val="1"/>
                <w:bCs w:val="1"/>
                <w:color w:val="032E5C"/>
              </w:rPr>
              <w:t>Key Skills and Qualifications:</w:t>
            </w: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67" w:right="359" w:bottom="1440" w:gutter="0" w:footer="0" w:header="0"/>
        </w:sectPr>
      </w:pPr>
    </w:p>
    <w:p>
      <w:pPr>
        <w:jc w:val="center"/>
        <w:ind w:left="390"/>
        <w:spacing w:after="0"/>
        <w:rPr>
          <w:sz w:val="20"/>
          <w:szCs w:val="20"/>
          <w:color w:val="auto"/>
        </w:rPr>
      </w:pPr>
      <w:r>
        <w:rPr>
          <w:rFonts w:ascii="Arial" w:cs="Arial" w:eastAsia="Arial" w:hAnsi="Arial"/>
          <w:sz w:val="16"/>
          <w:szCs w:val="16"/>
          <w:color w:val="032E5C"/>
        </w:rPr>
        <w:t>Compensation</w:t>
      </w:r>
    </w:p>
    <w:p>
      <w:pPr>
        <w:spacing w:after="0" w:line="147" w:lineRule="exact"/>
        <w:rPr>
          <w:sz w:val="20"/>
          <w:szCs w:val="20"/>
          <w:color w:val="auto"/>
        </w:rPr>
      </w:pPr>
    </w:p>
    <w:p>
      <w:pPr>
        <w:jc w:val="center"/>
        <w:ind w:left="390"/>
        <w:spacing w:after="0"/>
        <w:rPr>
          <w:sz w:val="20"/>
          <w:szCs w:val="20"/>
          <w:color w:val="auto"/>
        </w:rPr>
      </w:pPr>
      <w:r>
        <w:rPr>
          <w:rFonts w:ascii="Arial" w:cs="Arial" w:eastAsia="Arial" w:hAnsi="Arial"/>
          <w:sz w:val="16"/>
          <w:szCs w:val="16"/>
          <w:b w:val="1"/>
          <w:bCs w:val="1"/>
          <w:color w:val="032E5C"/>
        </w:rPr>
        <w:t>Current Public Directorships:</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6"/>
          <w:szCs w:val="16"/>
          <w:color w:val="032E5C"/>
        </w:rPr>
        <w:t>Accor SA</w:t>
      </w:r>
    </w:p>
    <w:p>
      <w:pPr>
        <w:spacing w:after="0" w:line="147" w:lineRule="exact"/>
        <w:rPr>
          <w:sz w:val="20"/>
          <w:szCs w:val="20"/>
          <w:color w:val="auto"/>
        </w:rPr>
      </w:pPr>
    </w:p>
    <w:p>
      <w:pPr>
        <w:ind w:left="1240"/>
        <w:spacing w:after="0"/>
        <w:rPr>
          <w:sz w:val="20"/>
          <w:szCs w:val="20"/>
          <w:color w:val="auto"/>
        </w:rPr>
      </w:pPr>
      <w:r>
        <w:rPr>
          <w:rFonts w:ascii="Arial" w:cs="Arial" w:eastAsia="Arial" w:hAnsi="Arial"/>
          <w:sz w:val="16"/>
          <w:szCs w:val="16"/>
          <w:color w:val="032E5C"/>
        </w:rPr>
        <w:t>Deezer SA</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6"/>
          <w:szCs w:val="16"/>
          <w:color w:val="032E5C"/>
        </w:rPr>
        <w:t>Lazard, Inc.</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ind w:left="330" w:right="180" w:hanging="330"/>
        <w:spacing w:after="0" w:line="282" w:lineRule="auto"/>
        <w:tabs>
          <w:tab w:leader="none" w:pos="327" w:val="left"/>
        </w:tabs>
        <w:numPr>
          <w:ilvl w:val="0"/>
          <w:numId w:val="1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 xml:space="preserve">Leadership </w:t>
      </w:r>
      <w:r>
        <w:rPr>
          <w:rFonts w:ascii="Arial" w:cs="Arial" w:eastAsia="Arial" w:hAnsi="Arial"/>
          <w:sz w:val="16"/>
          <w:szCs w:val="16"/>
          <w:color w:val="032E5C"/>
        </w:rPr>
        <w:t>experience—President of an annual film festival (Cannes Film Festival); former Chief</w:t>
      </w:r>
      <w:r>
        <w:rPr>
          <w:rFonts w:ascii="Arial" w:cs="Arial" w:eastAsia="Arial" w:hAnsi="Arial"/>
          <w:sz w:val="16"/>
          <w:szCs w:val="16"/>
          <w:b w:val="1"/>
          <w:bCs w:val="1"/>
          <w:color w:val="032E5C"/>
        </w:rPr>
        <w:t xml:space="preserve"> </w:t>
      </w:r>
      <w:r>
        <w:rPr>
          <w:rFonts w:ascii="Arial" w:cs="Arial" w:eastAsia="Arial" w:hAnsi="Arial"/>
          <w:sz w:val="16"/>
          <w:szCs w:val="16"/>
          <w:color w:val="032E5C"/>
        </w:rPr>
        <w:t>Executive Officer and Chairwoman of a special purpose acquisition company (I2PO); former senior executive with an American multinational media and entertainment conglomerate (WarnerMedia); director of Accor, Deezer, and Lazard; former director of LVMH Moet Hennessy Louis Vuitton, Axel Springer, and Central European Media Enterprises</w:t>
      </w:r>
    </w:p>
    <w:p>
      <w:pPr>
        <w:spacing w:after="0" w:line="107" w:lineRule="exact"/>
        <w:rPr>
          <w:rFonts w:ascii="Wingdings" w:cs="Wingdings" w:eastAsia="Wingdings" w:hAnsi="Wingdings"/>
          <w:sz w:val="16"/>
          <w:szCs w:val="16"/>
          <w:b w:val="1"/>
          <w:bCs w:val="1"/>
          <w:color w:val="auto"/>
          <w:shd w:val="clear" w:color="auto" w:fill="3E5C7C"/>
        </w:rPr>
      </w:pPr>
    </w:p>
    <w:p>
      <w:pPr>
        <w:jc w:val="both"/>
        <w:ind w:left="330" w:right="100" w:hanging="330"/>
        <w:spacing w:after="0" w:line="282" w:lineRule="auto"/>
        <w:tabs>
          <w:tab w:leader="none" w:pos="327" w:val="left"/>
        </w:tabs>
        <w:numPr>
          <w:ilvl w:val="0"/>
          <w:numId w:val="1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 xml:space="preserve">Industry </w:t>
      </w:r>
      <w:r>
        <w:rPr>
          <w:rFonts w:ascii="Arial" w:cs="Arial" w:eastAsia="Arial" w:hAnsi="Arial"/>
          <w:sz w:val="16"/>
          <w:szCs w:val="16"/>
          <w:color w:val="032E5C"/>
        </w:rPr>
        <w:t>experience—former Chief Executive Officer and Chairwoman of a special purpose</w:t>
      </w:r>
      <w:r>
        <w:rPr>
          <w:rFonts w:ascii="Arial" w:cs="Arial" w:eastAsia="Arial" w:hAnsi="Arial"/>
          <w:sz w:val="16"/>
          <w:szCs w:val="16"/>
          <w:b w:val="1"/>
          <w:bCs w:val="1"/>
          <w:color w:val="032E5C"/>
        </w:rPr>
        <w:t xml:space="preserve"> </w:t>
      </w:r>
      <w:r>
        <w:rPr>
          <w:rFonts w:ascii="Arial" w:cs="Arial" w:eastAsia="Arial" w:hAnsi="Arial"/>
          <w:sz w:val="16"/>
          <w:szCs w:val="16"/>
          <w:color w:val="032E5C"/>
        </w:rPr>
        <w:t>acquisition company dedicated to the entertainment and leisure industry (I2PO); director of a French multinational hospitality company that owns, manages, and franchises hotels, resorts, and vacation properties (Accor); former director of a French multinational holding company and conglomerate specializing in luxury goods (LVMH Moet Hennseey Louis Vuitton)</w:t>
      </w:r>
    </w:p>
    <w:p>
      <w:pPr>
        <w:spacing w:after="0" w:line="107" w:lineRule="exact"/>
        <w:rPr>
          <w:rFonts w:ascii="Wingdings" w:cs="Wingdings" w:eastAsia="Wingdings" w:hAnsi="Wingdings"/>
          <w:sz w:val="16"/>
          <w:szCs w:val="16"/>
          <w:b w:val="1"/>
          <w:bCs w:val="1"/>
          <w:color w:val="auto"/>
          <w:shd w:val="clear" w:color="auto" w:fill="3E5C7C"/>
        </w:rPr>
      </w:pPr>
    </w:p>
    <w:p>
      <w:pPr>
        <w:jc w:val="both"/>
        <w:ind w:left="330" w:right="100" w:hanging="330"/>
        <w:spacing w:after="0" w:line="289" w:lineRule="auto"/>
        <w:tabs>
          <w:tab w:leader="none" w:pos="327" w:val="left"/>
        </w:tabs>
        <w:numPr>
          <w:ilvl w:val="0"/>
          <w:numId w:val="1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 xml:space="preserve">International </w:t>
      </w:r>
      <w:r>
        <w:rPr>
          <w:rFonts w:ascii="Arial" w:cs="Arial" w:eastAsia="Arial" w:hAnsi="Arial"/>
          <w:sz w:val="16"/>
          <w:szCs w:val="16"/>
          <w:color w:val="032E5C"/>
        </w:rPr>
        <w:t>experience—public company directorships with international operations (Accor,</w:t>
      </w:r>
      <w:r>
        <w:rPr>
          <w:rFonts w:ascii="Arial" w:cs="Arial" w:eastAsia="Arial" w:hAnsi="Arial"/>
          <w:sz w:val="16"/>
          <w:szCs w:val="16"/>
          <w:b w:val="1"/>
          <w:bCs w:val="1"/>
          <w:color w:val="032E5C"/>
        </w:rPr>
        <w:t xml:space="preserve"> </w:t>
      </w:r>
      <w:r>
        <w:rPr>
          <w:rFonts w:ascii="Arial" w:cs="Arial" w:eastAsia="Arial" w:hAnsi="Arial"/>
          <w:sz w:val="16"/>
          <w:szCs w:val="16"/>
          <w:color w:val="032E5C"/>
        </w:rPr>
        <w:t>Deezer, Lazard, LVMH Moet Hennessy Louis Vuitton, and Central European Media Enterprises); senior leadership roles in France, Germany, the Benelux, Austria, and Switzerland (Cannes Film Festival, I2PO, and WarnerMedia)</w:t>
      </w:r>
    </w:p>
    <w:p>
      <w:pPr>
        <w:spacing w:after="0" w:line="200" w:lineRule="exact"/>
        <w:rPr>
          <w:sz w:val="20"/>
          <w:szCs w:val="20"/>
          <w:color w:val="auto"/>
        </w:rPr>
      </w:pPr>
    </w:p>
    <w:p>
      <w:pPr>
        <w:sectPr>
          <w:pgSz w:w="11900" w:h="16838" w:orient="portrait"/>
          <w:cols w:equalWidth="0" w:num="2">
            <w:col w:w="2870" w:space="720"/>
            <w:col w:w="7630"/>
          </w:cols>
          <w:pgMar w:left="320" w:top="167" w:right="359" w:bottom="1440" w:gutter="0" w:footer="0" w:header="0"/>
          <w:type w:val="continuous"/>
        </w:sectPr>
      </w:pP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16</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bookmarkStart w:id="21" w:name="page22"/>
    <w:bookmarkEnd w:id="21"/>
    <w:tbl>
      <w:tblPr>
        <w:tblLayout w:type="fixed"/>
        <w:tblInd w:w="20" w:type="dxa"/>
        <w:tblCellMar>
          <w:top w:w="0" w:type="dxa"/>
          <w:left w:w="0" w:type="dxa"/>
          <w:bottom w:w="0" w:type="dxa"/>
          <w:right w:w="0" w:type="dxa"/>
        </w:tblCellMar>
      </w:tblPr>
      <w:tr>
        <w:trPr>
          <w:trHeight w:val="190"/>
        </w:trPr>
        <w:tc>
          <w:tcPr>
            <w:tcW w:w="5700" w:type="dxa"/>
            <w:vAlign w:val="bottom"/>
          </w:tcPr>
          <w:p>
            <w:pPr>
              <w:spacing w:after="0"/>
              <w:rPr>
                <w:sz w:val="20"/>
                <w:szCs w:val="20"/>
                <w:color w:val="auto"/>
              </w:rPr>
            </w:pPr>
            <w:r>
              <w:rPr>
                <w:rFonts w:ascii="Arial" w:cs="Arial" w:eastAsia="Arial" w:hAnsi="Arial"/>
                <w:sz w:val="14"/>
                <w:szCs w:val="14"/>
                <w:color w:val="032E5C"/>
              </w:rPr>
              <w:t>Table of Contents</w:t>
            </w:r>
          </w:p>
        </w:tc>
        <w:tc>
          <w:tcPr>
            <w:tcW w:w="538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5"/>
              </w:rPr>
              <w:t>PROPOSAL 1</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6637655</wp:posOffset>
            </wp:positionH>
            <wp:positionV relativeFrom="page">
              <wp:posOffset>106045</wp:posOffset>
            </wp:positionV>
            <wp:extent cx="702945"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294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205740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583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pacing w:after="0" w:line="147"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032E5C"/>
        </w:rPr>
        <w:t>Business Experience, Other Directorships and Qualifications</w:t>
      </w:r>
    </w:p>
    <w:p>
      <w:pPr>
        <w:spacing w:after="0" w:line="154" w:lineRule="exact"/>
        <w:rPr>
          <w:sz w:val="20"/>
          <w:szCs w:val="20"/>
          <w:color w:val="auto"/>
        </w:rPr>
      </w:pPr>
    </w:p>
    <w:p>
      <w:pPr>
        <w:jc w:val="both"/>
        <w:ind w:left="3420" w:right="120"/>
        <w:spacing w:after="0" w:line="280" w:lineRule="auto"/>
        <w:rPr>
          <w:sz w:val="20"/>
          <w:szCs w:val="20"/>
          <w:color w:val="auto"/>
        </w:rPr>
      </w:pPr>
      <w:r>
        <w:rPr>
          <w:rFonts w:ascii="Arial" w:cs="Arial" w:eastAsia="Arial" w:hAnsi="Arial"/>
          <w:sz w:val="16"/>
          <w:szCs w:val="16"/>
          <w:color w:val="032E5C"/>
        </w:rPr>
        <w:t>Ms. Lynch has served as Chief Executive Officer and director of Vail Resorts since November 2021, and previously served for ten years as the as Executive Vice President and Chief Marketing Officer. From March 2018 to May 2022, Ms. Lynch served as a director of Stitch Fix, Inc., a publicly traded e-commerce company focused on personalized data-driven fashion. Prior to joining the Company in 2011, Ms. Lynch was with PepsiCo, Inc., where she was Chief Marketing Officer of the Quaker Foods and Snacks Division from 2009 to 2011, leading the brand marketing, consumer insights, and shopper marketing organization. Prior to PepsiCo, Kirsten worked for Kraft Foods for 12 years in various positions including Vice President of Marketing for Kraft Foods’ Cheese and Dairy Business Unit and Senior Marketing Director for Kraft Macaroni &amp; Cheese. Ms. Lynch started her career with Ford Motor Company in marketing and sales.</w:t>
      </w:r>
    </w:p>
    <w:p>
      <w:pPr>
        <w:sectPr>
          <w:pgSz w:w="11900" w:h="16838" w:orient="portrait"/>
          <w:cols w:equalWidth="0" w:num="1">
            <w:col w:w="11240"/>
          </w:cols>
          <w:pgMar w:left="320" w:top="184" w:right="339" w:bottom="1440" w:gutter="0" w:footer="0" w:header="0"/>
        </w:sectPr>
      </w:pPr>
    </w:p>
    <w:p>
      <w:pPr>
        <w:spacing w:after="0" w:line="191" w:lineRule="exact"/>
        <w:rPr>
          <w:sz w:val="20"/>
          <w:szCs w:val="20"/>
          <w:color w:val="auto"/>
        </w:rPr>
      </w:pPr>
    </w:p>
    <w:p>
      <w:pPr>
        <w:jc w:val="center"/>
        <w:ind w:left="460"/>
        <w:spacing w:after="0"/>
        <w:rPr>
          <w:sz w:val="20"/>
          <w:szCs w:val="20"/>
          <w:color w:val="auto"/>
        </w:rPr>
      </w:pPr>
      <w:r>
        <w:rPr>
          <w:rFonts w:ascii="Arial" w:cs="Arial" w:eastAsia="Arial" w:hAnsi="Arial"/>
          <w:sz w:val="24"/>
          <w:szCs w:val="24"/>
          <w:b w:val="1"/>
          <w:bCs w:val="1"/>
          <w:color w:val="032E5C"/>
        </w:rPr>
        <w:t>KIRSTEN A. LYNCH</w:t>
      </w:r>
    </w:p>
    <w:p>
      <w:pPr>
        <w:spacing w:after="0" w:line="193"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032E5C"/>
        </w:rPr>
        <w:t>Chief Executive Officer,</w:t>
      </w:r>
    </w:p>
    <w:p>
      <w:pPr>
        <w:spacing w:after="0" w:line="32"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032E5C"/>
        </w:rPr>
        <w:t>Vail Resorts, Inc.</w:t>
      </w:r>
    </w:p>
    <w:p>
      <w:pPr>
        <w:spacing w:after="0" w:line="167"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56</w:t>
      </w:r>
    </w:p>
    <w:p>
      <w:pPr>
        <w:spacing w:after="0" w:line="154"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032E5C"/>
        </w:rPr>
        <w:t>Director Since:</w:t>
      </w:r>
    </w:p>
    <w:p>
      <w:pPr>
        <w:spacing w:after="0" w:line="39"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032E5C"/>
        </w:rPr>
        <w:t>November 2021</w:t>
      </w:r>
    </w:p>
    <w:p>
      <w:pPr>
        <w:spacing w:after="0" w:line="147"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032E5C"/>
        </w:rPr>
        <w:t>Committees:</w:t>
      </w:r>
    </w:p>
    <w:p>
      <w:pPr>
        <w:spacing w:after="0" w:line="39" w:lineRule="exact"/>
        <w:rPr>
          <w:sz w:val="20"/>
          <w:szCs w:val="20"/>
          <w:color w:val="auto"/>
        </w:rPr>
      </w:pPr>
    </w:p>
    <w:p>
      <w:pPr>
        <w:ind w:left="1280"/>
        <w:spacing w:after="0"/>
        <w:rPr>
          <w:sz w:val="20"/>
          <w:szCs w:val="20"/>
          <w:color w:val="auto"/>
        </w:rPr>
      </w:pPr>
      <w:r>
        <w:rPr>
          <w:rFonts w:ascii="Arial" w:cs="Arial" w:eastAsia="Arial" w:hAnsi="Arial"/>
          <w:sz w:val="16"/>
          <w:szCs w:val="16"/>
          <w:color w:val="032E5C"/>
        </w:rPr>
        <w:t>Executive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Key Skills and Qualifications:</w:t>
      </w:r>
    </w:p>
    <w:p>
      <w:pPr>
        <w:spacing w:after="0" w:line="140" w:lineRule="exact"/>
        <w:rPr>
          <w:sz w:val="20"/>
          <w:szCs w:val="20"/>
          <w:color w:val="auto"/>
        </w:rPr>
      </w:pPr>
    </w:p>
    <w:p>
      <w:pPr>
        <w:jc w:val="both"/>
        <w:ind w:left="500" w:right="200" w:hanging="330"/>
        <w:spacing w:after="0" w:line="282" w:lineRule="auto"/>
        <w:tabs>
          <w:tab w:leader="none" w:pos="497" w:val="left"/>
        </w:tabs>
        <w:numPr>
          <w:ilvl w:val="0"/>
          <w:numId w:val="1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 xml:space="preserve">Leadership </w:t>
      </w:r>
      <w:r>
        <w:rPr>
          <w:rFonts w:ascii="Arial" w:cs="Arial" w:eastAsia="Arial" w:hAnsi="Arial"/>
          <w:sz w:val="16"/>
          <w:szCs w:val="16"/>
          <w:color w:val="032E5C"/>
        </w:rPr>
        <w:t>experience—professional association with Vail Resorts began in 2011; CEO and</w:t>
      </w:r>
      <w:r>
        <w:rPr>
          <w:rFonts w:ascii="Arial" w:cs="Arial" w:eastAsia="Arial" w:hAnsi="Arial"/>
          <w:sz w:val="16"/>
          <w:szCs w:val="16"/>
          <w:b w:val="1"/>
          <w:bCs w:val="1"/>
          <w:color w:val="032E5C"/>
        </w:rPr>
        <w:t xml:space="preserve"> </w:t>
      </w:r>
      <w:r>
        <w:rPr>
          <w:rFonts w:ascii="Arial" w:cs="Arial" w:eastAsia="Arial" w:hAnsi="Arial"/>
          <w:sz w:val="16"/>
          <w:szCs w:val="16"/>
          <w:color w:val="032E5C"/>
        </w:rPr>
        <w:t>director of Vail Resorts since November 2021; former executive vice president and Chief Marketing Officer of a large public company (Vail Resorts); former Chief Marketing Officer at multinational food and beverage corporation (PepsiCo); former vice president of marketing for large food manufacturing conglomerate (Kraft); former director at publicly traded e-commerce company (Stitch Fix)</w:t>
      </w:r>
    </w:p>
    <w:p>
      <w:pPr>
        <w:spacing w:after="0" w:line="106" w:lineRule="exact"/>
        <w:rPr>
          <w:rFonts w:ascii="Wingdings" w:cs="Wingdings" w:eastAsia="Wingdings" w:hAnsi="Wingdings"/>
          <w:sz w:val="16"/>
          <w:szCs w:val="16"/>
          <w:b w:val="1"/>
          <w:bCs w:val="1"/>
          <w:color w:val="auto"/>
          <w:shd w:val="clear" w:color="auto" w:fill="3E5C7C"/>
        </w:rPr>
      </w:pPr>
    </w:p>
    <w:p>
      <w:pPr>
        <w:jc w:val="both"/>
        <w:ind w:left="500" w:right="120" w:hanging="330"/>
        <w:spacing w:after="0" w:line="289" w:lineRule="auto"/>
        <w:tabs>
          <w:tab w:leader="none" w:pos="497" w:val="left"/>
        </w:tabs>
        <w:numPr>
          <w:ilvl w:val="0"/>
          <w:numId w:val="1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 xml:space="preserve">Industry </w:t>
      </w:r>
      <w:r>
        <w:rPr>
          <w:rFonts w:ascii="Arial" w:cs="Arial" w:eastAsia="Arial" w:hAnsi="Arial"/>
          <w:sz w:val="16"/>
          <w:szCs w:val="16"/>
          <w:color w:val="032E5C"/>
        </w:rPr>
        <w:t>and</w:t>
      </w:r>
      <w:r>
        <w:rPr>
          <w:rFonts w:ascii="Arial" w:cs="Arial" w:eastAsia="Arial" w:hAnsi="Arial"/>
          <w:sz w:val="16"/>
          <w:szCs w:val="16"/>
          <w:b w:val="1"/>
          <w:bCs w:val="1"/>
          <w:color w:val="032E5C"/>
        </w:rPr>
        <w:t xml:space="preserve"> Marketing </w:t>
      </w:r>
      <w:r>
        <w:rPr>
          <w:rFonts w:ascii="Arial" w:cs="Arial" w:eastAsia="Arial" w:hAnsi="Arial"/>
          <w:sz w:val="16"/>
          <w:szCs w:val="16"/>
          <w:color w:val="032E5C"/>
        </w:rPr>
        <w:t>experience—former Chief Marketing Officer at two major corporations</w:t>
      </w:r>
      <w:r>
        <w:rPr>
          <w:rFonts w:ascii="Arial" w:cs="Arial" w:eastAsia="Arial" w:hAnsi="Arial"/>
          <w:sz w:val="16"/>
          <w:szCs w:val="16"/>
          <w:b w:val="1"/>
          <w:bCs w:val="1"/>
          <w:color w:val="032E5C"/>
        </w:rPr>
        <w:t xml:space="preserve"> </w:t>
      </w:r>
      <w:r>
        <w:rPr>
          <w:rFonts w:ascii="Arial" w:cs="Arial" w:eastAsia="Arial" w:hAnsi="Arial"/>
          <w:sz w:val="16"/>
          <w:szCs w:val="16"/>
          <w:color w:val="032E5C"/>
        </w:rPr>
        <w:t>leading brand marketing and consumer insights across the enterprises (Vail Resorts, PepsiCo); multiple marketing positions, including vice president, overseeing various product divisions (Kraft); marketing and sales at multinational automobile manufacturer (Ford)</w:t>
      </w:r>
    </w:p>
    <w:p>
      <w:pPr>
        <w:spacing w:after="0" w:line="85" w:lineRule="exact"/>
        <w:rPr>
          <w:rFonts w:ascii="Wingdings" w:cs="Wingdings" w:eastAsia="Wingdings" w:hAnsi="Wingdings"/>
          <w:sz w:val="16"/>
          <w:szCs w:val="16"/>
          <w:b w:val="1"/>
          <w:bCs w:val="1"/>
          <w:color w:val="auto"/>
          <w:shd w:val="clear" w:color="auto" w:fill="3E5C7C"/>
        </w:rPr>
      </w:pPr>
    </w:p>
    <w:p>
      <w:pPr>
        <w:ind w:left="500" w:hanging="330"/>
        <w:spacing w:after="0"/>
        <w:tabs>
          <w:tab w:leader="none" w:pos="500" w:val="left"/>
        </w:tabs>
        <w:numPr>
          <w:ilvl w:val="0"/>
          <w:numId w:val="1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 xml:space="preserve">Finance </w:t>
      </w:r>
      <w:r>
        <w:rPr>
          <w:rFonts w:ascii="Arial" w:cs="Arial" w:eastAsia="Arial" w:hAnsi="Arial"/>
          <w:sz w:val="16"/>
          <w:szCs w:val="16"/>
          <w:color w:val="032E5C"/>
        </w:rPr>
        <w:t>experience—current CEO of large public company (Vail Resorts)</w:t>
      </w:r>
    </w:p>
    <w:p>
      <w:pPr>
        <w:spacing w:after="0" w:line="200" w:lineRule="exact"/>
        <w:rPr>
          <w:sz w:val="20"/>
          <w:szCs w:val="20"/>
          <w:color w:val="auto"/>
        </w:rPr>
      </w:pPr>
    </w:p>
    <w:p>
      <w:pPr>
        <w:sectPr>
          <w:pgSz w:w="11900" w:h="16838" w:orient="portrait"/>
          <w:cols w:equalWidth="0" w:num="2">
            <w:col w:w="2800" w:space="620"/>
            <w:col w:w="7820"/>
          </w:cols>
          <w:pgMar w:left="320" w:top="184" w:right="339" w:bottom="1440" w:gutter="0" w:footer="0" w:header="0"/>
          <w:type w:val="continuous"/>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17</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1</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205740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243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243705"/>
                    </a:xfrm>
                    <a:prstGeom prst="rect">
                      <a:avLst/>
                    </a:prstGeom>
                    <a:noFill/>
                  </pic:spPr>
                </pic:pic>
              </a:graphicData>
            </a:graphic>
          </wp:anchor>
        </w:drawing>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2960" w:type="dxa"/>
            <w:vAlign w:val="bottom"/>
          </w:tcPr>
          <w:p>
            <w:pPr>
              <w:spacing w:after="0"/>
              <w:rPr>
                <w:sz w:val="19"/>
                <w:szCs w:val="19"/>
                <w:color w:val="auto"/>
              </w:rPr>
            </w:pPr>
          </w:p>
        </w:tc>
        <w:tc>
          <w:tcPr>
            <w:tcW w:w="7900" w:type="dxa"/>
            <w:vAlign w:val="bottom"/>
          </w:tcPr>
          <w:p>
            <w:pPr>
              <w:ind w:left="200"/>
              <w:spacing w:after="0"/>
              <w:rPr>
                <w:sz w:val="20"/>
                <w:szCs w:val="20"/>
                <w:color w:val="auto"/>
              </w:rPr>
            </w:pPr>
            <w:r>
              <w:rPr>
                <w:rFonts w:ascii="Arial" w:cs="Arial" w:eastAsia="Arial" w:hAnsi="Arial"/>
                <w:sz w:val="16"/>
                <w:szCs w:val="16"/>
                <w:b w:val="1"/>
                <w:bCs w:val="1"/>
                <w:color w:val="032E5C"/>
              </w:rPr>
              <w:t>Business Experience, Other Directorships and Qualifications</w:t>
            </w:r>
          </w:p>
        </w:tc>
        <w:tc>
          <w:tcPr>
            <w:tcW w:w="0" w:type="dxa"/>
            <w:vAlign w:val="bottom"/>
          </w:tcPr>
          <w:p>
            <w:pPr>
              <w:spacing w:after="0"/>
              <w:rPr>
                <w:sz w:val="1"/>
                <w:szCs w:val="1"/>
                <w:color w:val="auto"/>
              </w:rPr>
            </w:pPr>
          </w:p>
        </w:tc>
      </w:tr>
      <w:tr>
        <w:trPr>
          <w:trHeight w:val="317"/>
        </w:trPr>
        <w:tc>
          <w:tcPr>
            <w:tcW w:w="2960" w:type="dxa"/>
            <w:vAlign w:val="bottom"/>
          </w:tcPr>
          <w:p>
            <w:pPr>
              <w:spacing w:after="0"/>
              <w:rPr>
                <w:sz w:val="24"/>
                <w:szCs w:val="24"/>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Ms. Rawlinson is currently a co-owner and the Operating Chairman of the WNBA franchise Chicago Sky. In</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her capacity as Operating Chairman, Ms. Rawlinson leads the ownership group and oversees all business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operations, strategy, and government relations. Additionally, Ms. Rawlinson is a Venture Advisor at GV, the</w:t>
            </w: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venture capital arm of Alphabet Inc. With $8 billion under management, GV invests in early-stage</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consumer, life sciences, enterprise, and frontier technology companies. Before joining GV, she built a</w:t>
            </w: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robust career in human resources and was the Chief People Officer of Slack Technologies, Inc., a leading</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channel-based messaging platform, where she was responsible for shaping the future of work and</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overseeing human resources strategy. From June 2016 to September 2020, she was the Chief Human</w:t>
            </w: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Resources Officer at Live Nation Entertainment, leading HR for the company’s 35,000 full time and</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seasonal employees. Ms. Rawlinson also worked as the Chief Human Resources Officer at Rakuten</w:t>
            </w:r>
          </w:p>
        </w:tc>
        <w:tc>
          <w:tcPr>
            <w:tcW w:w="0" w:type="dxa"/>
            <w:vAlign w:val="bottom"/>
          </w:tcPr>
          <w:p>
            <w:pPr>
              <w:spacing w:after="0"/>
              <w:rPr>
                <w:sz w:val="1"/>
                <w:szCs w:val="1"/>
                <w:color w:val="auto"/>
              </w:rPr>
            </w:pPr>
          </w:p>
        </w:tc>
      </w:tr>
      <w:tr>
        <w:trPr>
          <w:trHeight w:val="204"/>
        </w:trPr>
        <w:tc>
          <w:tcPr>
            <w:tcW w:w="2960" w:type="dxa"/>
            <w:vAlign w:val="bottom"/>
            <w:vMerge w:val="restart"/>
          </w:tcPr>
          <w:p>
            <w:pPr>
              <w:jc w:val="center"/>
              <w:ind w:right="133"/>
              <w:spacing w:after="0"/>
              <w:rPr>
                <w:sz w:val="20"/>
                <w:szCs w:val="20"/>
                <w:color w:val="auto"/>
              </w:rPr>
            </w:pPr>
            <w:r>
              <w:rPr>
                <w:rFonts w:ascii="Arial" w:cs="Arial" w:eastAsia="Arial" w:hAnsi="Arial"/>
                <w:sz w:val="25"/>
                <w:szCs w:val="25"/>
                <w:b w:val="1"/>
                <w:bCs w:val="1"/>
                <w:color w:val="032E5C"/>
              </w:rPr>
              <w:t>NADIA N. RAWLINSON</w:t>
            </w:r>
          </w:p>
        </w:tc>
        <w:tc>
          <w:tcPr>
            <w:tcW w:w="7900" w:type="dxa"/>
            <w:vAlign w:val="bottom"/>
          </w:tcPr>
          <w:p>
            <w:pPr>
              <w:ind w:left="200"/>
              <w:spacing w:after="0"/>
              <w:rPr>
                <w:sz w:val="20"/>
                <w:szCs w:val="20"/>
                <w:color w:val="auto"/>
              </w:rPr>
            </w:pPr>
            <w:r>
              <w:rPr>
                <w:rFonts w:ascii="Arial" w:cs="Arial" w:eastAsia="Arial" w:hAnsi="Arial"/>
                <w:sz w:val="16"/>
                <w:szCs w:val="16"/>
                <w:color w:val="032E5C"/>
              </w:rPr>
              <w:t>Americas, part of Japan-based Rakuten Group, one of the largest Internet services companies in the world.</w:t>
            </w:r>
          </w:p>
        </w:tc>
        <w:tc>
          <w:tcPr>
            <w:tcW w:w="0" w:type="dxa"/>
            <w:vAlign w:val="bottom"/>
          </w:tcPr>
          <w:p>
            <w:pPr>
              <w:spacing w:after="0"/>
              <w:rPr>
                <w:sz w:val="1"/>
                <w:szCs w:val="1"/>
                <w:color w:val="auto"/>
              </w:rPr>
            </w:pPr>
          </w:p>
        </w:tc>
      </w:tr>
      <w:tr>
        <w:trPr>
          <w:trHeight w:val="215"/>
        </w:trPr>
        <w:tc>
          <w:tcPr>
            <w:tcW w:w="2960" w:type="dxa"/>
            <w:vAlign w:val="bottom"/>
            <w:vMerge w:val="continue"/>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Early in her career, she operated in both HR and Business leadership roles at Groupon, American Express,</w:t>
            </w:r>
          </w:p>
        </w:tc>
        <w:tc>
          <w:tcPr>
            <w:tcW w:w="0" w:type="dxa"/>
            <w:vAlign w:val="bottom"/>
          </w:tcPr>
          <w:p>
            <w:pPr>
              <w:spacing w:after="0"/>
              <w:rPr>
                <w:sz w:val="1"/>
                <w:szCs w:val="1"/>
                <w:color w:val="auto"/>
              </w:rPr>
            </w:pPr>
          </w:p>
        </w:tc>
      </w:tr>
      <w:tr>
        <w:trPr>
          <w:trHeight w:val="204"/>
        </w:trPr>
        <w:tc>
          <w:tcPr>
            <w:tcW w:w="2960" w:type="dxa"/>
            <w:vAlign w:val="bottom"/>
            <w:vMerge w:val="restart"/>
          </w:tcPr>
          <w:p>
            <w:pPr>
              <w:jc w:val="center"/>
              <w:ind w:right="153"/>
              <w:spacing w:after="0"/>
              <w:rPr>
                <w:sz w:val="20"/>
                <w:szCs w:val="20"/>
                <w:color w:val="auto"/>
              </w:rPr>
            </w:pPr>
            <w:r>
              <w:rPr>
                <w:rFonts w:ascii="Arial" w:cs="Arial" w:eastAsia="Arial" w:hAnsi="Arial"/>
                <w:sz w:val="16"/>
                <w:szCs w:val="16"/>
                <w:color w:val="032E5C"/>
              </w:rPr>
              <w:t>Co-Owner and Operating Chairman,</w:t>
            </w:r>
          </w:p>
        </w:tc>
        <w:tc>
          <w:tcPr>
            <w:tcW w:w="7900" w:type="dxa"/>
            <w:vAlign w:val="bottom"/>
          </w:tcPr>
          <w:p>
            <w:pPr>
              <w:ind w:left="200"/>
              <w:spacing w:after="0"/>
              <w:rPr>
                <w:sz w:val="20"/>
                <w:szCs w:val="20"/>
                <w:color w:val="auto"/>
              </w:rPr>
            </w:pPr>
            <w:r>
              <w:rPr>
                <w:rFonts w:ascii="Arial" w:cs="Arial" w:eastAsia="Arial" w:hAnsi="Arial"/>
                <w:sz w:val="16"/>
                <w:szCs w:val="16"/>
                <w:color w:val="032E5C"/>
              </w:rPr>
              <w:t>and Google. Ms. Rawlinson is currently a director at J.Crew Group, Inc. serving as a member of the</w:t>
            </w:r>
          </w:p>
        </w:tc>
        <w:tc>
          <w:tcPr>
            <w:tcW w:w="0" w:type="dxa"/>
            <w:vAlign w:val="bottom"/>
          </w:tcPr>
          <w:p>
            <w:pPr>
              <w:spacing w:after="0"/>
              <w:rPr>
                <w:sz w:val="1"/>
                <w:szCs w:val="1"/>
                <w:color w:val="auto"/>
              </w:rPr>
            </w:pPr>
          </w:p>
        </w:tc>
      </w:tr>
      <w:tr>
        <w:trPr>
          <w:trHeight w:val="80"/>
        </w:trPr>
        <w:tc>
          <w:tcPr>
            <w:tcW w:w="2960" w:type="dxa"/>
            <w:vAlign w:val="bottom"/>
            <w:vMerge w:val="continue"/>
          </w:tcPr>
          <w:p>
            <w:pPr>
              <w:spacing w:after="0"/>
              <w:rPr>
                <w:sz w:val="6"/>
                <w:szCs w:val="6"/>
                <w:color w:val="auto"/>
              </w:rPr>
            </w:pPr>
          </w:p>
        </w:tc>
        <w:tc>
          <w:tcPr>
            <w:tcW w:w="7900" w:type="dxa"/>
            <w:vAlign w:val="bottom"/>
            <w:vMerge w:val="restart"/>
          </w:tcPr>
          <w:p>
            <w:pPr>
              <w:ind w:left="200"/>
              <w:spacing w:after="0"/>
              <w:rPr>
                <w:sz w:val="20"/>
                <w:szCs w:val="20"/>
                <w:color w:val="auto"/>
              </w:rPr>
            </w:pPr>
            <w:r>
              <w:rPr>
                <w:rFonts w:ascii="Arial" w:cs="Arial" w:eastAsia="Arial" w:hAnsi="Arial"/>
                <w:sz w:val="16"/>
                <w:szCs w:val="16"/>
                <w:color w:val="032E5C"/>
              </w:rPr>
              <w:t>compensation committee, and a board member of the international NGO Save the Children. Ms. Rawlinson</w:t>
            </w:r>
          </w:p>
        </w:tc>
        <w:tc>
          <w:tcPr>
            <w:tcW w:w="0" w:type="dxa"/>
            <w:vAlign w:val="bottom"/>
          </w:tcPr>
          <w:p>
            <w:pPr>
              <w:spacing w:after="0"/>
              <w:rPr>
                <w:sz w:val="1"/>
                <w:szCs w:val="1"/>
                <w:color w:val="auto"/>
              </w:rPr>
            </w:pPr>
          </w:p>
        </w:tc>
      </w:tr>
      <w:tr>
        <w:trPr>
          <w:trHeight w:val="135"/>
        </w:trPr>
        <w:tc>
          <w:tcPr>
            <w:tcW w:w="2960" w:type="dxa"/>
            <w:vAlign w:val="bottom"/>
            <w:vMerge w:val="restart"/>
          </w:tcPr>
          <w:p>
            <w:pPr>
              <w:jc w:val="center"/>
              <w:ind w:right="153"/>
              <w:spacing w:after="0"/>
              <w:rPr>
                <w:sz w:val="20"/>
                <w:szCs w:val="20"/>
                <w:color w:val="auto"/>
              </w:rPr>
            </w:pPr>
            <w:r>
              <w:rPr>
                <w:rFonts w:ascii="Arial" w:cs="Arial" w:eastAsia="Arial" w:hAnsi="Arial"/>
                <w:sz w:val="16"/>
                <w:szCs w:val="16"/>
                <w:color w:val="032E5C"/>
              </w:rPr>
              <w:t>WNBA Chicago Sky</w:t>
            </w:r>
          </w:p>
        </w:tc>
        <w:tc>
          <w:tcPr>
            <w:tcW w:w="7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960" w:type="dxa"/>
            <w:vAlign w:val="bottom"/>
            <w:vMerge w:val="continue"/>
          </w:tcPr>
          <w:p>
            <w:pPr>
              <w:spacing w:after="0"/>
              <w:rPr>
                <w:sz w:val="7"/>
                <w:szCs w:val="7"/>
                <w:color w:val="auto"/>
              </w:rPr>
            </w:pPr>
          </w:p>
        </w:tc>
        <w:tc>
          <w:tcPr>
            <w:tcW w:w="7900" w:type="dxa"/>
            <w:vAlign w:val="bottom"/>
            <w:vMerge w:val="restart"/>
          </w:tcPr>
          <w:p>
            <w:pPr>
              <w:ind w:left="200"/>
              <w:spacing w:after="0"/>
              <w:rPr>
                <w:sz w:val="20"/>
                <w:szCs w:val="20"/>
                <w:color w:val="auto"/>
              </w:rPr>
            </w:pPr>
            <w:r>
              <w:rPr>
                <w:rFonts w:ascii="Arial" w:cs="Arial" w:eastAsia="Arial" w:hAnsi="Arial"/>
                <w:sz w:val="16"/>
                <w:szCs w:val="16"/>
                <w:color w:val="032E5C"/>
              </w:rPr>
              <w:t>currently serves on the Stanford University Board of Trustees. Ms. Rawlinson received her BA from</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7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960" w:type="dxa"/>
            <w:vAlign w:val="bottom"/>
          </w:tcPr>
          <w:p>
            <w:pPr>
              <w:jc w:val="center"/>
              <w:ind w:right="153"/>
              <w:spacing w:after="0"/>
              <w:rPr>
                <w:sz w:val="20"/>
                <w:szCs w:val="20"/>
                <w:color w:val="auto"/>
              </w:rPr>
            </w:pPr>
            <w:r>
              <w:rPr>
                <w:rFonts w:ascii="Arial" w:cs="Arial" w:eastAsia="Arial" w:hAnsi="Arial"/>
                <w:sz w:val="16"/>
                <w:szCs w:val="16"/>
                <w:b w:val="1"/>
                <w:bCs w:val="1"/>
                <w:color w:val="032E5C"/>
              </w:rPr>
              <w:t>Independent</w:t>
            </w:r>
          </w:p>
        </w:tc>
        <w:tc>
          <w:tcPr>
            <w:tcW w:w="7900" w:type="dxa"/>
            <w:vAlign w:val="bottom"/>
          </w:tcPr>
          <w:p>
            <w:pPr>
              <w:ind w:left="200"/>
              <w:spacing w:after="0"/>
              <w:rPr>
                <w:sz w:val="20"/>
                <w:szCs w:val="20"/>
                <w:color w:val="auto"/>
              </w:rPr>
            </w:pPr>
            <w:r>
              <w:rPr>
                <w:rFonts w:ascii="Arial" w:cs="Arial" w:eastAsia="Arial" w:hAnsi="Arial"/>
                <w:sz w:val="16"/>
                <w:szCs w:val="16"/>
                <w:color w:val="032E5C"/>
              </w:rPr>
              <w:t>Stanford University and MBA from Harvard Business School.</w:t>
            </w:r>
          </w:p>
        </w:tc>
        <w:tc>
          <w:tcPr>
            <w:tcW w:w="0" w:type="dxa"/>
            <w:vAlign w:val="bottom"/>
          </w:tcPr>
          <w:p>
            <w:pPr>
              <w:spacing w:after="0"/>
              <w:rPr>
                <w:sz w:val="1"/>
                <w:szCs w:val="1"/>
                <w:color w:val="auto"/>
              </w:rPr>
            </w:pPr>
          </w:p>
        </w:tc>
      </w:tr>
      <w:tr>
        <w:trPr>
          <w:trHeight w:val="338"/>
        </w:trPr>
        <w:tc>
          <w:tcPr>
            <w:tcW w:w="2960" w:type="dxa"/>
            <w:vAlign w:val="bottom"/>
          </w:tcPr>
          <w:p>
            <w:pPr>
              <w:jc w:val="center"/>
              <w:ind w:right="133"/>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45</w:t>
            </w:r>
          </w:p>
        </w:tc>
        <w:tc>
          <w:tcPr>
            <w:tcW w:w="7900" w:type="dxa"/>
            <w:vAlign w:val="bottom"/>
          </w:tcPr>
          <w:p>
            <w:pPr>
              <w:ind w:left="200"/>
              <w:spacing w:after="0"/>
              <w:rPr>
                <w:sz w:val="20"/>
                <w:szCs w:val="20"/>
                <w:color w:val="auto"/>
              </w:rPr>
            </w:pPr>
            <w:r>
              <w:rPr>
                <w:rFonts w:ascii="Arial" w:cs="Arial" w:eastAsia="Arial" w:hAnsi="Arial"/>
                <w:sz w:val="16"/>
                <w:szCs w:val="16"/>
                <w:b w:val="1"/>
                <w:bCs w:val="1"/>
                <w:color w:val="032E5C"/>
              </w:rPr>
              <w:t>Key Skills and Qualifications:</w:t>
            </w:r>
          </w:p>
        </w:tc>
        <w:tc>
          <w:tcPr>
            <w:tcW w:w="0" w:type="dxa"/>
            <w:vAlign w:val="bottom"/>
          </w:tcPr>
          <w:p>
            <w:pPr>
              <w:spacing w:after="0"/>
              <w:rPr>
                <w:sz w:val="1"/>
                <w:szCs w:val="1"/>
                <w:color w:val="auto"/>
              </w:rPr>
            </w:pPr>
          </w:p>
        </w:tc>
      </w:tr>
      <w:tr>
        <w:trPr>
          <w:trHeight w:val="317"/>
        </w:trPr>
        <w:tc>
          <w:tcPr>
            <w:tcW w:w="2960" w:type="dxa"/>
            <w:vAlign w:val="bottom"/>
          </w:tcPr>
          <w:p>
            <w:pPr>
              <w:jc w:val="center"/>
              <w:ind w:right="133"/>
              <w:spacing w:after="0"/>
              <w:rPr>
                <w:sz w:val="20"/>
                <w:szCs w:val="20"/>
                <w:color w:val="auto"/>
              </w:rPr>
            </w:pPr>
            <w:r>
              <w:rPr>
                <w:rFonts w:ascii="Arial" w:cs="Arial" w:eastAsia="Arial" w:hAnsi="Arial"/>
                <w:sz w:val="16"/>
                <w:szCs w:val="16"/>
                <w:b w:val="1"/>
                <w:bCs w:val="1"/>
                <w:color w:val="032E5C"/>
              </w:rPr>
              <w:t>Director Since:</w:t>
            </w:r>
          </w:p>
        </w:tc>
        <w:tc>
          <w:tcPr>
            <w:tcW w:w="7900" w:type="dxa"/>
            <w:vAlign w:val="bottom"/>
          </w:tcPr>
          <w:p>
            <w:pPr>
              <w:jc w:val="right"/>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b w:val="1"/>
                <w:bCs w:val="1"/>
                <w:color w:val="032E5C"/>
              </w:rPr>
              <w:t>Leadership</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experience—former  Chief  People  Officer  of  leading  channel-based  messaging</w:t>
            </w:r>
          </w:p>
        </w:tc>
        <w:tc>
          <w:tcPr>
            <w:tcW w:w="0" w:type="dxa"/>
            <w:vAlign w:val="bottom"/>
          </w:tcPr>
          <w:p>
            <w:pPr>
              <w:spacing w:after="0"/>
              <w:rPr>
                <w:sz w:val="1"/>
                <w:szCs w:val="1"/>
                <w:color w:val="auto"/>
              </w:rPr>
            </w:pPr>
          </w:p>
        </w:tc>
      </w:tr>
      <w:tr>
        <w:trPr>
          <w:trHeight w:val="216"/>
        </w:trPr>
        <w:tc>
          <w:tcPr>
            <w:tcW w:w="2960" w:type="dxa"/>
            <w:vAlign w:val="bottom"/>
          </w:tcPr>
          <w:p>
            <w:pPr>
              <w:jc w:val="center"/>
              <w:ind w:right="133"/>
              <w:spacing w:after="0"/>
              <w:rPr>
                <w:sz w:val="20"/>
                <w:szCs w:val="20"/>
                <w:color w:val="auto"/>
              </w:rPr>
            </w:pPr>
            <w:r>
              <w:rPr>
                <w:rFonts w:ascii="Arial" w:cs="Arial" w:eastAsia="Arial" w:hAnsi="Arial"/>
                <w:sz w:val="16"/>
                <w:szCs w:val="16"/>
                <w:color w:val="032E5C"/>
              </w:rPr>
              <w:t>December 2019</w:t>
            </w:r>
          </w:p>
        </w:tc>
        <w:tc>
          <w:tcPr>
            <w:tcW w:w="7900" w:type="dxa"/>
            <w:vAlign w:val="bottom"/>
          </w:tcPr>
          <w:p>
            <w:pPr>
              <w:jc w:val="right"/>
              <w:spacing w:after="0"/>
              <w:rPr>
                <w:sz w:val="20"/>
                <w:szCs w:val="20"/>
                <w:color w:val="auto"/>
              </w:rPr>
            </w:pPr>
            <w:r>
              <w:rPr>
                <w:rFonts w:ascii="Arial" w:cs="Arial" w:eastAsia="Arial" w:hAnsi="Arial"/>
                <w:sz w:val="16"/>
                <w:szCs w:val="16"/>
                <w:color w:val="032E5C"/>
              </w:rPr>
              <w:t>platform (Slack); former Chief Human Resources Officer of a Fortune 500 live music entertainment</w:t>
            </w:r>
          </w:p>
        </w:tc>
        <w:tc>
          <w:tcPr>
            <w:tcW w:w="0" w:type="dxa"/>
            <w:vAlign w:val="bottom"/>
          </w:tcPr>
          <w:p>
            <w:pPr>
              <w:spacing w:after="0"/>
              <w:rPr>
                <w:sz w:val="1"/>
                <w:szCs w:val="1"/>
                <w:color w:val="auto"/>
              </w:rPr>
            </w:pPr>
          </w:p>
        </w:tc>
      </w:tr>
      <w:tr>
        <w:trPr>
          <w:trHeight w:val="203"/>
        </w:trPr>
        <w:tc>
          <w:tcPr>
            <w:tcW w:w="2960" w:type="dxa"/>
            <w:vAlign w:val="bottom"/>
            <w:vMerge w:val="restart"/>
          </w:tcPr>
          <w:p>
            <w:pPr>
              <w:jc w:val="center"/>
              <w:ind w:right="133"/>
              <w:spacing w:after="0"/>
              <w:rPr>
                <w:sz w:val="20"/>
                <w:szCs w:val="20"/>
                <w:color w:val="auto"/>
              </w:rPr>
            </w:pPr>
            <w:r>
              <w:rPr>
                <w:rFonts w:ascii="Arial" w:cs="Arial" w:eastAsia="Arial" w:hAnsi="Arial"/>
                <w:sz w:val="16"/>
                <w:szCs w:val="16"/>
                <w:b w:val="1"/>
                <w:bCs w:val="1"/>
                <w:color w:val="032E5C"/>
              </w:rPr>
              <w:t>Committees:</w:t>
            </w:r>
          </w:p>
        </w:tc>
        <w:tc>
          <w:tcPr>
            <w:tcW w:w="7900" w:type="dxa"/>
            <w:vAlign w:val="bottom"/>
          </w:tcPr>
          <w:p>
            <w:pPr>
              <w:jc w:val="right"/>
              <w:spacing w:after="0"/>
              <w:rPr>
                <w:sz w:val="20"/>
                <w:szCs w:val="20"/>
                <w:color w:val="auto"/>
              </w:rPr>
            </w:pPr>
            <w:r>
              <w:rPr>
                <w:rFonts w:ascii="Arial" w:cs="Arial" w:eastAsia="Arial" w:hAnsi="Arial"/>
                <w:sz w:val="16"/>
                <w:szCs w:val="16"/>
                <w:color w:val="032E5C"/>
              </w:rPr>
              <w:t>company (Live Nation); former Chief Human Resources Officer of a large international Internet</w:t>
            </w:r>
          </w:p>
        </w:tc>
        <w:tc>
          <w:tcPr>
            <w:tcW w:w="0" w:type="dxa"/>
            <w:vAlign w:val="bottom"/>
          </w:tcPr>
          <w:p>
            <w:pPr>
              <w:spacing w:after="0"/>
              <w:rPr>
                <w:sz w:val="1"/>
                <w:szCs w:val="1"/>
                <w:color w:val="auto"/>
              </w:rPr>
            </w:pPr>
          </w:p>
        </w:tc>
      </w:tr>
      <w:tr>
        <w:trPr>
          <w:trHeight w:val="178"/>
        </w:trPr>
        <w:tc>
          <w:tcPr>
            <w:tcW w:w="2960" w:type="dxa"/>
            <w:vAlign w:val="bottom"/>
            <w:vMerge w:val="continue"/>
          </w:tcPr>
          <w:p>
            <w:pPr>
              <w:spacing w:after="0"/>
              <w:rPr>
                <w:sz w:val="15"/>
                <w:szCs w:val="15"/>
                <w:color w:val="auto"/>
              </w:rPr>
            </w:pPr>
          </w:p>
        </w:tc>
        <w:tc>
          <w:tcPr>
            <w:tcW w:w="7900" w:type="dxa"/>
            <w:vAlign w:val="bottom"/>
          </w:tcPr>
          <w:p>
            <w:pPr>
              <w:jc w:val="right"/>
              <w:spacing w:after="0" w:line="178" w:lineRule="exact"/>
              <w:rPr>
                <w:sz w:val="20"/>
                <w:szCs w:val="20"/>
                <w:color w:val="auto"/>
              </w:rPr>
            </w:pPr>
            <w:r>
              <w:rPr>
                <w:rFonts w:ascii="Arial" w:cs="Arial" w:eastAsia="Arial" w:hAnsi="Arial"/>
                <w:sz w:val="16"/>
                <w:szCs w:val="16"/>
                <w:color w:val="032E5C"/>
              </w:rPr>
              <w:t>services company (Rakuten Americas); leadership positions at various technology and financial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Pr>
          <w:p>
            <w:pPr>
              <w:spacing w:after="0"/>
              <w:rPr>
                <w:sz w:val="17"/>
                <w:szCs w:val="17"/>
                <w:color w:val="auto"/>
              </w:rPr>
            </w:pPr>
          </w:p>
        </w:tc>
        <w:tc>
          <w:tcPr>
            <w:tcW w:w="2480" w:type="dxa"/>
            <w:vAlign w:val="bottom"/>
          </w:tcPr>
          <w:p>
            <w:pPr>
              <w:ind w:left="320"/>
              <w:spacing w:after="0"/>
              <w:rPr>
                <w:sz w:val="20"/>
                <w:szCs w:val="20"/>
                <w:color w:val="auto"/>
              </w:rPr>
            </w:pPr>
            <w:r>
              <w:rPr>
                <w:rFonts w:ascii="Arial" w:cs="Arial" w:eastAsia="Arial" w:hAnsi="Arial"/>
                <w:sz w:val="16"/>
                <w:szCs w:val="16"/>
                <w:color w:val="032E5C"/>
              </w:rPr>
              <w:t>Compensation (Chair)</w:t>
            </w:r>
          </w:p>
        </w:tc>
        <w:tc>
          <w:tcPr>
            <w:tcW w:w="8240" w:type="dxa"/>
            <w:vAlign w:val="bottom"/>
            <w:vMerge w:val="restart"/>
          </w:tcPr>
          <w:p>
            <w:pPr>
              <w:ind w:left="920"/>
              <w:spacing w:after="0"/>
              <w:rPr>
                <w:sz w:val="20"/>
                <w:szCs w:val="20"/>
                <w:color w:val="auto"/>
              </w:rPr>
            </w:pPr>
            <w:r>
              <w:rPr>
                <w:rFonts w:ascii="Arial" w:cs="Arial" w:eastAsia="Arial" w:hAnsi="Arial"/>
                <w:sz w:val="16"/>
                <w:szCs w:val="16"/>
                <w:color w:val="032E5C"/>
              </w:rPr>
              <w:t>services companies (Groupon, American Express)</w:t>
            </w:r>
          </w:p>
        </w:tc>
        <w:tc>
          <w:tcPr>
            <w:tcW w:w="0" w:type="dxa"/>
            <w:vAlign w:val="bottom"/>
          </w:tcPr>
          <w:p>
            <w:pPr>
              <w:spacing w:after="0"/>
              <w:rPr>
                <w:sz w:val="1"/>
                <w:szCs w:val="1"/>
                <w:color w:val="auto"/>
              </w:rPr>
            </w:pPr>
          </w:p>
        </w:tc>
      </w:tr>
      <w:tr>
        <w:trPr>
          <w:trHeight w:val="52"/>
        </w:trPr>
        <w:tc>
          <w:tcPr>
            <w:tcW w:w="5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8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9"/>
        </w:trPr>
        <w:tc>
          <w:tcPr>
            <w:tcW w:w="5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240" w:type="dxa"/>
            <w:vAlign w:val="bottom"/>
          </w:tcPr>
          <w:p>
            <w:pPr>
              <w:ind w:left="600"/>
              <w:spacing w:after="0"/>
              <w:rPr>
                <w:sz w:val="20"/>
                <w:szCs w:val="20"/>
                <w:color w:val="auto"/>
              </w:rPr>
            </w:pPr>
            <w:r>
              <w:rPr>
                <w:rFonts w:ascii="Wingdings" w:cs="Wingdings" w:eastAsia="Wingdings" w:hAnsi="Wingdings"/>
                <w:sz w:val="16"/>
                <w:szCs w:val="16"/>
                <w:b w:val="1"/>
                <w:bCs w:val="1"/>
                <w:color w:val="auto"/>
                <w:w w:val="95"/>
                <w:shd w:val="clear" w:color="auto" w:fill="3E5C7C"/>
              </w:rPr>
              <w:t xml:space="preserve">à  </w:t>
            </w:r>
            <w:r>
              <w:rPr>
                <w:rFonts w:ascii="Arial" w:cs="Arial" w:eastAsia="Arial" w:hAnsi="Arial"/>
                <w:sz w:val="16"/>
                <w:szCs w:val="16"/>
                <w:b w:val="1"/>
                <w:bCs w:val="1"/>
                <w:color w:val="032E5C"/>
                <w:w w:val="95"/>
              </w:rPr>
              <w:t>Industry</w:t>
            </w:r>
            <w:r>
              <w:rPr>
                <w:rFonts w:ascii="Wingdings" w:cs="Wingdings" w:eastAsia="Wingdings" w:hAnsi="Wingdings"/>
                <w:sz w:val="16"/>
                <w:szCs w:val="16"/>
                <w:b w:val="1"/>
                <w:bCs w:val="1"/>
                <w:color w:val="auto"/>
                <w:w w:val="95"/>
                <w:shd w:val="clear" w:color="auto" w:fill="3E5C7C"/>
              </w:rPr>
              <w:t xml:space="preserve"> </w:t>
            </w:r>
            <w:r>
              <w:rPr>
                <w:rFonts w:ascii="Arial" w:cs="Arial" w:eastAsia="Arial" w:hAnsi="Arial"/>
                <w:sz w:val="16"/>
                <w:szCs w:val="16"/>
                <w:color w:val="032E5C"/>
                <w:w w:val="95"/>
              </w:rPr>
              <w:t>and</w:t>
            </w:r>
            <w:r>
              <w:rPr>
                <w:rFonts w:ascii="Wingdings" w:cs="Wingdings" w:eastAsia="Wingdings" w:hAnsi="Wingdings"/>
                <w:sz w:val="16"/>
                <w:szCs w:val="16"/>
                <w:b w:val="1"/>
                <w:bCs w:val="1"/>
                <w:color w:val="auto"/>
                <w:w w:val="95"/>
                <w:shd w:val="clear" w:color="auto" w:fill="3E5C7C"/>
              </w:rPr>
              <w:t xml:space="preserve"> </w:t>
            </w:r>
            <w:r>
              <w:rPr>
                <w:rFonts w:ascii="Arial" w:cs="Arial" w:eastAsia="Arial" w:hAnsi="Arial"/>
                <w:sz w:val="16"/>
                <w:szCs w:val="16"/>
                <w:b w:val="1"/>
                <w:bCs w:val="1"/>
                <w:color w:val="032E5C"/>
                <w:w w:val="95"/>
              </w:rPr>
              <w:t>Technology</w:t>
            </w:r>
            <w:r>
              <w:rPr>
                <w:rFonts w:ascii="Wingdings" w:cs="Wingdings" w:eastAsia="Wingdings" w:hAnsi="Wingdings"/>
                <w:sz w:val="16"/>
                <w:szCs w:val="16"/>
                <w:b w:val="1"/>
                <w:bCs w:val="1"/>
                <w:color w:val="auto"/>
                <w:w w:val="95"/>
                <w:shd w:val="clear" w:color="auto" w:fill="3E5C7C"/>
              </w:rPr>
              <w:t xml:space="preserve"> </w:t>
            </w:r>
            <w:r>
              <w:rPr>
                <w:rFonts w:ascii="Arial" w:cs="Arial" w:eastAsia="Arial" w:hAnsi="Arial"/>
                <w:sz w:val="16"/>
                <w:szCs w:val="16"/>
                <w:color w:val="032E5C"/>
                <w:w w:val="95"/>
              </w:rPr>
              <w:t>experience—former Chief Human Resources Officer of large international</w:t>
            </w: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240" w:type="dxa"/>
            <w:vAlign w:val="bottom"/>
          </w:tcPr>
          <w:p>
            <w:pPr>
              <w:ind w:left="920"/>
              <w:spacing w:after="0"/>
              <w:rPr>
                <w:sz w:val="20"/>
                <w:szCs w:val="20"/>
                <w:color w:val="auto"/>
              </w:rPr>
            </w:pPr>
            <w:r>
              <w:rPr>
                <w:rFonts w:ascii="Arial" w:cs="Arial" w:eastAsia="Arial" w:hAnsi="Arial"/>
                <w:sz w:val="16"/>
                <w:szCs w:val="16"/>
                <w:color w:val="032E5C"/>
              </w:rPr>
              <w:t>e-commerce and software as a service (SaaS) technology companies (Rakuten Americas, Slack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240" w:type="dxa"/>
            <w:vAlign w:val="bottom"/>
          </w:tcPr>
          <w:p>
            <w:pPr>
              <w:ind w:left="920"/>
              <w:spacing w:after="0"/>
              <w:rPr>
                <w:sz w:val="20"/>
                <w:szCs w:val="20"/>
                <w:color w:val="auto"/>
              </w:rPr>
            </w:pPr>
            <w:r>
              <w:rPr>
                <w:rFonts w:ascii="Arial" w:cs="Arial" w:eastAsia="Arial" w:hAnsi="Arial"/>
                <w:sz w:val="16"/>
                <w:szCs w:val="16"/>
                <w:color w:val="032E5C"/>
              </w:rPr>
              <w:t>Technologies)</w:t>
            </w:r>
          </w:p>
        </w:tc>
        <w:tc>
          <w:tcPr>
            <w:tcW w:w="0" w:type="dxa"/>
            <w:vAlign w:val="bottom"/>
          </w:tcPr>
          <w:p>
            <w:pPr>
              <w:spacing w:after="0"/>
              <w:rPr>
                <w:sz w:val="1"/>
                <w:szCs w:val="1"/>
                <w:color w:val="auto"/>
              </w:rPr>
            </w:pPr>
          </w:p>
        </w:tc>
      </w:tr>
      <w:tr>
        <w:trPr>
          <w:trHeight w:val="345"/>
        </w:trPr>
        <w:tc>
          <w:tcPr>
            <w:tcW w:w="5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240" w:type="dxa"/>
            <w:vAlign w:val="bottom"/>
          </w:tcPr>
          <w:p>
            <w:pPr>
              <w:ind w:left="600"/>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b w:val="1"/>
                <w:bCs w:val="1"/>
                <w:color w:val="032E5C"/>
              </w:rPr>
              <w:t>Finance</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experience—current Venture Adviser at GV</w:t>
            </w:r>
          </w:p>
        </w:tc>
        <w:tc>
          <w:tcPr>
            <w:tcW w:w="0" w:type="dxa"/>
            <w:vAlign w:val="bottom"/>
          </w:tcPr>
          <w:p>
            <w:pPr>
              <w:spacing w:after="0"/>
              <w:rPr>
                <w:sz w:val="1"/>
                <w:szCs w:val="1"/>
                <w:color w:val="auto"/>
              </w:rPr>
            </w:pPr>
          </w:p>
        </w:tc>
      </w:tr>
      <w:tr>
        <w:trPr>
          <w:trHeight w:val="217"/>
        </w:trPr>
        <w:tc>
          <w:tcPr>
            <w:tcW w:w="520" w:type="dxa"/>
            <w:vAlign w:val="bottom"/>
            <w:tcBorders>
              <w:bottom w:val="single" w:sz="8" w:color="3E5C7C"/>
            </w:tcBorders>
          </w:tcPr>
          <w:p>
            <w:pPr>
              <w:spacing w:after="0"/>
              <w:rPr>
                <w:sz w:val="18"/>
                <w:szCs w:val="18"/>
                <w:color w:val="auto"/>
              </w:rPr>
            </w:pPr>
          </w:p>
        </w:tc>
        <w:tc>
          <w:tcPr>
            <w:tcW w:w="2480" w:type="dxa"/>
            <w:vAlign w:val="bottom"/>
            <w:tcBorders>
              <w:bottom w:val="single" w:sz="8" w:color="3E5C7C"/>
            </w:tcBorders>
          </w:tcPr>
          <w:p>
            <w:pPr>
              <w:spacing w:after="0"/>
              <w:rPr>
                <w:sz w:val="18"/>
                <w:szCs w:val="18"/>
                <w:color w:val="auto"/>
              </w:rPr>
            </w:pPr>
          </w:p>
        </w:tc>
        <w:tc>
          <w:tcPr>
            <w:tcW w:w="8240" w:type="dxa"/>
            <w:vAlign w:val="bottom"/>
            <w:tcBorders>
              <w:bottom w:val="single" w:sz="8" w:color="3E5C7C"/>
            </w:tcBorders>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520" w:type="dxa"/>
            <w:vAlign w:val="bottom"/>
          </w:tcPr>
          <w:p>
            <w:pPr>
              <w:jc w:val="right"/>
              <w:ind w:right="239"/>
              <w:spacing w:after="0"/>
              <w:rPr>
                <w:sz w:val="20"/>
                <w:szCs w:val="20"/>
                <w:color w:val="auto"/>
              </w:rPr>
            </w:pPr>
            <w:r>
              <w:rPr>
                <w:rFonts w:ascii="Arial" w:cs="Arial" w:eastAsia="Arial" w:hAnsi="Arial"/>
                <w:sz w:val="16"/>
                <w:szCs w:val="16"/>
                <w:b w:val="1"/>
                <w:bCs w:val="1"/>
                <w:color w:val="032E5C"/>
              </w:rPr>
              <w:t>18</w:t>
            </w:r>
          </w:p>
        </w:tc>
        <w:tc>
          <w:tcPr>
            <w:tcW w:w="2480" w:type="dxa"/>
            <w:vAlign w:val="bottom"/>
          </w:tcPr>
          <w:p>
            <w:pPr>
              <w:spacing w:after="0"/>
              <w:rPr>
                <w:sz w:val="24"/>
                <w:szCs w:val="24"/>
                <w:color w:val="auto"/>
              </w:rPr>
            </w:pPr>
          </w:p>
        </w:tc>
        <w:tc>
          <w:tcPr>
            <w:tcW w:w="8240" w:type="dxa"/>
            <w:vAlign w:val="bottom"/>
            <w:vMerge w:val="restart"/>
          </w:tcPr>
          <w:p>
            <w:pPr>
              <w:ind w:left="18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5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8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5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-445135</wp:posOffset>
            </wp:positionV>
            <wp:extent cx="92583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190"/>
        </w:trPr>
        <w:tc>
          <w:tcPr>
            <w:tcW w:w="5700" w:type="dxa"/>
            <w:vAlign w:val="bottom"/>
          </w:tcPr>
          <w:p>
            <w:pPr>
              <w:spacing w:after="0"/>
              <w:rPr>
                <w:sz w:val="20"/>
                <w:szCs w:val="20"/>
                <w:color w:val="auto"/>
              </w:rPr>
            </w:pPr>
            <w:r>
              <w:rPr>
                <w:rFonts w:ascii="Arial" w:cs="Arial" w:eastAsia="Arial" w:hAnsi="Arial"/>
                <w:sz w:val="14"/>
                <w:szCs w:val="14"/>
                <w:color w:val="032E5C"/>
              </w:rPr>
              <w:t>Table of Contents</w:t>
            </w:r>
          </w:p>
        </w:tc>
        <w:tc>
          <w:tcPr>
            <w:tcW w:w="538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5"/>
              </w:rPr>
              <w:t>PROPOSAL 1</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6637655</wp:posOffset>
            </wp:positionH>
            <wp:positionV relativeFrom="page">
              <wp:posOffset>106045</wp:posOffset>
            </wp:positionV>
            <wp:extent cx="702945"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294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205740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240" w:type="dxa"/>
            <w:vAlign w:val="bottom"/>
            <w:tcBorders>
              <w:top w:val="single" w:sz="8" w:color="98BDE2"/>
            </w:tcBorders>
            <w:shd w:val="clear" w:color="auto" w:fill="F3EFE9"/>
          </w:tcPr>
          <w:p>
            <w:pPr>
              <w:spacing w:after="0"/>
              <w:rPr>
                <w:sz w:val="24"/>
                <w:szCs w:val="24"/>
                <w:color w:val="auto"/>
              </w:rPr>
            </w:pPr>
          </w:p>
        </w:tc>
        <w:tc>
          <w:tcPr>
            <w:tcW w:w="8000" w:type="dxa"/>
            <w:vAlign w:val="bottom"/>
            <w:tcBorders>
              <w:top w:val="single" w:sz="8" w:color="98BDE2"/>
            </w:tcBorders>
          </w:tcPr>
          <w:p>
            <w:pPr>
              <w:ind w:left="180"/>
              <w:spacing w:after="0"/>
              <w:rPr>
                <w:sz w:val="20"/>
                <w:szCs w:val="20"/>
                <w:color w:val="auto"/>
              </w:rPr>
            </w:pPr>
            <w:r>
              <w:rPr>
                <w:rFonts w:ascii="Arial" w:cs="Arial" w:eastAsia="Arial" w:hAnsi="Arial"/>
                <w:sz w:val="16"/>
                <w:szCs w:val="16"/>
                <w:b w:val="1"/>
                <w:bCs w:val="1"/>
                <w:color w:val="032E5C"/>
              </w:rPr>
              <w:t>Business Experience, Other Directorships and Qualifications</w:t>
            </w:r>
          </w:p>
        </w:tc>
        <w:tc>
          <w:tcPr>
            <w:tcW w:w="0" w:type="dxa"/>
            <w:vAlign w:val="bottom"/>
          </w:tcPr>
          <w:p>
            <w:pPr>
              <w:spacing w:after="0"/>
              <w:rPr>
                <w:sz w:val="1"/>
                <w:szCs w:val="1"/>
                <w:color w:val="auto"/>
              </w:rPr>
            </w:pPr>
          </w:p>
        </w:tc>
      </w:tr>
      <w:tr>
        <w:trPr>
          <w:trHeight w:val="317"/>
        </w:trPr>
        <w:tc>
          <w:tcPr>
            <w:tcW w:w="3240" w:type="dxa"/>
            <w:vAlign w:val="bottom"/>
            <w:shd w:val="clear" w:color="auto" w:fill="F3EFE9"/>
          </w:tcPr>
          <w:p>
            <w:pPr>
              <w:spacing w:after="0"/>
              <w:rPr>
                <w:sz w:val="24"/>
                <w:szCs w:val="24"/>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Mr. Redmond served as the CEO of Allegiant Travel Company from June 2022 to September 2023, and</w:t>
            </w:r>
          </w:p>
        </w:tc>
        <w:tc>
          <w:tcPr>
            <w:tcW w:w="0" w:type="dxa"/>
            <w:vAlign w:val="bottom"/>
          </w:tcPr>
          <w:p>
            <w:pPr>
              <w:spacing w:after="0"/>
              <w:rPr>
                <w:sz w:val="1"/>
                <w:szCs w:val="1"/>
                <w:color w:val="auto"/>
              </w:rPr>
            </w:pPr>
          </w:p>
        </w:tc>
      </w:tr>
      <w:tr>
        <w:trPr>
          <w:trHeight w:val="215"/>
        </w:trPr>
        <w:tc>
          <w:tcPr>
            <w:tcW w:w="3240" w:type="dxa"/>
            <w:vAlign w:val="bottom"/>
            <w:shd w:val="clear" w:color="auto" w:fill="F3EFE9"/>
          </w:tcPr>
          <w:p>
            <w:pPr>
              <w:spacing w:after="0"/>
              <w:rPr>
                <w:sz w:val="18"/>
                <w:szCs w:val="18"/>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also served as a director of Allegiant. Before Mr. Redmond’s time as CEO, Mr. Redmond was the President</w:t>
            </w:r>
          </w:p>
        </w:tc>
        <w:tc>
          <w:tcPr>
            <w:tcW w:w="0" w:type="dxa"/>
            <w:vAlign w:val="bottom"/>
          </w:tcPr>
          <w:p>
            <w:pPr>
              <w:spacing w:after="0"/>
              <w:rPr>
                <w:sz w:val="1"/>
                <w:szCs w:val="1"/>
                <w:color w:val="auto"/>
              </w:rPr>
            </w:pPr>
          </w:p>
        </w:tc>
      </w:tr>
      <w:tr>
        <w:trPr>
          <w:trHeight w:val="216"/>
        </w:trPr>
        <w:tc>
          <w:tcPr>
            <w:tcW w:w="3240" w:type="dxa"/>
            <w:vAlign w:val="bottom"/>
            <w:shd w:val="clear" w:color="auto" w:fill="F3EFE9"/>
          </w:tcPr>
          <w:p>
            <w:pPr>
              <w:spacing w:after="0"/>
              <w:rPr>
                <w:sz w:val="18"/>
                <w:szCs w:val="18"/>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of Allegiant Travel Company from September 2016 to June 2022. Prior to joining Allegiant, Mr. Redmond</w:t>
            </w:r>
          </w:p>
        </w:tc>
        <w:tc>
          <w:tcPr>
            <w:tcW w:w="0" w:type="dxa"/>
            <w:vAlign w:val="bottom"/>
          </w:tcPr>
          <w:p>
            <w:pPr>
              <w:spacing w:after="0"/>
              <w:rPr>
                <w:sz w:val="1"/>
                <w:szCs w:val="1"/>
                <w:color w:val="auto"/>
              </w:rPr>
            </w:pPr>
          </w:p>
        </w:tc>
      </w:tr>
      <w:tr>
        <w:trPr>
          <w:trHeight w:val="204"/>
        </w:trPr>
        <w:tc>
          <w:tcPr>
            <w:tcW w:w="3240" w:type="dxa"/>
            <w:vAlign w:val="bottom"/>
            <w:shd w:val="clear" w:color="auto" w:fill="F3EFE9"/>
          </w:tcPr>
          <w:p>
            <w:pPr>
              <w:spacing w:after="0"/>
              <w:rPr>
                <w:sz w:val="17"/>
                <w:szCs w:val="17"/>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was the Managing Director and Chief Executive Officer of Echo Entertainment Group Limited, a leading</w:t>
            </w:r>
          </w:p>
        </w:tc>
        <w:tc>
          <w:tcPr>
            <w:tcW w:w="0" w:type="dxa"/>
            <w:vAlign w:val="bottom"/>
          </w:tcPr>
          <w:p>
            <w:pPr>
              <w:spacing w:after="0"/>
              <w:rPr>
                <w:sz w:val="1"/>
                <w:szCs w:val="1"/>
                <w:color w:val="auto"/>
              </w:rPr>
            </w:pPr>
          </w:p>
        </w:tc>
      </w:tr>
      <w:tr>
        <w:trPr>
          <w:trHeight w:val="215"/>
        </w:trPr>
        <w:tc>
          <w:tcPr>
            <w:tcW w:w="3240" w:type="dxa"/>
            <w:vAlign w:val="bottom"/>
            <w:shd w:val="clear" w:color="auto" w:fill="F3EFE9"/>
          </w:tcPr>
          <w:p>
            <w:pPr>
              <w:spacing w:after="0"/>
              <w:rPr>
                <w:sz w:val="18"/>
                <w:szCs w:val="18"/>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Australian entertainment and gaming company, from January 2013 to April 2014, and previously served as</w:t>
            </w:r>
          </w:p>
        </w:tc>
        <w:tc>
          <w:tcPr>
            <w:tcW w:w="0" w:type="dxa"/>
            <w:vAlign w:val="bottom"/>
          </w:tcPr>
          <w:p>
            <w:pPr>
              <w:spacing w:after="0"/>
              <w:rPr>
                <w:sz w:val="1"/>
                <w:szCs w:val="1"/>
                <w:color w:val="auto"/>
              </w:rPr>
            </w:pPr>
          </w:p>
        </w:tc>
      </w:tr>
      <w:tr>
        <w:trPr>
          <w:trHeight w:val="204"/>
        </w:trPr>
        <w:tc>
          <w:tcPr>
            <w:tcW w:w="3240" w:type="dxa"/>
            <w:vAlign w:val="bottom"/>
            <w:shd w:val="clear" w:color="auto" w:fill="F3EFE9"/>
          </w:tcPr>
          <w:p>
            <w:pPr>
              <w:spacing w:after="0"/>
              <w:rPr>
                <w:sz w:val="17"/>
                <w:szCs w:val="17"/>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a non-executive director from March 2012 to January 2013. Mr. Redmond was President and Chief</w:t>
            </w:r>
          </w:p>
        </w:tc>
        <w:tc>
          <w:tcPr>
            <w:tcW w:w="0" w:type="dxa"/>
            <w:vAlign w:val="bottom"/>
          </w:tcPr>
          <w:p>
            <w:pPr>
              <w:spacing w:after="0"/>
              <w:rPr>
                <w:sz w:val="1"/>
                <w:szCs w:val="1"/>
                <w:color w:val="auto"/>
              </w:rPr>
            </w:pPr>
          </w:p>
        </w:tc>
      </w:tr>
      <w:tr>
        <w:trPr>
          <w:trHeight w:val="215"/>
        </w:trPr>
        <w:tc>
          <w:tcPr>
            <w:tcW w:w="3240" w:type="dxa"/>
            <w:vAlign w:val="bottom"/>
            <w:shd w:val="clear" w:color="auto" w:fill="F3EFE9"/>
          </w:tcPr>
          <w:p>
            <w:pPr>
              <w:spacing w:after="0"/>
              <w:rPr>
                <w:sz w:val="18"/>
                <w:szCs w:val="18"/>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Executive Officer of MGM Grand Resorts, LLC, a collection of resort-casino, residential living, and retail</w:t>
            </w:r>
          </w:p>
        </w:tc>
        <w:tc>
          <w:tcPr>
            <w:tcW w:w="0" w:type="dxa"/>
            <w:vAlign w:val="bottom"/>
          </w:tcPr>
          <w:p>
            <w:pPr>
              <w:spacing w:after="0"/>
              <w:rPr>
                <w:sz w:val="1"/>
                <w:szCs w:val="1"/>
                <w:color w:val="auto"/>
              </w:rPr>
            </w:pPr>
          </w:p>
        </w:tc>
      </w:tr>
      <w:tr>
        <w:trPr>
          <w:trHeight w:val="216"/>
        </w:trPr>
        <w:tc>
          <w:tcPr>
            <w:tcW w:w="3240" w:type="dxa"/>
            <w:vAlign w:val="bottom"/>
            <w:shd w:val="clear" w:color="auto" w:fill="F3EFE9"/>
          </w:tcPr>
          <w:p>
            <w:pPr>
              <w:spacing w:after="0"/>
              <w:rPr>
                <w:sz w:val="18"/>
                <w:szCs w:val="18"/>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developments, and a director of its parent company, MGM Resorts International, from March 2001 to</w:t>
            </w:r>
          </w:p>
        </w:tc>
        <w:tc>
          <w:tcPr>
            <w:tcW w:w="0" w:type="dxa"/>
            <w:vAlign w:val="bottom"/>
          </w:tcPr>
          <w:p>
            <w:pPr>
              <w:spacing w:after="0"/>
              <w:rPr>
                <w:sz w:val="1"/>
                <w:szCs w:val="1"/>
                <w:color w:val="auto"/>
              </w:rPr>
            </w:pPr>
          </w:p>
        </w:tc>
      </w:tr>
      <w:tr>
        <w:trPr>
          <w:trHeight w:val="204"/>
        </w:trPr>
        <w:tc>
          <w:tcPr>
            <w:tcW w:w="3240" w:type="dxa"/>
            <w:vAlign w:val="bottom"/>
            <w:shd w:val="clear" w:color="auto" w:fill="F3EFE9"/>
          </w:tcPr>
          <w:p>
            <w:pPr>
              <w:spacing w:after="0"/>
              <w:rPr>
                <w:sz w:val="17"/>
                <w:szCs w:val="17"/>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August 2007. He served as Co-Chief Executive Officer and a director of MGM Grand, Inc. from December</w:t>
            </w:r>
          </w:p>
        </w:tc>
        <w:tc>
          <w:tcPr>
            <w:tcW w:w="0" w:type="dxa"/>
            <w:vAlign w:val="bottom"/>
          </w:tcPr>
          <w:p>
            <w:pPr>
              <w:spacing w:after="0"/>
              <w:rPr>
                <w:sz w:val="1"/>
                <w:szCs w:val="1"/>
                <w:color w:val="auto"/>
              </w:rPr>
            </w:pPr>
          </w:p>
        </w:tc>
      </w:tr>
      <w:tr>
        <w:trPr>
          <w:trHeight w:val="215"/>
        </w:trPr>
        <w:tc>
          <w:tcPr>
            <w:tcW w:w="3240" w:type="dxa"/>
            <w:vAlign w:val="bottom"/>
            <w:shd w:val="clear" w:color="auto" w:fill="F3EFE9"/>
          </w:tcPr>
          <w:p>
            <w:pPr>
              <w:spacing w:after="0"/>
              <w:rPr>
                <w:sz w:val="18"/>
                <w:szCs w:val="18"/>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1999 to March 2001. Mr. Redmond was President and Chief Operating Officer of Primm Valley Resorts</w:t>
            </w:r>
          </w:p>
        </w:tc>
        <w:tc>
          <w:tcPr>
            <w:tcW w:w="0" w:type="dxa"/>
            <w:vAlign w:val="bottom"/>
          </w:tcPr>
          <w:p>
            <w:pPr>
              <w:spacing w:after="0"/>
              <w:rPr>
                <w:sz w:val="1"/>
                <w:szCs w:val="1"/>
                <w:color w:val="auto"/>
              </w:rPr>
            </w:pPr>
          </w:p>
        </w:tc>
      </w:tr>
      <w:tr>
        <w:trPr>
          <w:trHeight w:val="204"/>
        </w:trPr>
        <w:tc>
          <w:tcPr>
            <w:tcW w:w="3240" w:type="dxa"/>
            <w:vAlign w:val="bottom"/>
            <w:vMerge w:val="restart"/>
            <w:shd w:val="clear" w:color="auto" w:fill="F3EFE9"/>
          </w:tcPr>
          <w:p>
            <w:pPr>
              <w:jc w:val="center"/>
              <w:spacing w:after="0"/>
              <w:rPr>
                <w:sz w:val="20"/>
                <w:szCs w:val="20"/>
                <w:color w:val="auto"/>
              </w:rPr>
            </w:pPr>
            <w:r>
              <w:rPr>
                <w:rFonts w:ascii="Arial" w:cs="Arial" w:eastAsia="Arial" w:hAnsi="Arial"/>
                <w:sz w:val="25"/>
                <w:szCs w:val="25"/>
                <w:b w:val="1"/>
                <w:bCs w:val="1"/>
                <w:color w:val="032E5C"/>
              </w:rPr>
              <w:t>JOHN REDMOND</w:t>
            </w:r>
          </w:p>
        </w:tc>
        <w:tc>
          <w:tcPr>
            <w:tcW w:w="8000" w:type="dxa"/>
            <w:vAlign w:val="bottom"/>
          </w:tcPr>
          <w:p>
            <w:pPr>
              <w:ind w:left="180"/>
              <w:spacing w:after="0"/>
              <w:rPr>
                <w:sz w:val="20"/>
                <w:szCs w:val="20"/>
                <w:color w:val="auto"/>
              </w:rPr>
            </w:pPr>
            <w:r>
              <w:rPr>
                <w:rFonts w:ascii="Arial" w:cs="Arial" w:eastAsia="Arial" w:hAnsi="Arial"/>
                <w:sz w:val="16"/>
                <w:szCs w:val="16"/>
                <w:color w:val="032E5C"/>
              </w:rPr>
              <w:t>from March 1999 to December 1999 and Senior Vice President of MGM Grand Development, Inc. from</w:t>
            </w:r>
          </w:p>
        </w:tc>
        <w:tc>
          <w:tcPr>
            <w:tcW w:w="0" w:type="dxa"/>
            <w:vAlign w:val="bottom"/>
          </w:tcPr>
          <w:p>
            <w:pPr>
              <w:spacing w:after="0"/>
              <w:rPr>
                <w:sz w:val="1"/>
                <w:szCs w:val="1"/>
                <w:color w:val="auto"/>
              </w:rPr>
            </w:pPr>
          </w:p>
        </w:tc>
      </w:tr>
      <w:tr>
        <w:trPr>
          <w:trHeight w:val="215"/>
        </w:trPr>
        <w:tc>
          <w:tcPr>
            <w:tcW w:w="3240" w:type="dxa"/>
            <w:vAlign w:val="bottom"/>
            <w:vMerge w:val="continue"/>
            <w:shd w:val="clear" w:color="auto" w:fill="F3EFE9"/>
          </w:tcPr>
          <w:p>
            <w:pPr>
              <w:spacing w:after="0"/>
              <w:rPr>
                <w:sz w:val="18"/>
                <w:szCs w:val="18"/>
                <w:color w:val="auto"/>
              </w:rPr>
            </w:pPr>
          </w:p>
        </w:tc>
        <w:tc>
          <w:tcPr>
            <w:tcW w:w="8000" w:type="dxa"/>
            <w:vAlign w:val="bottom"/>
          </w:tcPr>
          <w:p>
            <w:pPr>
              <w:ind w:left="180"/>
              <w:spacing w:after="0"/>
              <w:rPr>
                <w:sz w:val="20"/>
                <w:szCs w:val="20"/>
                <w:color w:val="auto"/>
              </w:rPr>
            </w:pPr>
            <w:r>
              <w:rPr>
                <w:rFonts w:ascii="Arial" w:cs="Arial" w:eastAsia="Arial" w:hAnsi="Arial"/>
                <w:sz w:val="16"/>
                <w:szCs w:val="16"/>
                <w:color w:val="032E5C"/>
              </w:rPr>
              <w:t>August 1996 to February 1999. Prior to 1996, Mr. Redmond was Senior Vice President and Chief Financial</w:t>
            </w:r>
          </w:p>
        </w:tc>
        <w:tc>
          <w:tcPr>
            <w:tcW w:w="0" w:type="dxa"/>
            <w:vAlign w:val="bottom"/>
          </w:tcPr>
          <w:p>
            <w:pPr>
              <w:spacing w:after="0"/>
              <w:rPr>
                <w:sz w:val="1"/>
                <w:szCs w:val="1"/>
                <w:color w:val="auto"/>
              </w:rPr>
            </w:pPr>
          </w:p>
        </w:tc>
      </w:tr>
      <w:tr>
        <w:trPr>
          <w:trHeight w:val="204"/>
        </w:trPr>
        <w:tc>
          <w:tcPr>
            <w:tcW w:w="3240" w:type="dxa"/>
            <w:vAlign w:val="bottom"/>
            <w:vMerge w:val="restart"/>
            <w:shd w:val="clear" w:color="auto" w:fill="F3EFE9"/>
          </w:tcPr>
          <w:p>
            <w:pPr>
              <w:jc w:val="center"/>
              <w:spacing w:after="0"/>
              <w:rPr>
                <w:sz w:val="20"/>
                <w:szCs w:val="20"/>
                <w:color w:val="auto"/>
              </w:rPr>
            </w:pPr>
            <w:r>
              <w:rPr>
                <w:rFonts w:ascii="Arial" w:cs="Arial" w:eastAsia="Arial" w:hAnsi="Arial"/>
                <w:sz w:val="16"/>
                <w:szCs w:val="16"/>
                <w:color w:val="032E5C"/>
              </w:rPr>
              <w:t>Former CEO,</w:t>
            </w:r>
          </w:p>
        </w:tc>
        <w:tc>
          <w:tcPr>
            <w:tcW w:w="8000" w:type="dxa"/>
            <w:vAlign w:val="bottom"/>
          </w:tcPr>
          <w:p>
            <w:pPr>
              <w:ind w:left="180"/>
              <w:spacing w:after="0"/>
              <w:rPr>
                <w:sz w:val="20"/>
                <w:szCs w:val="20"/>
                <w:color w:val="auto"/>
              </w:rPr>
            </w:pPr>
            <w:r>
              <w:rPr>
                <w:rFonts w:ascii="Arial" w:cs="Arial" w:eastAsia="Arial" w:hAnsi="Arial"/>
                <w:sz w:val="16"/>
                <w:szCs w:val="16"/>
                <w:color w:val="032E5C"/>
              </w:rPr>
              <w:t>Officer of Caesars Palace and Sheraton Desert Inn, having served in various other senior operational and</w:t>
            </w:r>
          </w:p>
        </w:tc>
        <w:tc>
          <w:tcPr>
            <w:tcW w:w="0" w:type="dxa"/>
            <w:vAlign w:val="bottom"/>
          </w:tcPr>
          <w:p>
            <w:pPr>
              <w:spacing w:after="0"/>
              <w:rPr>
                <w:sz w:val="1"/>
                <w:szCs w:val="1"/>
                <w:color w:val="auto"/>
              </w:rPr>
            </w:pPr>
          </w:p>
        </w:tc>
      </w:tr>
      <w:tr>
        <w:trPr>
          <w:trHeight w:val="80"/>
        </w:trPr>
        <w:tc>
          <w:tcPr>
            <w:tcW w:w="3240" w:type="dxa"/>
            <w:vAlign w:val="bottom"/>
            <w:vMerge w:val="continue"/>
            <w:shd w:val="clear" w:color="auto" w:fill="F3EFE9"/>
          </w:tcPr>
          <w:p>
            <w:pPr>
              <w:spacing w:after="0"/>
              <w:rPr>
                <w:sz w:val="6"/>
                <w:szCs w:val="6"/>
                <w:color w:val="auto"/>
              </w:rPr>
            </w:pPr>
          </w:p>
        </w:tc>
        <w:tc>
          <w:tcPr>
            <w:tcW w:w="8000" w:type="dxa"/>
            <w:vAlign w:val="bottom"/>
            <w:vMerge w:val="restart"/>
          </w:tcPr>
          <w:p>
            <w:pPr>
              <w:ind w:left="180"/>
              <w:spacing w:after="0"/>
              <w:rPr>
                <w:sz w:val="20"/>
                <w:szCs w:val="20"/>
                <w:color w:val="auto"/>
              </w:rPr>
            </w:pPr>
            <w:r>
              <w:rPr>
                <w:rFonts w:ascii="Arial" w:cs="Arial" w:eastAsia="Arial" w:hAnsi="Arial"/>
                <w:sz w:val="16"/>
                <w:szCs w:val="16"/>
                <w:color w:val="032E5C"/>
              </w:rPr>
              <w:t>development positions with Caesars World, Inc. Mr. Redmond previously served on the board of directors</w:t>
            </w:r>
          </w:p>
        </w:tc>
        <w:tc>
          <w:tcPr>
            <w:tcW w:w="0" w:type="dxa"/>
            <w:vAlign w:val="bottom"/>
          </w:tcPr>
          <w:p>
            <w:pPr>
              <w:spacing w:after="0"/>
              <w:rPr>
                <w:sz w:val="1"/>
                <w:szCs w:val="1"/>
                <w:color w:val="auto"/>
              </w:rPr>
            </w:pPr>
          </w:p>
        </w:tc>
      </w:tr>
      <w:tr>
        <w:trPr>
          <w:trHeight w:val="135"/>
        </w:trPr>
        <w:tc>
          <w:tcPr>
            <w:tcW w:w="3240" w:type="dxa"/>
            <w:vAlign w:val="bottom"/>
            <w:vMerge w:val="restart"/>
            <w:shd w:val="clear" w:color="auto" w:fill="F3EFE9"/>
          </w:tcPr>
          <w:p>
            <w:pPr>
              <w:jc w:val="center"/>
              <w:spacing w:after="0"/>
              <w:rPr>
                <w:sz w:val="20"/>
                <w:szCs w:val="20"/>
                <w:color w:val="auto"/>
              </w:rPr>
            </w:pPr>
            <w:r>
              <w:rPr>
                <w:rFonts w:ascii="Arial" w:cs="Arial" w:eastAsia="Arial" w:hAnsi="Arial"/>
                <w:sz w:val="16"/>
                <w:szCs w:val="16"/>
                <w:color w:val="032E5C"/>
              </w:rPr>
              <w:t>Allegiant Travel Company</w:t>
            </w:r>
          </w:p>
        </w:tc>
        <w:tc>
          <w:tcPr>
            <w:tcW w:w="8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240" w:type="dxa"/>
            <w:vAlign w:val="bottom"/>
            <w:vMerge w:val="continue"/>
            <w:shd w:val="clear" w:color="auto" w:fill="F3EFE9"/>
          </w:tcPr>
          <w:p>
            <w:pPr>
              <w:spacing w:after="0"/>
              <w:rPr>
                <w:sz w:val="7"/>
                <w:szCs w:val="7"/>
                <w:color w:val="auto"/>
              </w:rPr>
            </w:pPr>
          </w:p>
        </w:tc>
        <w:tc>
          <w:tcPr>
            <w:tcW w:w="8000" w:type="dxa"/>
            <w:vAlign w:val="bottom"/>
            <w:vMerge w:val="restart"/>
          </w:tcPr>
          <w:p>
            <w:pPr>
              <w:ind w:left="180"/>
              <w:spacing w:after="0"/>
              <w:rPr>
                <w:sz w:val="20"/>
                <w:szCs w:val="20"/>
                <w:color w:val="auto"/>
              </w:rPr>
            </w:pPr>
            <w:r>
              <w:rPr>
                <w:rFonts w:ascii="Arial" w:cs="Arial" w:eastAsia="Arial" w:hAnsi="Arial"/>
                <w:sz w:val="16"/>
                <w:szCs w:val="16"/>
                <w:color w:val="032E5C"/>
              </w:rPr>
              <w:t>of Tropicana Las Vegas Hotel and Casino, Inc.</w:t>
            </w:r>
          </w:p>
        </w:tc>
        <w:tc>
          <w:tcPr>
            <w:tcW w:w="0" w:type="dxa"/>
            <w:vAlign w:val="bottom"/>
          </w:tcPr>
          <w:p>
            <w:pPr>
              <w:spacing w:after="0"/>
              <w:rPr>
                <w:sz w:val="1"/>
                <w:szCs w:val="1"/>
                <w:color w:val="auto"/>
              </w:rPr>
            </w:pPr>
          </w:p>
        </w:tc>
      </w:tr>
      <w:tr>
        <w:trPr>
          <w:trHeight w:val="135"/>
        </w:trPr>
        <w:tc>
          <w:tcPr>
            <w:tcW w:w="3240" w:type="dxa"/>
            <w:vAlign w:val="bottom"/>
            <w:shd w:val="clear" w:color="auto" w:fill="F3EFE9"/>
          </w:tcPr>
          <w:p>
            <w:pPr>
              <w:spacing w:after="0"/>
              <w:rPr>
                <w:sz w:val="11"/>
                <w:szCs w:val="11"/>
                <w:color w:val="auto"/>
              </w:rPr>
            </w:pPr>
          </w:p>
        </w:tc>
        <w:tc>
          <w:tcPr>
            <w:tcW w:w="8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240" w:type="dxa"/>
            <w:vAlign w:val="bottom"/>
            <w:shd w:val="clear" w:color="auto" w:fill="F3EFE9"/>
          </w:tcPr>
          <w:p>
            <w:pPr>
              <w:jc w:val="center"/>
              <w:spacing w:after="0"/>
              <w:rPr>
                <w:sz w:val="20"/>
                <w:szCs w:val="20"/>
                <w:color w:val="auto"/>
              </w:rPr>
            </w:pPr>
            <w:r>
              <w:rPr>
                <w:rFonts w:ascii="Arial" w:cs="Arial" w:eastAsia="Arial" w:hAnsi="Arial"/>
                <w:sz w:val="16"/>
                <w:szCs w:val="16"/>
                <w:b w:val="1"/>
                <w:bCs w:val="1"/>
                <w:color w:val="032E5C"/>
              </w:rPr>
              <w:t>Independent</w:t>
            </w:r>
          </w:p>
        </w:tc>
        <w:tc>
          <w:tcPr>
            <w:tcW w:w="8000" w:type="dxa"/>
            <w:vAlign w:val="bottom"/>
            <w:vMerge w:val="restart"/>
          </w:tcPr>
          <w:p>
            <w:pPr>
              <w:ind w:left="180"/>
              <w:spacing w:after="0"/>
              <w:rPr>
                <w:sz w:val="20"/>
                <w:szCs w:val="20"/>
                <w:color w:val="auto"/>
              </w:rPr>
            </w:pPr>
            <w:r>
              <w:rPr>
                <w:rFonts w:ascii="Arial" w:cs="Arial" w:eastAsia="Arial" w:hAnsi="Arial"/>
                <w:sz w:val="16"/>
                <w:szCs w:val="16"/>
                <w:b w:val="1"/>
                <w:bCs w:val="1"/>
                <w:color w:val="032E5C"/>
              </w:rPr>
              <w:t>Key Skills and Qualifications:</w:t>
            </w:r>
          </w:p>
        </w:tc>
        <w:tc>
          <w:tcPr>
            <w:tcW w:w="0" w:type="dxa"/>
            <w:vAlign w:val="bottom"/>
          </w:tcPr>
          <w:p>
            <w:pPr>
              <w:spacing w:after="0"/>
              <w:rPr>
                <w:sz w:val="1"/>
                <w:szCs w:val="1"/>
                <w:color w:val="auto"/>
              </w:rPr>
            </w:pPr>
          </w:p>
        </w:tc>
      </w:tr>
      <w:tr>
        <w:trPr>
          <w:trHeight w:val="135"/>
        </w:trPr>
        <w:tc>
          <w:tcPr>
            <w:tcW w:w="3240" w:type="dxa"/>
            <w:vAlign w:val="bottom"/>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66</w:t>
            </w:r>
          </w:p>
        </w:tc>
        <w:tc>
          <w:tcPr>
            <w:tcW w:w="8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240" w:type="dxa"/>
            <w:vAlign w:val="bottom"/>
            <w:vMerge w:val="continue"/>
            <w:shd w:val="clear" w:color="auto" w:fill="F3EFE9"/>
          </w:tcPr>
          <w:p>
            <w:pPr>
              <w:spacing w:after="0"/>
              <w:rPr>
                <w:sz w:val="17"/>
                <w:szCs w:val="17"/>
                <w:color w:val="auto"/>
              </w:rPr>
            </w:pPr>
          </w:p>
        </w:tc>
        <w:tc>
          <w:tcPr>
            <w:tcW w:w="8000" w:type="dxa"/>
            <w:vAlign w:val="bottom"/>
            <w:vMerge w:val="restart"/>
          </w:tcPr>
          <w:p>
            <w:pPr>
              <w:ind w:left="360"/>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b w:val="1"/>
                <w:bCs w:val="1"/>
                <w:color w:val="032E5C"/>
              </w:rPr>
              <w:t>Leadership</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and</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b w:val="1"/>
                <w:bCs w:val="1"/>
                <w:color w:val="032E5C"/>
              </w:rPr>
              <w:t>Finance</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experience—former CEO of large public entertainment and gaming</w:t>
            </w:r>
          </w:p>
        </w:tc>
        <w:tc>
          <w:tcPr>
            <w:tcW w:w="0" w:type="dxa"/>
            <w:vAlign w:val="bottom"/>
          </w:tcPr>
          <w:p>
            <w:pPr>
              <w:spacing w:after="0"/>
              <w:rPr>
                <w:sz w:val="1"/>
                <w:szCs w:val="1"/>
                <w:color w:val="auto"/>
              </w:rPr>
            </w:pPr>
          </w:p>
        </w:tc>
      </w:tr>
      <w:tr>
        <w:trPr>
          <w:trHeight w:val="115"/>
        </w:trPr>
        <w:tc>
          <w:tcPr>
            <w:tcW w:w="3240" w:type="dxa"/>
            <w:vAlign w:val="bottom"/>
            <w:shd w:val="clear" w:color="auto" w:fill="F3EFE9"/>
          </w:tcPr>
          <w:p>
            <w:pPr>
              <w:spacing w:after="0"/>
              <w:rPr>
                <w:sz w:val="9"/>
                <w:szCs w:val="9"/>
                <w:color w:val="auto"/>
              </w:rPr>
            </w:pPr>
          </w:p>
        </w:tc>
        <w:tc>
          <w:tcPr>
            <w:tcW w:w="8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F3EFE9"/>
          </w:tcPr>
          <w:p>
            <w:pPr>
              <w:jc w:val="center"/>
              <w:spacing w:after="0"/>
              <w:rPr>
                <w:sz w:val="20"/>
                <w:szCs w:val="20"/>
                <w:color w:val="auto"/>
              </w:rPr>
            </w:pPr>
            <w:r>
              <w:rPr>
                <w:rFonts w:ascii="Arial" w:cs="Arial" w:eastAsia="Arial" w:hAnsi="Arial"/>
                <w:sz w:val="16"/>
                <w:szCs w:val="16"/>
                <w:b w:val="1"/>
                <w:bCs w:val="1"/>
                <w:color w:val="032E5C"/>
              </w:rPr>
              <w:t>Director Since:</w:t>
            </w:r>
          </w:p>
        </w:tc>
        <w:tc>
          <w:tcPr>
            <w:tcW w:w="8000" w:type="dxa"/>
            <w:vAlign w:val="bottom"/>
          </w:tcPr>
          <w:p>
            <w:pPr>
              <w:ind w:left="680"/>
              <w:spacing w:after="0"/>
              <w:rPr>
                <w:sz w:val="20"/>
                <w:szCs w:val="20"/>
                <w:color w:val="auto"/>
              </w:rPr>
            </w:pPr>
            <w:r>
              <w:rPr>
                <w:rFonts w:ascii="Arial" w:cs="Arial" w:eastAsia="Arial" w:hAnsi="Arial"/>
                <w:sz w:val="16"/>
                <w:szCs w:val="16"/>
                <w:color w:val="032E5C"/>
              </w:rPr>
              <w:t>company (Echo); former senior officer and director of large public entertainment and gaming</w:t>
            </w:r>
          </w:p>
        </w:tc>
        <w:tc>
          <w:tcPr>
            <w:tcW w:w="0" w:type="dxa"/>
            <w:vAlign w:val="bottom"/>
          </w:tcPr>
          <w:p>
            <w:pPr>
              <w:spacing w:after="0"/>
              <w:rPr>
                <w:sz w:val="1"/>
                <w:szCs w:val="1"/>
                <w:color w:val="auto"/>
              </w:rPr>
            </w:pPr>
          </w:p>
        </w:tc>
      </w:tr>
      <w:tr>
        <w:trPr>
          <w:trHeight w:val="228"/>
        </w:trPr>
        <w:tc>
          <w:tcPr>
            <w:tcW w:w="324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March 2008</w:t>
            </w:r>
          </w:p>
        </w:tc>
        <w:tc>
          <w:tcPr>
            <w:tcW w:w="8000" w:type="dxa"/>
            <w:vAlign w:val="bottom"/>
          </w:tcPr>
          <w:p>
            <w:pPr>
              <w:ind w:left="680"/>
              <w:spacing w:after="0"/>
              <w:rPr>
                <w:sz w:val="20"/>
                <w:szCs w:val="20"/>
                <w:color w:val="auto"/>
              </w:rPr>
            </w:pPr>
            <w:r>
              <w:rPr>
                <w:rFonts w:ascii="Arial" w:cs="Arial" w:eastAsia="Arial" w:hAnsi="Arial"/>
                <w:sz w:val="16"/>
                <w:szCs w:val="16"/>
                <w:color w:val="032E5C"/>
              </w:rPr>
              <w:t>company (MGM); former CEO and director of leisure travel company (Allegiant)</w:t>
            </w:r>
          </w:p>
        </w:tc>
        <w:tc>
          <w:tcPr>
            <w:tcW w:w="0" w:type="dxa"/>
            <w:vAlign w:val="bottom"/>
          </w:tcPr>
          <w:p>
            <w:pPr>
              <w:spacing w:after="0"/>
              <w:rPr>
                <w:sz w:val="1"/>
                <w:szCs w:val="1"/>
                <w:color w:val="auto"/>
              </w:rPr>
            </w:pPr>
          </w:p>
        </w:tc>
      </w:tr>
      <w:tr>
        <w:trPr>
          <w:trHeight w:val="325"/>
        </w:trPr>
        <w:tc>
          <w:tcPr>
            <w:tcW w:w="3240" w:type="dxa"/>
            <w:vAlign w:val="bottom"/>
            <w:shd w:val="clear" w:color="auto" w:fill="F3EFE9"/>
          </w:tcPr>
          <w:p>
            <w:pPr>
              <w:jc w:val="center"/>
              <w:spacing w:after="0"/>
              <w:rPr>
                <w:sz w:val="20"/>
                <w:szCs w:val="20"/>
                <w:color w:val="auto"/>
              </w:rPr>
            </w:pPr>
            <w:r>
              <w:rPr>
                <w:rFonts w:ascii="Arial" w:cs="Arial" w:eastAsia="Arial" w:hAnsi="Arial"/>
                <w:sz w:val="16"/>
                <w:szCs w:val="16"/>
                <w:b w:val="1"/>
                <w:bCs w:val="1"/>
                <w:color w:val="032E5C"/>
              </w:rPr>
              <w:t>Committees:</w:t>
            </w:r>
          </w:p>
        </w:tc>
        <w:tc>
          <w:tcPr>
            <w:tcW w:w="8000" w:type="dxa"/>
            <w:vAlign w:val="bottom"/>
          </w:tcPr>
          <w:p>
            <w:pPr>
              <w:ind w:left="360"/>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b w:val="1"/>
                <w:bCs w:val="1"/>
                <w:color w:val="032E5C"/>
              </w:rPr>
              <w:t>Industry</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and</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b w:val="1"/>
                <w:bCs w:val="1"/>
                <w:color w:val="032E5C"/>
              </w:rPr>
              <w:t>International</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experience—former CEO and director of leisure travel company</w:t>
            </w:r>
          </w:p>
        </w:tc>
        <w:tc>
          <w:tcPr>
            <w:tcW w:w="0" w:type="dxa"/>
            <w:vAlign w:val="bottom"/>
          </w:tcPr>
          <w:p>
            <w:pPr>
              <w:spacing w:after="0"/>
              <w:rPr>
                <w:sz w:val="1"/>
                <w:szCs w:val="1"/>
                <w:color w:val="auto"/>
              </w:rPr>
            </w:pPr>
          </w:p>
        </w:tc>
      </w:tr>
      <w:tr>
        <w:trPr>
          <w:trHeight w:val="216"/>
        </w:trPr>
        <w:tc>
          <w:tcPr>
            <w:tcW w:w="324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Audit</w:t>
            </w:r>
          </w:p>
        </w:tc>
        <w:tc>
          <w:tcPr>
            <w:tcW w:w="8000" w:type="dxa"/>
            <w:vAlign w:val="bottom"/>
          </w:tcPr>
          <w:p>
            <w:pPr>
              <w:ind w:left="680"/>
              <w:spacing w:after="0"/>
              <w:rPr>
                <w:sz w:val="20"/>
                <w:szCs w:val="20"/>
                <w:color w:val="auto"/>
              </w:rPr>
            </w:pPr>
            <w:r>
              <w:rPr>
                <w:rFonts w:ascii="Arial" w:cs="Arial" w:eastAsia="Arial" w:hAnsi="Arial"/>
                <w:sz w:val="16"/>
                <w:szCs w:val="16"/>
                <w:color w:val="032E5C"/>
              </w:rPr>
              <w:t>(Allegiant); former CEO of large public entertainment and gaming company (Echo); former senior</w:t>
            </w:r>
          </w:p>
        </w:tc>
        <w:tc>
          <w:tcPr>
            <w:tcW w:w="0" w:type="dxa"/>
            <w:vAlign w:val="bottom"/>
          </w:tcPr>
          <w:p>
            <w:pPr>
              <w:spacing w:after="0"/>
              <w:rPr>
                <w:sz w:val="1"/>
                <w:szCs w:val="1"/>
                <w:color w:val="auto"/>
              </w:rPr>
            </w:pPr>
          </w:p>
        </w:tc>
      </w:tr>
      <w:tr>
        <w:trPr>
          <w:trHeight w:val="215"/>
        </w:trPr>
        <w:tc>
          <w:tcPr>
            <w:tcW w:w="3240" w:type="dxa"/>
            <w:vAlign w:val="bottom"/>
            <w:shd w:val="clear" w:color="auto" w:fill="F3EFE9"/>
          </w:tcPr>
          <w:p>
            <w:pPr>
              <w:spacing w:after="0"/>
              <w:rPr>
                <w:sz w:val="18"/>
                <w:szCs w:val="18"/>
                <w:color w:val="auto"/>
              </w:rPr>
            </w:pPr>
          </w:p>
        </w:tc>
        <w:tc>
          <w:tcPr>
            <w:tcW w:w="8000" w:type="dxa"/>
            <w:vAlign w:val="bottom"/>
          </w:tcPr>
          <w:p>
            <w:pPr>
              <w:ind w:left="680"/>
              <w:spacing w:after="0"/>
              <w:rPr>
                <w:sz w:val="20"/>
                <w:szCs w:val="20"/>
                <w:color w:val="auto"/>
              </w:rPr>
            </w:pPr>
            <w:r>
              <w:rPr>
                <w:rFonts w:ascii="Arial" w:cs="Arial" w:eastAsia="Arial" w:hAnsi="Arial"/>
                <w:sz w:val="16"/>
                <w:szCs w:val="16"/>
                <w:color w:val="032E5C"/>
              </w:rPr>
              <w:t>officer and director of large public entertainment and gaming company (MGM)</w:t>
            </w:r>
          </w:p>
        </w:tc>
        <w:tc>
          <w:tcPr>
            <w:tcW w:w="0" w:type="dxa"/>
            <w:vAlign w:val="bottom"/>
          </w:tcPr>
          <w:p>
            <w:pPr>
              <w:spacing w:after="0"/>
              <w:rPr>
                <w:sz w:val="1"/>
                <w:szCs w:val="1"/>
                <w:color w:val="auto"/>
              </w:rPr>
            </w:pPr>
          </w:p>
        </w:tc>
      </w:tr>
      <w:tr>
        <w:trPr>
          <w:trHeight w:val="211"/>
        </w:trPr>
        <w:tc>
          <w:tcPr>
            <w:tcW w:w="3240" w:type="dxa"/>
            <w:vAlign w:val="bottom"/>
            <w:tcBorders>
              <w:bottom w:val="single" w:sz="8" w:color="3E5C7C"/>
            </w:tcBorders>
            <w:shd w:val="clear" w:color="auto" w:fill="F3EFE9"/>
          </w:tcPr>
          <w:p>
            <w:pPr>
              <w:spacing w:after="0"/>
              <w:rPr>
                <w:sz w:val="18"/>
                <w:szCs w:val="18"/>
                <w:color w:val="auto"/>
              </w:rPr>
            </w:pPr>
          </w:p>
        </w:tc>
        <w:tc>
          <w:tcPr>
            <w:tcW w:w="8000" w:type="dxa"/>
            <w:vAlign w:val="bottom"/>
            <w:tcBorders>
              <w:bottom w:val="single" w:sz="8" w:color="3E5C7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-3402965</wp:posOffset>
            </wp:positionV>
            <wp:extent cx="1234440" cy="12344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19</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1</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205740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8830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883025"/>
                    </a:xfrm>
                    <a:prstGeom prst="rect">
                      <a:avLst/>
                    </a:prstGeom>
                    <a:noFill/>
                  </pic:spPr>
                </pic:pic>
              </a:graphicData>
            </a:graphic>
          </wp:anchor>
        </w:drawing>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2940" w:type="dxa"/>
            <w:vAlign w:val="bottom"/>
          </w:tcPr>
          <w:p>
            <w:pPr>
              <w:spacing w:after="0"/>
              <w:rPr>
                <w:sz w:val="19"/>
                <w:szCs w:val="19"/>
                <w:color w:val="auto"/>
              </w:rPr>
            </w:pPr>
          </w:p>
        </w:tc>
        <w:tc>
          <w:tcPr>
            <w:tcW w:w="7920" w:type="dxa"/>
            <w:vAlign w:val="bottom"/>
          </w:tcPr>
          <w:p>
            <w:pPr>
              <w:ind w:left="220"/>
              <w:spacing w:after="0"/>
              <w:rPr>
                <w:sz w:val="20"/>
                <w:szCs w:val="20"/>
                <w:color w:val="auto"/>
              </w:rPr>
            </w:pPr>
            <w:r>
              <w:rPr>
                <w:rFonts w:ascii="Arial" w:cs="Arial" w:eastAsia="Arial" w:hAnsi="Arial"/>
                <w:sz w:val="16"/>
                <w:szCs w:val="16"/>
                <w:b w:val="1"/>
                <w:bCs w:val="1"/>
                <w:color w:val="032E5C"/>
              </w:rPr>
              <w:t>Business Experience, Other Directorships and Qualifications</w:t>
            </w:r>
          </w:p>
        </w:tc>
        <w:tc>
          <w:tcPr>
            <w:tcW w:w="0" w:type="dxa"/>
            <w:vAlign w:val="bottom"/>
          </w:tcPr>
          <w:p>
            <w:pPr>
              <w:spacing w:after="0"/>
              <w:rPr>
                <w:sz w:val="1"/>
                <w:szCs w:val="1"/>
                <w:color w:val="auto"/>
              </w:rPr>
            </w:pPr>
          </w:p>
        </w:tc>
      </w:tr>
      <w:tr>
        <w:trPr>
          <w:trHeight w:val="317"/>
        </w:trPr>
        <w:tc>
          <w:tcPr>
            <w:tcW w:w="2940" w:type="dxa"/>
            <w:vAlign w:val="bottom"/>
          </w:tcPr>
          <w:p>
            <w:pPr>
              <w:spacing w:after="0"/>
              <w:rPr>
                <w:sz w:val="24"/>
                <w:szCs w:val="24"/>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Ms. Romanow is the Co-Founder and Executive Chairman of Clearco (formerly Clearbanc), a technology</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company changing the way companies raise money by providing fast, affordable growth capital to online</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brands. She transitioned from CEO to Executive Chairman of Clearco in January 2023. Clearco has</w:t>
            </w: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invested $5 billion into more than 10,000 companies in 13 countries. Clearco is headquartered in Toronto,</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Canada. Previously, Ms. Romanow was the Co-Founder of Snap by Groupon (previously SnapSaves),</w:t>
            </w: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which was founded in March 2012 and acquired by Groupon, Inc. in June 2014. She served as a senior</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marketing executive for Groupon from June 2014 until March 2016. In February 2011, Ms. Romanow</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founded Buytopia.ca, a Canadian e-commerce leader. Prior to that, she was Director of Corporate Strategy</w:t>
            </w: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&amp; Business Improvement for Sears Canada. Ms. Romanow is also one of the venture capitalists on the</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award-winning CBC series Dragons’ Den. Ms. Romanow is currently a member of the strategic advisory</w:t>
            </w:r>
          </w:p>
        </w:tc>
        <w:tc>
          <w:tcPr>
            <w:tcW w:w="0" w:type="dxa"/>
            <w:vAlign w:val="bottom"/>
          </w:tcPr>
          <w:p>
            <w:pPr>
              <w:spacing w:after="0"/>
              <w:rPr>
                <w:sz w:val="1"/>
                <w:szCs w:val="1"/>
                <w:color w:val="auto"/>
              </w:rPr>
            </w:pPr>
          </w:p>
        </w:tc>
      </w:tr>
      <w:tr>
        <w:trPr>
          <w:trHeight w:val="204"/>
        </w:trPr>
        <w:tc>
          <w:tcPr>
            <w:tcW w:w="2940" w:type="dxa"/>
            <w:vAlign w:val="bottom"/>
            <w:vMerge w:val="restart"/>
          </w:tcPr>
          <w:p>
            <w:pPr>
              <w:jc w:val="center"/>
              <w:ind w:right="113"/>
              <w:spacing w:after="0"/>
              <w:rPr>
                <w:sz w:val="20"/>
                <w:szCs w:val="20"/>
                <w:color w:val="auto"/>
              </w:rPr>
            </w:pPr>
            <w:r>
              <w:rPr>
                <w:rFonts w:ascii="Arial" w:cs="Arial" w:eastAsia="Arial" w:hAnsi="Arial"/>
                <w:sz w:val="25"/>
                <w:szCs w:val="25"/>
                <w:b w:val="1"/>
                <w:bCs w:val="1"/>
                <w:color w:val="032E5C"/>
              </w:rPr>
              <w:t>MICHELE ROMANOW</w:t>
            </w:r>
          </w:p>
        </w:tc>
        <w:tc>
          <w:tcPr>
            <w:tcW w:w="7920" w:type="dxa"/>
            <w:vAlign w:val="bottom"/>
          </w:tcPr>
          <w:p>
            <w:pPr>
              <w:ind w:left="220"/>
              <w:spacing w:after="0"/>
              <w:rPr>
                <w:sz w:val="20"/>
                <w:szCs w:val="20"/>
                <w:color w:val="auto"/>
              </w:rPr>
            </w:pPr>
            <w:r>
              <w:rPr>
                <w:rFonts w:ascii="Arial" w:cs="Arial" w:eastAsia="Arial" w:hAnsi="Arial"/>
                <w:sz w:val="16"/>
                <w:szCs w:val="16"/>
                <w:color w:val="032E5C"/>
              </w:rPr>
              <w:t>board at Great Gulf, a group of commercial real estate companies, and a member of the advisory board at</w:t>
            </w:r>
          </w:p>
        </w:tc>
        <w:tc>
          <w:tcPr>
            <w:tcW w:w="0" w:type="dxa"/>
            <w:vAlign w:val="bottom"/>
          </w:tcPr>
          <w:p>
            <w:pPr>
              <w:spacing w:after="0"/>
              <w:rPr>
                <w:sz w:val="1"/>
                <w:szCs w:val="1"/>
                <w:color w:val="auto"/>
              </w:rPr>
            </w:pPr>
          </w:p>
        </w:tc>
      </w:tr>
      <w:tr>
        <w:trPr>
          <w:trHeight w:val="215"/>
        </w:trPr>
        <w:tc>
          <w:tcPr>
            <w:tcW w:w="2940" w:type="dxa"/>
            <w:vAlign w:val="bottom"/>
            <w:vMerge w:val="continue"/>
          </w:tcPr>
          <w:p>
            <w:pPr>
              <w:spacing w:after="0"/>
              <w:rPr>
                <w:sz w:val="18"/>
                <w:szCs w:val="18"/>
                <w:color w:val="auto"/>
              </w:rPr>
            </w:pPr>
          </w:p>
        </w:tc>
        <w:tc>
          <w:tcPr>
            <w:tcW w:w="7920" w:type="dxa"/>
            <w:vAlign w:val="bottom"/>
          </w:tcPr>
          <w:p>
            <w:pPr>
              <w:ind w:left="220"/>
              <w:spacing w:after="0"/>
              <w:rPr>
                <w:sz w:val="20"/>
                <w:szCs w:val="20"/>
                <w:color w:val="auto"/>
              </w:rPr>
            </w:pPr>
            <w:r>
              <w:rPr>
                <w:rFonts w:ascii="Arial" w:cs="Arial" w:eastAsia="Arial" w:hAnsi="Arial"/>
                <w:sz w:val="16"/>
                <w:szCs w:val="16"/>
                <w:color w:val="032E5C"/>
              </w:rPr>
              <w:t>the Queen's University School of Business. Ms. Romanow was previously a member of the board of</w:t>
            </w:r>
          </w:p>
        </w:tc>
        <w:tc>
          <w:tcPr>
            <w:tcW w:w="0" w:type="dxa"/>
            <w:vAlign w:val="bottom"/>
          </w:tcPr>
          <w:p>
            <w:pPr>
              <w:spacing w:after="0"/>
              <w:rPr>
                <w:sz w:val="1"/>
                <w:szCs w:val="1"/>
                <w:color w:val="auto"/>
              </w:rPr>
            </w:pPr>
          </w:p>
        </w:tc>
      </w:tr>
      <w:tr>
        <w:trPr>
          <w:trHeight w:val="204"/>
        </w:trPr>
        <w:tc>
          <w:tcPr>
            <w:tcW w:w="2940" w:type="dxa"/>
            <w:vAlign w:val="bottom"/>
            <w:vMerge w:val="restart"/>
          </w:tcPr>
          <w:p>
            <w:pPr>
              <w:jc w:val="center"/>
              <w:ind w:right="133"/>
              <w:spacing w:after="0"/>
              <w:rPr>
                <w:sz w:val="20"/>
                <w:szCs w:val="20"/>
                <w:color w:val="auto"/>
              </w:rPr>
            </w:pPr>
            <w:r>
              <w:rPr>
                <w:rFonts w:ascii="Arial" w:cs="Arial" w:eastAsia="Arial" w:hAnsi="Arial"/>
                <w:sz w:val="16"/>
                <w:szCs w:val="16"/>
                <w:color w:val="032E5C"/>
              </w:rPr>
              <w:t>Co-Founder and Executive Chairman,</w:t>
            </w:r>
          </w:p>
        </w:tc>
        <w:tc>
          <w:tcPr>
            <w:tcW w:w="7920" w:type="dxa"/>
            <w:vAlign w:val="bottom"/>
          </w:tcPr>
          <w:p>
            <w:pPr>
              <w:ind w:left="220"/>
              <w:spacing w:after="0"/>
              <w:rPr>
                <w:sz w:val="20"/>
                <w:szCs w:val="20"/>
                <w:color w:val="auto"/>
              </w:rPr>
            </w:pPr>
            <w:r>
              <w:rPr>
                <w:rFonts w:ascii="Arial" w:cs="Arial" w:eastAsia="Arial" w:hAnsi="Arial"/>
                <w:sz w:val="16"/>
                <w:szCs w:val="16"/>
                <w:color w:val="032E5C"/>
              </w:rPr>
              <w:t>directors of Whistler Blackcomb, which was acquired by Vail Resorts in October 2016, SHAD, a Canadian</w:t>
            </w:r>
          </w:p>
        </w:tc>
        <w:tc>
          <w:tcPr>
            <w:tcW w:w="0" w:type="dxa"/>
            <w:vAlign w:val="bottom"/>
          </w:tcPr>
          <w:p>
            <w:pPr>
              <w:spacing w:after="0"/>
              <w:rPr>
                <w:sz w:val="1"/>
                <w:szCs w:val="1"/>
                <w:color w:val="auto"/>
              </w:rPr>
            </w:pPr>
          </w:p>
        </w:tc>
      </w:tr>
      <w:tr>
        <w:trPr>
          <w:trHeight w:val="80"/>
        </w:trPr>
        <w:tc>
          <w:tcPr>
            <w:tcW w:w="2940" w:type="dxa"/>
            <w:vAlign w:val="bottom"/>
            <w:vMerge w:val="continue"/>
          </w:tcPr>
          <w:p>
            <w:pPr>
              <w:spacing w:after="0"/>
              <w:rPr>
                <w:sz w:val="6"/>
                <w:szCs w:val="6"/>
                <w:color w:val="auto"/>
              </w:rPr>
            </w:pPr>
          </w:p>
        </w:tc>
        <w:tc>
          <w:tcPr>
            <w:tcW w:w="7920" w:type="dxa"/>
            <w:vAlign w:val="bottom"/>
            <w:vMerge w:val="restart"/>
          </w:tcPr>
          <w:p>
            <w:pPr>
              <w:ind w:left="220"/>
              <w:spacing w:after="0"/>
              <w:rPr>
                <w:sz w:val="20"/>
                <w:szCs w:val="20"/>
                <w:color w:val="auto"/>
              </w:rPr>
            </w:pPr>
            <w:r>
              <w:rPr>
                <w:rFonts w:ascii="Arial" w:cs="Arial" w:eastAsia="Arial" w:hAnsi="Arial"/>
                <w:sz w:val="16"/>
                <w:szCs w:val="16"/>
                <w:color w:val="032E5C"/>
              </w:rPr>
              <w:t>charity for high school students, Freshii Inc., a publicly listed Canadian fast casual restaurant franchise,</w:t>
            </w:r>
          </w:p>
        </w:tc>
        <w:tc>
          <w:tcPr>
            <w:tcW w:w="0" w:type="dxa"/>
            <w:vAlign w:val="bottom"/>
          </w:tcPr>
          <w:p>
            <w:pPr>
              <w:spacing w:after="0"/>
              <w:rPr>
                <w:sz w:val="1"/>
                <w:szCs w:val="1"/>
                <w:color w:val="auto"/>
              </w:rPr>
            </w:pPr>
          </w:p>
        </w:tc>
      </w:tr>
      <w:tr>
        <w:trPr>
          <w:trHeight w:val="135"/>
        </w:trPr>
        <w:tc>
          <w:tcPr>
            <w:tcW w:w="2940" w:type="dxa"/>
            <w:vAlign w:val="bottom"/>
            <w:vMerge w:val="restart"/>
          </w:tcPr>
          <w:p>
            <w:pPr>
              <w:jc w:val="center"/>
              <w:ind w:right="133"/>
              <w:spacing w:after="0"/>
              <w:rPr>
                <w:sz w:val="20"/>
                <w:szCs w:val="20"/>
                <w:color w:val="auto"/>
              </w:rPr>
            </w:pPr>
            <w:r>
              <w:rPr>
                <w:rFonts w:ascii="Arial" w:cs="Arial" w:eastAsia="Arial" w:hAnsi="Arial"/>
                <w:sz w:val="16"/>
                <w:szCs w:val="16"/>
                <w:color w:val="032E5C"/>
              </w:rPr>
              <w:t>Clearco</w:t>
            </w:r>
          </w:p>
        </w:tc>
        <w:tc>
          <w:tcPr>
            <w:tcW w:w="7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940" w:type="dxa"/>
            <w:vAlign w:val="bottom"/>
            <w:vMerge w:val="continue"/>
          </w:tcPr>
          <w:p>
            <w:pPr>
              <w:spacing w:after="0"/>
              <w:rPr>
                <w:sz w:val="7"/>
                <w:szCs w:val="7"/>
                <w:color w:val="auto"/>
              </w:rPr>
            </w:pPr>
          </w:p>
        </w:tc>
        <w:tc>
          <w:tcPr>
            <w:tcW w:w="7920" w:type="dxa"/>
            <w:vAlign w:val="bottom"/>
            <w:vMerge w:val="restart"/>
          </w:tcPr>
          <w:p>
            <w:pPr>
              <w:ind w:left="220"/>
              <w:spacing w:after="0"/>
              <w:rPr>
                <w:sz w:val="20"/>
                <w:szCs w:val="20"/>
                <w:color w:val="auto"/>
              </w:rPr>
            </w:pPr>
            <w:r>
              <w:rPr>
                <w:rFonts w:ascii="Arial" w:cs="Arial" w:eastAsia="Arial" w:hAnsi="Arial"/>
                <w:sz w:val="16"/>
                <w:szCs w:val="16"/>
                <w:color w:val="032E5C"/>
              </w:rPr>
              <w:t>League of Innovators, a Canadian charity, and BBTV Holdings Inc., a Canadian media and technology</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7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940" w:type="dxa"/>
            <w:vAlign w:val="bottom"/>
          </w:tcPr>
          <w:p>
            <w:pPr>
              <w:jc w:val="center"/>
              <w:ind w:right="133"/>
              <w:spacing w:after="0"/>
              <w:rPr>
                <w:sz w:val="20"/>
                <w:szCs w:val="20"/>
                <w:color w:val="auto"/>
              </w:rPr>
            </w:pPr>
            <w:r>
              <w:rPr>
                <w:rFonts w:ascii="Arial" w:cs="Arial" w:eastAsia="Arial" w:hAnsi="Arial"/>
                <w:sz w:val="16"/>
                <w:szCs w:val="16"/>
                <w:b w:val="1"/>
                <w:bCs w:val="1"/>
                <w:color w:val="032E5C"/>
              </w:rPr>
              <w:t>Independent</w:t>
            </w:r>
          </w:p>
        </w:tc>
        <w:tc>
          <w:tcPr>
            <w:tcW w:w="7920" w:type="dxa"/>
            <w:vAlign w:val="bottom"/>
          </w:tcPr>
          <w:p>
            <w:pPr>
              <w:ind w:left="220"/>
              <w:spacing w:after="0"/>
              <w:rPr>
                <w:sz w:val="20"/>
                <w:szCs w:val="20"/>
                <w:color w:val="auto"/>
              </w:rPr>
            </w:pPr>
            <w:r>
              <w:rPr>
                <w:rFonts w:ascii="Arial" w:cs="Arial" w:eastAsia="Arial" w:hAnsi="Arial"/>
                <w:sz w:val="16"/>
                <w:szCs w:val="16"/>
                <w:color w:val="032E5C"/>
              </w:rPr>
              <w:t>company. She holds a Bachelor of Science in Engineering and a Master of Business Administration from</w:t>
            </w:r>
          </w:p>
        </w:tc>
        <w:tc>
          <w:tcPr>
            <w:tcW w:w="0" w:type="dxa"/>
            <w:vAlign w:val="bottom"/>
          </w:tcPr>
          <w:p>
            <w:pPr>
              <w:spacing w:after="0"/>
              <w:rPr>
                <w:sz w:val="1"/>
                <w:szCs w:val="1"/>
                <w:color w:val="auto"/>
              </w:rPr>
            </w:pPr>
          </w:p>
        </w:tc>
      </w:tr>
      <w:tr>
        <w:trPr>
          <w:trHeight w:val="215"/>
        </w:trPr>
        <w:tc>
          <w:tcPr>
            <w:tcW w:w="2940" w:type="dxa"/>
            <w:vAlign w:val="bottom"/>
            <w:vMerge w:val="restart"/>
          </w:tcPr>
          <w:p>
            <w:pPr>
              <w:jc w:val="center"/>
              <w:ind w:right="113"/>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39</w:t>
            </w:r>
          </w:p>
        </w:tc>
        <w:tc>
          <w:tcPr>
            <w:tcW w:w="7920" w:type="dxa"/>
            <w:vAlign w:val="bottom"/>
          </w:tcPr>
          <w:p>
            <w:pPr>
              <w:ind w:left="220"/>
              <w:spacing w:after="0"/>
              <w:rPr>
                <w:sz w:val="20"/>
                <w:szCs w:val="20"/>
                <w:color w:val="auto"/>
              </w:rPr>
            </w:pPr>
            <w:r>
              <w:rPr>
                <w:rFonts w:ascii="Arial" w:cs="Arial" w:eastAsia="Arial" w:hAnsi="Arial"/>
                <w:sz w:val="16"/>
                <w:szCs w:val="16"/>
                <w:color w:val="032E5C"/>
              </w:rPr>
              <w:t>Queen’s University.</w:t>
            </w:r>
          </w:p>
        </w:tc>
        <w:tc>
          <w:tcPr>
            <w:tcW w:w="0" w:type="dxa"/>
            <w:vAlign w:val="bottom"/>
          </w:tcPr>
          <w:p>
            <w:pPr>
              <w:spacing w:after="0"/>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7920" w:type="dxa"/>
            <w:vAlign w:val="bottom"/>
            <w:vMerge w:val="restart"/>
          </w:tcPr>
          <w:p>
            <w:pPr>
              <w:ind w:left="220"/>
              <w:spacing w:after="0"/>
              <w:rPr>
                <w:sz w:val="20"/>
                <w:szCs w:val="20"/>
                <w:color w:val="auto"/>
              </w:rPr>
            </w:pPr>
            <w:r>
              <w:rPr>
                <w:rFonts w:ascii="Arial" w:cs="Arial" w:eastAsia="Arial" w:hAnsi="Arial"/>
                <w:sz w:val="16"/>
                <w:szCs w:val="16"/>
                <w:b w:val="1"/>
                <w:bCs w:val="1"/>
                <w:color w:val="032E5C"/>
              </w:rPr>
              <w:t>Key Skills and Qualifications:</w:t>
            </w:r>
          </w:p>
        </w:tc>
        <w:tc>
          <w:tcPr>
            <w:tcW w:w="0" w:type="dxa"/>
            <w:vAlign w:val="bottom"/>
          </w:tcPr>
          <w:p>
            <w:pPr>
              <w:spacing w:after="0"/>
              <w:rPr>
                <w:sz w:val="1"/>
                <w:szCs w:val="1"/>
                <w:color w:val="auto"/>
              </w:rPr>
            </w:pPr>
          </w:p>
        </w:tc>
      </w:tr>
      <w:tr>
        <w:trPr>
          <w:trHeight w:val="216"/>
        </w:trPr>
        <w:tc>
          <w:tcPr>
            <w:tcW w:w="2940" w:type="dxa"/>
            <w:vAlign w:val="bottom"/>
            <w:vMerge w:val="restart"/>
          </w:tcPr>
          <w:p>
            <w:pPr>
              <w:jc w:val="center"/>
              <w:ind w:right="113"/>
              <w:spacing w:after="0"/>
              <w:rPr>
                <w:sz w:val="20"/>
                <w:szCs w:val="20"/>
                <w:color w:val="auto"/>
              </w:rPr>
            </w:pPr>
            <w:r>
              <w:rPr>
                <w:rFonts w:ascii="Arial" w:cs="Arial" w:eastAsia="Arial" w:hAnsi="Arial"/>
                <w:sz w:val="16"/>
                <w:szCs w:val="16"/>
                <w:b w:val="1"/>
                <w:bCs w:val="1"/>
                <w:color w:val="032E5C"/>
              </w:rPr>
              <w:t>Director Since:</w:t>
            </w:r>
          </w:p>
        </w:tc>
        <w:tc>
          <w:tcPr>
            <w:tcW w:w="7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940" w:type="dxa"/>
            <w:vAlign w:val="bottom"/>
            <w:vMerge w:val="continue"/>
          </w:tcPr>
          <w:p>
            <w:pPr>
              <w:spacing w:after="0"/>
              <w:rPr>
                <w:sz w:val="9"/>
                <w:szCs w:val="9"/>
                <w:color w:val="auto"/>
              </w:rPr>
            </w:pPr>
          </w:p>
        </w:tc>
        <w:tc>
          <w:tcPr>
            <w:tcW w:w="7920" w:type="dxa"/>
            <w:vAlign w:val="bottom"/>
            <w:vMerge w:val="restart"/>
          </w:tcPr>
          <w:p>
            <w:pPr>
              <w:jc w:val="right"/>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b w:val="1"/>
                <w:bCs w:val="1"/>
                <w:color w:val="032E5C"/>
              </w:rPr>
              <w:t>Leadership</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experience—Co-founder and Executive Chairman of Clearco; former CEO of Clearco;</w:t>
            </w:r>
          </w:p>
        </w:tc>
        <w:tc>
          <w:tcPr>
            <w:tcW w:w="0" w:type="dxa"/>
            <w:vAlign w:val="bottom"/>
          </w:tcPr>
          <w:p>
            <w:pPr>
              <w:spacing w:after="0"/>
              <w:rPr>
                <w:sz w:val="1"/>
                <w:szCs w:val="1"/>
                <w:color w:val="auto"/>
              </w:rPr>
            </w:pPr>
          </w:p>
        </w:tc>
      </w:tr>
      <w:tr>
        <w:trPr>
          <w:trHeight w:val="203"/>
        </w:trPr>
        <w:tc>
          <w:tcPr>
            <w:tcW w:w="2940" w:type="dxa"/>
            <w:vAlign w:val="bottom"/>
          </w:tcPr>
          <w:p>
            <w:pPr>
              <w:jc w:val="center"/>
              <w:ind w:right="113"/>
              <w:spacing w:after="0"/>
              <w:rPr>
                <w:sz w:val="20"/>
                <w:szCs w:val="20"/>
                <w:color w:val="auto"/>
              </w:rPr>
            </w:pPr>
            <w:r>
              <w:rPr>
                <w:rFonts w:ascii="Arial" w:cs="Arial" w:eastAsia="Arial" w:hAnsi="Arial"/>
                <w:sz w:val="16"/>
                <w:szCs w:val="16"/>
                <w:color w:val="032E5C"/>
              </w:rPr>
              <w:t>October 2016</w:t>
            </w:r>
          </w:p>
        </w:tc>
        <w:tc>
          <w:tcPr>
            <w:tcW w:w="7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vMerge w:val="restart"/>
          </w:tcPr>
          <w:p>
            <w:pPr>
              <w:jc w:val="center"/>
              <w:ind w:right="113"/>
              <w:spacing w:after="0"/>
              <w:rPr>
                <w:sz w:val="20"/>
                <w:szCs w:val="20"/>
                <w:color w:val="auto"/>
              </w:rPr>
            </w:pPr>
            <w:r>
              <w:rPr>
                <w:rFonts w:ascii="Arial" w:cs="Arial" w:eastAsia="Arial" w:hAnsi="Arial"/>
                <w:sz w:val="16"/>
                <w:szCs w:val="16"/>
                <w:b w:val="1"/>
                <w:bCs w:val="1"/>
                <w:color w:val="032E5C"/>
              </w:rPr>
              <w:t>Committees:</w:t>
            </w:r>
          </w:p>
        </w:tc>
        <w:tc>
          <w:tcPr>
            <w:tcW w:w="7920" w:type="dxa"/>
            <w:vAlign w:val="bottom"/>
          </w:tcPr>
          <w:p>
            <w:pPr>
              <w:jc w:val="right"/>
              <w:spacing w:after="0"/>
              <w:rPr>
                <w:sz w:val="20"/>
                <w:szCs w:val="20"/>
                <w:color w:val="auto"/>
              </w:rPr>
            </w:pPr>
            <w:r>
              <w:rPr>
                <w:rFonts w:ascii="Arial" w:cs="Arial" w:eastAsia="Arial" w:hAnsi="Arial"/>
                <w:sz w:val="16"/>
                <w:szCs w:val="16"/>
                <w:color w:val="032E5C"/>
              </w:rPr>
              <w:t>co-founder of SnapSaves (now Snap by Groupon) and former head of marketing of Snap by</w:t>
            </w:r>
          </w:p>
        </w:tc>
        <w:tc>
          <w:tcPr>
            <w:tcW w:w="0" w:type="dxa"/>
            <w:vAlign w:val="bottom"/>
          </w:tcPr>
          <w:p>
            <w:pPr>
              <w:spacing w:after="0"/>
              <w:rPr>
                <w:sz w:val="1"/>
                <w:szCs w:val="1"/>
                <w:color w:val="auto"/>
              </w:rPr>
            </w:pPr>
          </w:p>
        </w:tc>
      </w:tr>
      <w:tr>
        <w:trPr>
          <w:trHeight w:val="178"/>
        </w:trPr>
        <w:tc>
          <w:tcPr>
            <w:tcW w:w="2940" w:type="dxa"/>
            <w:vAlign w:val="bottom"/>
            <w:vMerge w:val="continue"/>
          </w:tcPr>
          <w:p>
            <w:pPr>
              <w:spacing w:after="0"/>
              <w:rPr>
                <w:sz w:val="15"/>
                <w:szCs w:val="15"/>
                <w:color w:val="auto"/>
              </w:rPr>
            </w:pPr>
          </w:p>
        </w:tc>
        <w:tc>
          <w:tcPr>
            <w:tcW w:w="7920" w:type="dxa"/>
            <w:vAlign w:val="bottom"/>
          </w:tcPr>
          <w:p>
            <w:pPr>
              <w:jc w:val="right"/>
              <w:spacing w:after="0" w:line="178" w:lineRule="exact"/>
              <w:rPr>
                <w:sz w:val="20"/>
                <w:szCs w:val="20"/>
                <w:color w:val="auto"/>
              </w:rPr>
            </w:pPr>
            <w:r>
              <w:rPr>
                <w:rFonts w:ascii="Arial" w:cs="Arial" w:eastAsia="Arial" w:hAnsi="Arial"/>
                <w:sz w:val="16"/>
                <w:szCs w:val="16"/>
                <w:color w:val="032E5C"/>
              </w:rPr>
              <w:t>Groupon; co-founder and former partner of Buytopia.ca; former director of Freshii; former director of</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0" w:type="dxa"/>
            <w:vAlign w:val="bottom"/>
          </w:tcPr>
          <w:p>
            <w:pPr>
              <w:spacing w:after="0"/>
              <w:rPr>
                <w:sz w:val="17"/>
                <w:szCs w:val="17"/>
                <w:color w:val="auto"/>
              </w:rPr>
            </w:pPr>
          </w:p>
        </w:tc>
        <w:tc>
          <w:tcPr>
            <w:tcW w:w="2220" w:type="dxa"/>
            <w:vAlign w:val="bottom"/>
          </w:tcPr>
          <w:p>
            <w:pPr>
              <w:ind w:left="440"/>
              <w:spacing w:after="0"/>
              <w:rPr>
                <w:sz w:val="20"/>
                <w:szCs w:val="20"/>
                <w:color w:val="auto"/>
              </w:rPr>
            </w:pPr>
            <w:r>
              <w:rPr>
                <w:rFonts w:ascii="Arial" w:cs="Arial" w:eastAsia="Arial" w:hAnsi="Arial"/>
                <w:sz w:val="16"/>
                <w:szCs w:val="16"/>
                <w:color w:val="032E5C"/>
              </w:rPr>
              <w:t>Compensation</w:t>
            </w:r>
          </w:p>
        </w:tc>
        <w:tc>
          <w:tcPr>
            <w:tcW w:w="8360" w:type="dxa"/>
            <w:vAlign w:val="bottom"/>
            <w:vMerge w:val="restart"/>
          </w:tcPr>
          <w:p>
            <w:pPr>
              <w:ind w:left="1040"/>
              <w:spacing w:after="0"/>
              <w:rPr>
                <w:sz w:val="20"/>
                <w:szCs w:val="20"/>
                <w:color w:val="auto"/>
              </w:rPr>
            </w:pPr>
            <w:r>
              <w:rPr>
                <w:rFonts w:ascii="Arial" w:cs="Arial" w:eastAsia="Arial" w:hAnsi="Arial"/>
                <w:sz w:val="16"/>
                <w:szCs w:val="16"/>
                <w:color w:val="032E5C"/>
              </w:rPr>
              <w:t>Whistler Blackcomb; former director of BBTV</w:t>
            </w:r>
          </w:p>
        </w:tc>
        <w:tc>
          <w:tcPr>
            <w:tcW w:w="0" w:type="dxa"/>
            <w:vAlign w:val="bottom"/>
          </w:tcPr>
          <w:p>
            <w:pPr>
              <w:spacing w:after="0"/>
              <w:rPr>
                <w:sz w:val="1"/>
                <w:szCs w:val="1"/>
                <w:color w:val="auto"/>
              </w:rPr>
            </w:pPr>
          </w:p>
        </w:tc>
      </w:tr>
      <w:tr>
        <w:trPr>
          <w:trHeight w:val="52"/>
        </w:trPr>
        <w:tc>
          <w:tcPr>
            <w:tcW w:w="6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8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9"/>
        </w:trPr>
        <w:tc>
          <w:tcPr>
            <w:tcW w:w="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360" w:type="dxa"/>
            <w:vAlign w:val="bottom"/>
          </w:tcPr>
          <w:p>
            <w:pPr>
              <w:ind w:left="720"/>
              <w:spacing w:after="0"/>
              <w:rPr>
                <w:sz w:val="20"/>
                <w:szCs w:val="20"/>
                <w:color w:val="auto"/>
              </w:rPr>
            </w:pPr>
            <w:r>
              <w:rPr>
                <w:rFonts w:ascii="Wingdings" w:cs="Wingdings" w:eastAsia="Wingdings" w:hAnsi="Wingdings"/>
                <w:sz w:val="16"/>
                <w:szCs w:val="16"/>
                <w:b w:val="1"/>
                <w:bCs w:val="1"/>
                <w:color w:val="auto"/>
                <w:w w:val="97"/>
                <w:shd w:val="clear" w:color="auto" w:fill="3E5C7C"/>
              </w:rPr>
              <w:t xml:space="preserve">à  </w:t>
            </w:r>
            <w:r>
              <w:rPr>
                <w:rFonts w:ascii="Arial" w:cs="Arial" w:eastAsia="Arial" w:hAnsi="Arial"/>
                <w:sz w:val="16"/>
                <w:szCs w:val="16"/>
                <w:b w:val="1"/>
                <w:bCs w:val="1"/>
                <w:color w:val="032E5C"/>
                <w:w w:val="97"/>
              </w:rPr>
              <w:t>Technology</w:t>
            </w:r>
            <w:r>
              <w:rPr>
                <w:rFonts w:ascii="Wingdings" w:cs="Wingdings" w:eastAsia="Wingdings" w:hAnsi="Wingdings"/>
                <w:sz w:val="16"/>
                <w:szCs w:val="16"/>
                <w:b w:val="1"/>
                <w:bCs w:val="1"/>
                <w:color w:val="auto"/>
                <w:w w:val="97"/>
                <w:shd w:val="clear" w:color="auto" w:fill="3E5C7C"/>
              </w:rPr>
              <w:t xml:space="preserve"> </w:t>
            </w:r>
            <w:r>
              <w:rPr>
                <w:rFonts w:ascii="Arial" w:cs="Arial" w:eastAsia="Arial" w:hAnsi="Arial"/>
                <w:sz w:val="16"/>
                <w:szCs w:val="16"/>
                <w:color w:val="032E5C"/>
                <w:w w:val="97"/>
              </w:rPr>
              <w:t>and</w:t>
            </w:r>
            <w:r>
              <w:rPr>
                <w:rFonts w:ascii="Wingdings" w:cs="Wingdings" w:eastAsia="Wingdings" w:hAnsi="Wingdings"/>
                <w:sz w:val="16"/>
                <w:szCs w:val="16"/>
                <w:b w:val="1"/>
                <w:bCs w:val="1"/>
                <w:color w:val="auto"/>
                <w:w w:val="97"/>
                <w:shd w:val="clear" w:color="auto" w:fill="3E5C7C"/>
              </w:rPr>
              <w:t xml:space="preserve"> </w:t>
            </w:r>
            <w:r>
              <w:rPr>
                <w:rFonts w:ascii="Arial" w:cs="Arial" w:eastAsia="Arial" w:hAnsi="Arial"/>
                <w:sz w:val="16"/>
                <w:szCs w:val="16"/>
                <w:b w:val="1"/>
                <w:bCs w:val="1"/>
                <w:color w:val="032E5C"/>
                <w:w w:val="97"/>
              </w:rPr>
              <w:t>Marketing</w:t>
            </w:r>
            <w:r>
              <w:rPr>
                <w:rFonts w:ascii="Wingdings" w:cs="Wingdings" w:eastAsia="Wingdings" w:hAnsi="Wingdings"/>
                <w:sz w:val="16"/>
                <w:szCs w:val="16"/>
                <w:b w:val="1"/>
                <w:bCs w:val="1"/>
                <w:color w:val="auto"/>
                <w:w w:val="97"/>
                <w:shd w:val="clear" w:color="auto" w:fill="3E5C7C"/>
              </w:rPr>
              <w:t xml:space="preserve"> </w:t>
            </w:r>
            <w:r>
              <w:rPr>
                <w:rFonts w:ascii="Arial" w:cs="Arial" w:eastAsia="Arial" w:hAnsi="Arial"/>
                <w:sz w:val="16"/>
                <w:szCs w:val="16"/>
                <w:color w:val="032E5C"/>
                <w:w w:val="97"/>
              </w:rPr>
              <w:t>experience—former senior marketing executive (Groupon); co-founder</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360" w:type="dxa"/>
            <w:vAlign w:val="bottom"/>
          </w:tcPr>
          <w:p>
            <w:pPr>
              <w:ind w:left="1040"/>
              <w:spacing w:after="0"/>
              <w:rPr>
                <w:sz w:val="20"/>
                <w:szCs w:val="20"/>
                <w:color w:val="auto"/>
              </w:rPr>
            </w:pPr>
            <w:r>
              <w:rPr>
                <w:rFonts w:ascii="Arial" w:cs="Arial" w:eastAsia="Arial" w:hAnsi="Arial"/>
                <w:sz w:val="16"/>
                <w:szCs w:val="16"/>
                <w:color w:val="032E5C"/>
              </w:rPr>
              <w:t>of three technology companies (Clearco, SnapSaves and Buytopia.ca)</w:t>
            </w:r>
          </w:p>
        </w:tc>
        <w:tc>
          <w:tcPr>
            <w:tcW w:w="0" w:type="dxa"/>
            <w:vAlign w:val="bottom"/>
          </w:tcPr>
          <w:p>
            <w:pPr>
              <w:spacing w:after="0"/>
              <w:rPr>
                <w:sz w:val="1"/>
                <w:szCs w:val="1"/>
                <w:color w:val="auto"/>
              </w:rPr>
            </w:pPr>
          </w:p>
        </w:tc>
      </w:tr>
      <w:tr>
        <w:trPr>
          <w:trHeight w:val="211"/>
        </w:trPr>
        <w:tc>
          <w:tcPr>
            <w:tcW w:w="660" w:type="dxa"/>
            <w:vAlign w:val="bottom"/>
            <w:tcBorders>
              <w:bottom w:val="single" w:sz="8" w:color="3E5C7C"/>
            </w:tcBorders>
          </w:tcPr>
          <w:p>
            <w:pPr>
              <w:spacing w:after="0"/>
              <w:rPr>
                <w:sz w:val="18"/>
                <w:szCs w:val="18"/>
                <w:color w:val="auto"/>
              </w:rPr>
            </w:pPr>
          </w:p>
        </w:tc>
        <w:tc>
          <w:tcPr>
            <w:tcW w:w="2220" w:type="dxa"/>
            <w:vAlign w:val="bottom"/>
            <w:tcBorders>
              <w:bottom w:val="single" w:sz="8" w:color="3E5C7C"/>
            </w:tcBorders>
          </w:tcPr>
          <w:p>
            <w:pPr>
              <w:spacing w:after="0"/>
              <w:rPr>
                <w:sz w:val="18"/>
                <w:szCs w:val="18"/>
                <w:color w:val="auto"/>
              </w:rPr>
            </w:pPr>
          </w:p>
        </w:tc>
        <w:tc>
          <w:tcPr>
            <w:tcW w:w="8360" w:type="dxa"/>
            <w:vAlign w:val="bottom"/>
            <w:tcBorders>
              <w:bottom w:val="single" w:sz="8" w:color="3E5C7C"/>
            </w:tcBorders>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60" w:type="dxa"/>
            <w:vAlign w:val="bottom"/>
          </w:tcPr>
          <w:p>
            <w:pPr>
              <w:jc w:val="right"/>
              <w:ind w:right="379"/>
              <w:spacing w:after="0"/>
              <w:rPr>
                <w:sz w:val="20"/>
                <w:szCs w:val="20"/>
                <w:color w:val="auto"/>
              </w:rPr>
            </w:pPr>
            <w:r>
              <w:rPr>
                <w:rFonts w:ascii="Arial" w:cs="Arial" w:eastAsia="Arial" w:hAnsi="Arial"/>
                <w:sz w:val="16"/>
                <w:szCs w:val="16"/>
                <w:b w:val="1"/>
                <w:bCs w:val="1"/>
                <w:color w:val="032E5C"/>
              </w:rPr>
              <w:t>20</w:t>
            </w:r>
          </w:p>
        </w:tc>
        <w:tc>
          <w:tcPr>
            <w:tcW w:w="2220" w:type="dxa"/>
            <w:vAlign w:val="bottom"/>
          </w:tcPr>
          <w:p>
            <w:pPr>
              <w:spacing w:after="0"/>
              <w:rPr>
                <w:sz w:val="24"/>
                <w:szCs w:val="24"/>
                <w:color w:val="auto"/>
              </w:rPr>
            </w:pPr>
          </w:p>
        </w:tc>
        <w:tc>
          <w:tcPr>
            <w:tcW w:w="8360" w:type="dxa"/>
            <w:vAlign w:val="bottom"/>
            <w:vMerge w:val="restart"/>
          </w:tcPr>
          <w:p>
            <w:pPr>
              <w:ind w:left="192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6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8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6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-445135</wp:posOffset>
            </wp:positionV>
            <wp:extent cx="92583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190"/>
        </w:trPr>
        <w:tc>
          <w:tcPr>
            <w:tcW w:w="5700" w:type="dxa"/>
            <w:vAlign w:val="bottom"/>
          </w:tcPr>
          <w:p>
            <w:pPr>
              <w:spacing w:after="0"/>
              <w:rPr>
                <w:sz w:val="20"/>
                <w:szCs w:val="20"/>
                <w:color w:val="auto"/>
              </w:rPr>
            </w:pPr>
            <w:r>
              <w:rPr>
                <w:rFonts w:ascii="Arial" w:cs="Arial" w:eastAsia="Arial" w:hAnsi="Arial"/>
                <w:sz w:val="14"/>
                <w:szCs w:val="14"/>
                <w:color w:val="032E5C"/>
              </w:rPr>
              <w:t>Table of Contents</w:t>
            </w:r>
          </w:p>
        </w:tc>
        <w:tc>
          <w:tcPr>
            <w:tcW w:w="538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5"/>
              </w:rPr>
              <w:t>PROPOSAL 1</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6637655</wp:posOffset>
            </wp:positionH>
            <wp:positionV relativeFrom="page">
              <wp:posOffset>106045</wp:posOffset>
            </wp:positionV>
            <wp:extent cx="702945"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294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205740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5516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551680"/>
                    </a:xfrm>
                    <a:prstGeom prst="rect">
                      <a:avLst/>
                    </a:prstGeom>
                    <a:noFill/>
                  </pic:spPr>
                </pic:pic>
              </a:graphicData>
            </a:graphic>
          </wp:anchor>
        </w:drawing>
      </w:r>
    </w:p>
    <w:p>
      <w:pPr>
        <w:spacing w:after="0" w:line="147"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2760" w:type="dxa"/>
            <w:vAlign w:val="bottom"/>
          </w:tcPr>
          <w:p>
            <w:pPr>
              <w:spacing w:after="0"/>
              <w:rPr>
                <w:sz w:val="19"/>
                <w:szCs w:val="19"/>
                <w:color w:val="auto"/>
              </w:rPr>
            </w:pPr>
          </w:p>
        </w:tc>
        <w:tc>
          <w:tcPr>
            <w:tcW w:w="7980" w:type="dxa"/>
            <w:vAlign w:val="bottom"/>
          </w:tcPr>
          <w:p>
            <w:pPr>
              <w:ind w:left="280"/>
              <w:spacing w:after="0"/>
              <w:rPr>
                <w:sz w:val="20"/>
                <w:szCs w:val="20"/>
                <w:color w:val="auto"/>
              </w:rPr>
            </w:pPr>
            <w:r>
              <w:rPr>
                <w:rFonts w:ascii="Arial" w:cs="Arial" w:eastAsia="Arial" w:hAnsi="Arial"/>
                <w:sz w:val="16"/>
                <w:szCs w:val="16"/>
                <w:b w:val="1"/>
                <w:bCs w:val="1"/>
                <w:color w:val="032E5C"/>
              </w:rPr>
              <w:t>Business Experience, Other Directorships and Qualifications</w:t>
            </w:r>
          </w:p>
        </w:tc>
        <w:tc>
          <w:tcPr>
            <w:tcW w:w="0" w:type="dxa"/>
            <w:vAlign w:val="bottom"/>
          </w:tcPr>
          <w:p>
            <w:pPr>
              <w:spacing w:after="0"/>
              <w:rPr>
                <w:sz w:val="1"/>
                <w:szCs w:val="1"/>
                <w:color w:val="auto"/>
              </w:rPr>
            </w:pPr>
          </w:p>
        </w:tc>
      </w:tr>
      <w:tr>
        <w:trPr>
          <w:trHeight w:val="317"/>
        </w:trPr>
        <w:tc>
          <w:tcPr>
            <w:tcW w:w="2760" w:type="dxa"/>
            <w:vAlign w:val="bottom"/>
          </w:tcPr>
          <w:p>
            <w:pPr>
              <w:spacing w:after="0"/>
              <w:rPr>
                <w:sz w:val="24"/>
                <w:szCs w:val="24"/>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Ms. Schneider is currently a Strategic Advisor to the Board of Directors of Shutterfly, LLC, a leading digital</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retailer and manufacturer of personalized products and services. She was Chief Executive Officer and</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Chair of the Board of Directors of Shutterfly from January 2020 to June 2023. From January 2018 to</w:t>
            </w: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November 2019 she served as CEO of Wag!, the country's largest on-demand mobile dog walking and dog</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care service. Prior to that, Ms. Schneider served as the CEO of LifeLock, Inc., a leading provider of identity</w:t>
            </w: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theft protection, identity risk assessment, and fraud protection services, a position she held from March</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2016 until the acquisition of LifeLock by Symantec in February 2017. From September 2012 to February</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2016, she served as the President of LifeLock, Inc. From March 2010 to November 2010, Ms. Schneider</w:t>
            </w: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served as Executive Vice President at Yahoo! Americas. She joined Yahoo! in September 2006 when she</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led the company’s U.S. region, Global Partner Solutions and Local Markets and Commerce divisions. Prior</w:t>
            </w:r>
          </w:p>
        </w:tc>
        <w:tc>
          <w:tcPr>
            <w:tcW w:w="0" w:type="dxa"/>
            <w:vAlign w:val="bottom"/>
          </w:tcPr>
          <w:p>
            <w:pPr>
              <w:spacing w:after="0"/>
              <w:rPr>
                <w:sz w:val="1"/>
                <w:szCs w:val="1"/>
                <w:color w:val="auto"/>
              </w:rPr>
            </w:pPr>
          </w:p>
        </w:tc>
      </w:tr>
      <w:tr>
        <w:trPr>
          <w:trHeight w:val="204"/>
        </w:trPr>
        <w:tc>
          <w:tcPr>
            <w:tcW w:w="2760" w:type="dxa"/>
            <w:vAlign w:val="bottom"/>
            <w:vMerge w:val="restart"/>
          </w:tcPr>
          <w:p>
            <w:pPr>
              <w:jc w:val="center"/>
              <w:ind w:right="194"/>
              <w:spacing w:after="0"/>
              <w:rPr>
                <w:sz w:val="20"/>
                <w:szCs w:val="20"/>
                <w:color w:val="auto"/>
              </w:rPr>
            </w:pPr>
            <w:r>
              <w:rPr>
                <w:rFonts w:ascii="Arial" w:cs="Arial" w:eastAsia="Arial" w:hAnsi="Arial"/>
                <w:sz w:val="25"/>
                <w:szCs w:val="25"/>
                <w:b w:val="1"/>
                <w:bCs w:val="1"/>
                <w:color w:val="032E5C"/>
              </w:rPr>
              <w:t>HILARY SCHNEIDER</w:t>
            </w:r>
          </w:p>
        </w:tc>
        <w:tc>
          <w:tcPr>
            <w:tcW w:w="7980" w:type="dxa"/>
            <w:vAlign w:val="bottom"/>
          </w:tcPr>
          <w:p>
            <w:pPr>
              <w:ind w:left="280"/>
              <w:spacing w:after="0"/>
              <w:rPr>
                <w:sz w:val="20"/>
                <w:szCs w:val="20"/>
                <w:color w:val="auto"/>
              </w:rPr>
            </w:pPr>
            <w:r>
              <w:rPr>
                <w:rFonts w:ascii="Arial" w:cs="Arial" w:eastAsia="Arial" w:hAnsi="Arial"/>
                <w:sz w:val="16"/>
                <w:szCs w:val="16"/>
                <w:color w:val="032E5C"/>
              </w:rPr>
              <w:t>to joining Yahoo!, she held senior leadership roles at Knight Ridder, Inc., from April 2002 to January 2005,</w:t>
            </w:r>
          </w:p>
        </w:tc>
        <w:tc>
          <w:tcPr>
            <w:tcW w:w="0" w:type="dxa"/>
            <w:vAlign w:val="bottom"/>
          </w:tcPr>
          <w:p>
            <w:pPr>
              <w:spacing w:after="0"/>
              <w:rPr>
                <w:sz w:val="1"/>
                <w:szCs w:val="1"/>
                <w:color w:val="auto"/>
              </w:rPr>
            </w:pPr>
          </w:p>
        </w:tc>
      </w:tr>
      <w:tr>
        <w:trPr>
          <w:trHeight w:val="215"/>
        </w:trPr>
        <w:tc>
          <w:tcPr>
            <w:tcW w:w="2760" w:type="dxa"/>
            <w:vAlign w:val="bottom"/>
            <w:vMerge w:val="continue"/>
          </w:tcPr>
          <w:p>
            <w:pPr>
              <w:spacing w:after="0"/>
              <w:rPr>
                <w:sz w:val="18"/>
                <w:szCs w:val="18"/>
                <w:color w:val="auto"/>
              </w:rPr>
            </w:pPr>
          </w:p>
        </w:tc>
        <w:tc>
          <w:tcPr>
            <w:tcW w:w="7980" w:type="dxa"/>
            <w:vAlign w:val="bottom"/>
          </w:tcPr>
          <w:p>
            <w:pPr>
              <w:ind w:left="280"/>
              <w:spacing w:after="0"/>
              <w:rPr>
                <w:sz w:val="20"/>
                <w:szCs w:val="20"/>
                <w:color w:val="auto"/>
              </w:rPr>
            </w:pPr>
            <w:r>
              <w:rPr>
                <w:rFonts w:ascii="Arial" w:cs="Arial" w:eastAsia="Arial" w:hAnsi="Arial"/>
                <w:sz w:val="16"/>
                <w:szCs w:val="16"/>
                <w:color w:val="032E5C"/>
              </w:rPr>
              <w:t>including Chief Executive Officer of Knight Ridder Digital before moving to co-manage the company's</w:t>
            </w:r>
          </w:p>
        </w:tc>
        <w:tc>
          <w:tcPr>
            <w:tcW w:w="0" w:type="dxa"/>
            <w:vAlign w:val="bottom"/>
          </w:tcPr>
          <w:p>
            <w:pPr>
              <w:spacing w:after="0"/>
              <w:rPr>
                <w:sz w:val="1"/>
                <w:szCs w:val="1"/>
                <w:color w:val="auto"/>
              </w:rPr>
            </w:pPr>
          </w:p>
        </w:tc>
      </w:tr>
      <w:tr>
        <w:trPr>
          <w:trHeight w:val="204"/>
        </w:trPr>
        <w:tc>
          <w:tcPr>
            <w:tcW w:w="2760" w:type="dxa"/>
            <w:vAlign w:val="bottom"/>
            <w:vMerge w:val="restart"/>
          </w:tcPr>
          <w:p>
            <w:pPr>
              <w:jc w:val="center"/>
              <w:ind w:right="194"/>
              <w:spacing w:after="0"/>
              <w:rPr>
                <w:sz w:val="20"/>
                <w:szCs w:val="20"/>
                <w:color w:val="auto"/>
              </w:rPr>
            </w:pPr>
            <w:r>
              <w:rPr>
                <w:rFonts w:ascii="Arial" w:cs="Arial" w:eastAsia="Arial" w:hAnsi="Arial"/>
                <w:sz w:val="16"/>
                <w:szCs w:val="16"/>
                <w:color w:val="032E5C"/>
              </w:rPr>
              <w:t>Strategic Advisor to the Board,</w:t>
            </w:r>
          </w:p>
        </w:tc>
        <w:tc>
          <w:tcPr>
            <w:tcW w:w="7980" w:type="dxa"/>
            <w:vAlign w:val="bottom"/>
          </w:tcPr>
          <w:p>
            <w:pPr>
              <w:ind w:left="280"/>
              <w:spacing w:after="0"/>
              <w:rPr>
                <w:sz w:val="20"/>
                <w:szCs w:val="20"/>
                <w:color w:val="auto"/>
              </w:rPr>
            </w:pPr>
            <w:r>
              <w:rPr>
                <w:rFonts w:ascii="Arial" w:cs="Arial" w:eastAsia="Arial" w:hAnsi="Arial"/>
                <w:sz w:val="16"/>
                <w:szCs w:val="16"/>
                <w:color w:val="032E5C"/>
              </w:rPr>
              <w:t>overall newspaper and online business. From 2000 to 2002, Ms. Schneider served as President and CEO</w:t>
            </w:r>
          </w:p>
        </w:tc>
        <w:tc>
          <w:tcPr>
            <w:tcW w:w="0" w:type="dxa"/>
            <w:vAlign w:val="bottom"/>
          </w:tcPr>
          <w:p>
            <w:pPr>
              <w:spacing w:after="0"/>
              <w:rPr>
                <w:sz w:val="1"/>
                <w:szCs w:val="1"/>
                <w:color w:val="auto"/>
              </w:rPr>
            </w:pPr>
          </w:p>
        </w:tc>
      </w:tr>
      <w:tr>
        <w:trPr>
          <w:trHeight w:val="80"/>
        </w:trPr>
        <w:tc>
          <w:tcPr>
            <w:tcW w:w="2760" w:type="dxa"/>
            <w:vAlign w:val="bottom"/>
            <w:vMerge w:val="continue"/>
          </w:tcPr>
          <w:p>
            <w:pPr>
              <w:spacing w:after="0"/>
              <w:rPr>
                <w:sz w:val="6"/>
                <w:szCs w:val="6"/>
                <w:color w:val="auto"/>
              </w:rPr>
            </w:pPr>
          </w:p>
        </w:tc>
        <w:tc>
          <w:tcPr>
            <w:tcW w:w="7980" w:type="dxa"/>
            <w:vAlign w:val="bottom"/>
            <w:vMerge w:val="restart"/>
          </w:tcPr>
          <w:p>
            <w:pPr>
              <w:ind w:left="280"/>
              <w:spacing w:after="0"/>
              <w:rPr>
                <w:sz w:val="20"/>
                <w:szCs w:val="20"/>
                <w:color w:val="auto"/>
              </w:rPr>
            </w:pPr>
            <w:r>
              <w:rPr>
                <w:rFonts w:ascii="Arial" w:cs="Arial" w:eastAsia="Arial" w:hAnsi="Arial"/>
                <w:sz w:val="16"/>
                <w:szCs w:val="16"/>
                <w:color w:val="032E5C"/>
              </w:rPr>
              <w:t>of Red Herring Communications. She also held numerous roles at Times Mirror from 1990 through 2000,</w:t>
            </w:r>
          </w:p>
        </w:tc>
        <w:tc>
          <w:tcPr>
            <w:tcW w:w="0" w:type="dxa"/>
            <w:vAlign w:val="bottom"/>
          </w:tcPr>
          <w:p>
            <w:pPr>
              <w:spacing w:after="0"/>
              <w:rPr>
                <w:sz w:val="1"/>
                <w:szCs w:val="1"/>
                <w:color w:val="auto"/>
              </w:rPr>
            </w:pPr>
          </w:p>
        </w:tc>
      </w:tr>
      <w:tr>
        <w:trPr>
          <w:trHeight w:val="135"/>
        </w:trPr>
        <w:tc>
          <w:tcPr>
            <w:tcW w:w="2760" w:type="dxa"/>
            <w:vAlign w:val="bottom"/>
            <w:vMerge w:val="restart"/>
          </w:tcPr>
          <w:p>
            <w:pPr>
              <w:jc w:val="center"/>
              <w:ind w:right="174"/>
              <w:spacing w:after="0"/>
              <w:rPr>
                <w:sz w:val="20"/>
                <w:szCs w:val="20"/>
                <w:color w:val="auto"/>
              </w:rPr>
            </w:pPr>
            <w:r>
              <w:rPr>
                <w:rFonts w:ascii="Arial" w:cs="Arial" w:eastAsia="Arial" w:hAnsi="Arial"/>
                <w:sz w:val="16"/>
                <w:szCs w:val="16"/>
                <w:color w:val="032E5C"/>
              </w:rPr>
              <w:t>Shutterfly, LLC</w:t>
            </w:r>
          </w:p>
        </w:tc>
        <w:tc>
          <w:tcPr>
            <w:tcW w:w="7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760" w:type="dxa"/>
            <w:vAlign w:val="bottom"/>
            <w:vMerge w:val="continue"/>
          </w:tcPr>
          <w:p>
            <w:pPr>
              <w:spacing w:after="0"/>
              <w:rPr>
                <w:sz w:val="7"/>
                <w:szCs w:val="7"/>
                <w:color w:val="auto"/>
              </w:rPr>
            </w:pPr>
          </w:p>
        </w:tc>
        <w:tc>
          <w:tcPr>
            <w:tcW w:w="7980" w:type="dxa"/>
            <w:vAlign w:val="bottom"/>
            <w:vMerge w:val="restart"/>
          </w:tcPr>
          <w:p>
            <w:pPr>
              <w:ind w:left="280"/>
              <w:spacing w:after="0"/>
              <w:rPr>
                <w:sz w:val="20"/>
                <w:szCs w:val="20"/>
                <w:color w:val="auto"/>
              </w:rPr>
            </w:pPr>
            <w:r>
              <w:rPr>
                <w:rFonts w:ascii="Arial" w:cs="Arial" w:eastAsia="Arial" w:hAnsi="Arial"/>
                <w:sz w:val="16"/>
                <w:szCs w:val="16"/>
                <w:color w:val="032E5C"/>
              </w:rPr>
              <w:t>including President and CEO of Times Mirror Interactive and General Manager of the Baltimore Sun. Ms.</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7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760" w:type="dxa"/>
            <w:vAlign w:val="bottom"/>
          </w:tcPr>
          <w:p>
            <w:pPr>
              <w:jc w:val="center"/>
              <w:ind w:right="194"/>
              <w:spacing w:after="0"/>
              <w:rPr>
                <w:sz w:val="20"/>
                <w:szCs w:val="20"/>
                <w:color w:val="auto"/>
              </w:rPr>
            </w:pPr>
            <w:r>
              <w:rPr>
                <w:rFonts w:ascii="Arial" w:cs="Arial" w:eastAsia="Arial" w:hAnsi="Arial"/>
                <w:sz w:val="16"/>
                <w:szCs w:val="16"/>
                <w:b w:val="1"/>
                <w:bCs w:val="1"/>
                <w:color w:val="032E5C"/>
              </w:rPr>
              <w:t>Independent</w:t>
            </w:r>
          </w:p>
        </w:tc>
        <w:tc>
          <w:tcPr>
            <w:tcW w:w="7980" w:type="dxa"/>
            <w:vAlign w:val="bottom"/>
          </w:tcPr>
          <w:p>
            <w:pPr>
              <w:ind w:left="280"/>
              <w:spacing w:after="0"/>
              <w:rPr>
                <w:sz w:val="20"/>
                <w:szCs w:val="20"/>
                <w:color w:val="auto"/>
              </w:rPr>
            </w:pPr>
            <w:r>
              <w:rPr>
                <w:rFonts w:ascii="Arial" w:cs="Arial" w:eastAsia="Arial" w:hAnsi="Arial"/>
                <w:sz w:val="16"/>
                <w:szCs w:val="16"/>
                <w:color w:val="032E5C"/>
              </w:rPr>
              <w:t>Schneider serves on the board of directors of DigitalOcean, Inc., a cloud-based service provider, Sleep</w:t>
            </w:r>
          </w:p>
        </w:tc>
        <w:tc>
          <w:tcPr>
            <w:tcW w:w="0" w:type="dxa"/>
            <w:vAlign w:val="bottom"/>
          </w:tcPr>
          <w:p>
            <w:pPr>
              <w:spacing w:after="0"/>
              <w:rPr>
                <w:sz w:val="1"/>
                <w:szCs w:val="1"/>
                <w:color w:val="auto"/>
              </w:rPr>
            </w:pPr>
          </w:p>
        </w:tc>
      </w:tr>
      <w:tr>
        <w:trPr>
          <w:trHeight w:val="215"/>
        </w:trPr>
        <w:tc>
          <w:tcPr>
            <w:tcW w:w="2760" w:type="dxa"/>
            <w:vAlign w:val="bottom"/>
            <w:vMerge w:val="restart"/>
          </w:tcPr>
          <w:p>
            <w:pPr>
              <w:jc w:val="center"/>
              <w:ind w:right="174"/>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63</w:t>
            </w:r>
          </w:p>
        </w:tc>
        <w:tc>
          <w:tcPr>
            <w:tcW w:w="7980" w:type="dxa"/>
            <w:vAlign w:val="bottom"/>
          </w:tcPr>
          <w:p>
            <w:pPr>
              <w:ind w:left="280"/>
              <w:spacing w:after="0"/>
              <w:rPr>
                <w:sz w:val="20"/>
                <w:szCs w:val="20"/>
                <w:color w:val="auto"/>
              </w:rPr>
            </w:pPr>
            <w:r>
              <w:rPr>
                <w:rFonts w:ascii="Arial" w:cs="Arial" w:eastAsia="Arial" w:hAnsi="Arial"/>
                <w:sz w:val="16"/>
                <w:szCs w:val="16"/>
                <w:color w:val="032E5C"/>
              </w:rPr>
              <w:t>Number Corporation, a wellness technology company, Getty Images, Inc. a visual media company,</w:t>
            </w:r>
          </w:p>
        </w:tc>
        <w:tc>
          <w:tcPr>
            <w:tcW w:w="0" w:type="dxa"/>
            <w:vAlign w:val="bottom"/>
          </w:tcPr>
          <w:p>
            <w:pPr>
              <w:spacing w:after="0"/>
              <w:rPr>
                <w:sz w:val="1"/>
                <w:szCs w:val="1"/>
                <w:color w:val="auto"/>
              </w:rPr>
            </w:pPr>
          </w:p>
        </w:tc>
      </w:tr>
      <w:tr>
        <w:trPr>
          <w:trHeight w:val="143"/>
        </w:trPr>
        <w:tc>
          <w:tcPr>
            <w:tcW w:w="2760" w:type="dxa"/>
            <w:vAlign w:val="bottom"/>
            <w:vMerge w:val="continue"/>
          </w:tcPr>
          <w:p>
            <w:pPr>
              <w:spacing w:after="0"/>
              <w:rPr>
                <w:sz w:val="12"/>
                <w:szCs w:val="12"/>
                <w:color w:val="auto"/>
              </w:rPr>
            </w:pPr>
          </w:p>
        </w:tc>
        <w:tc>
          <w:tcPr>
            <w:tcW w:w="7980" w:type="dxa"/>
            <w:vAlign w:val="bottom"/>
            <w:vMerge w:val="restart"/>
          </w:tcPr>
          <w:p>
            <w:pPr>
              <w:ind w:left="280"/>
              <w:spacing w:after="0"/>
              <w:rPr>
                <w:sz w:val="20"/>
                <w:szCs w:val="20"/>
                <w:color w:val="auto"/>
              </w:rPr>
            </w:pPr>
            <w:r>
              <w:rPr>
                <w:rFonts w:ascii="Arial" w:cs="Arial" w:eastAsia="Arial" w:hAnsi="Arial"/>
                <w:sz w:val="16"/>
                <w:szCs w:val="16"/>
                <w:color w:val="032E5C"/>
              </w:rPr>
              <w:t>Water.org,  a  non-profit  organization,  and  the  American  Journalism  Project,  a  local  news  venture</w:t>
            </w:r>
          </w:p>
        </w:tc>
        <w:tc>
          <w:tcPr>
            <w:tcW w:w="0" w:type="dxa"/>
            <w:vAlign w:val="bottom"/>
          </w:tcPr>
          <w:p>
            <w:pPr>
              <w:spacing w:after="0"/>
              <w:rPr>
                <w:sz w:val="1"/>
                <w:szCs w:val="1"/>
                <w:color w:val="auto"/>
              </w:rPr>
            </w:pPr>
          </w:p>
        </w:tc>
      </w:tr>
      <w:tr>
        <w:trPr>
          <w:trHeight w:val="61"/>
        </w:trPr>
        <w:tc>
          <w:tcPr>
            <w:tcW w:w="2760" w:type="dxa"/>
            <w:vAlign w:val="bottom"/>
          </w:tcPr>
          <w:p>
            <w:pPr>
              <w:spacing w:after="0"/>
              <w:rPr>
                <w:sz w:val="5"/>
                <w:szCs w:val="5"/>
                <w:color w:val="auto"/>
              </w:rPr>
            </w:pPr>
          </w:p>
        </w:tc>
        <w:tc>
          <w:tcPr>
            <w:tcW w:w="7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760" w:type="dxa"/>
            <w:vAlign w:val="bottom"/>
            <w:vMerge w:val="restart"/>
          </w:tcPr>
          <w:p>
            <w:pPr>
              <w:jc w:val="center"/>
              <w:ind w:right="174"/>
              <w:spacing w:after="0"/>
              <w:rPr>
                <w:sz w:val="20"/>
                <w:szCs w:val="20"/>
                <w:color w:val="auto"/>
              </w:rPr>
            </w:pPr>
            <w:r>
              <w:rPr>
                <w:rFonts w:ascii="Arial" w:cs="Arial" w:eastAsia="Arial" w:hAnsi="Arial"/>
                <w:sz w:val="16"/>
                <w:szCs w:val="16"/>
                <w:b w:val="1"/>
                <w:bCs w:val="1"/>
                <w:color w:val="032E5C"/>
              </w:rPr>
              <w:t>Director Since:</w:t>
            </w:r>
          </w:p>
        </w:tc>
        <w:tc>
          <w:tcPr>
            <w:tcW w:w="7980" w:type="dxa"/>
            <w:vAlign w:val="bottom"/>
          </w:tcPr>
          <w:p>
            <w:pPr>
              <w:ind w:left="280"/>
              <w:spacing w:after="0"/>
              <w:rPr>
                <w:sz w:val="20"/>
                <w:szCs w:val="20"/>
                <w:color w:val="auto"/>
              </w:rPr>
            </w:pPr>
            <w:r>
              <w:rPr>
                <w:rFonts w:ascii="Arial" w:cs="Arial" w:eastAsia="Arial" w:hAnsi="Arial"/>
                <w:sz w:val="16"/>
                <w:szCs w:val="16"/>
                <w:color w:val="032E5C"/>
              </w:rPr>
              <w:t>philanthropy. Ms. Schneider was also previously a member of the board of directors of LifeLock, Inc. and</w:t>
            </w:r>
          </w:p>
        </w:tc>
        <w:tc>
          <w:tcPr>
            <w:tcW w:w="0" w:type="dxa"/>
            <w:vAlign w:val="bottom"/>
          </w:tcPr>
          <w:p>
            <w:pPr>
              <w:spacing w:after="0"/>
              <w:rPr>
                <w:sz w:val="1"/>
                <w:szCs w:val="1"/>
                <w:color w:val="auto"/>
              </w:rPr>
            </w:pPr>
          </w:p>
        </w:tc>
      </w:tr>
      <w:tr>
        <w:trPr>
          <w:trHeight w:val="55"/>
        </w:trPr>
        <w:tc>
          <w:tcPr>
            <w:tcW w:w="2760" w:type="dxa"/>
            <w:vAlign w:val="bottom"/>
            <w:vMerge w:val="continue"/>
          </w:tcPr>
          <w:p>
            <w:pPr>
              <w:spacing w:after="0"/>
              <w:rPr>
                <w:sz w:val="4"/>
                <w:szCs w:val="4"/>
                <w:color w:val="auto"/>
              </w:rPr>
            </w:pPr>
          </w:p>
        </w:tc>
        <w:tc>
          <w:tcPr>
            <w:tcW w:w="7980" w:type="dxa"/>
            <w:vAlign w:val="bottom"/>
            <w:vMerge w:val="restart"/>
          </w:tcPr>
          <w:p>
            <w:pPr>
              <w:ind w:left="280"/>
              <w:spacing w:after="0"/>
              <w:rPr>
                <w:sz w:val="20"/>
                <w:szCs w:val="20"/>
                <w:color w:val="auto"/>
              </w:rPr>
            </w:pPr>
            <w:r>
              <w:rPr>
                <w:rFonts w:ascii="Arial" w:cs="Arial" w:eastAsia="Arial" w:hAnsi="Arial"/>
                <w:sz w:val="16"/>
                <w:szCs w:val="16"/>
                <w:color w:val="032E5C"/>
              </w:rPr>
              <w:t>SendGrid, Inc.</w:t>
            </w:r>
          </w:p>
        </w:tc>
        <w:tc>
          <w:tcPr>
            <w:tcW w:w="0" w:type="dxa"/>
            <w:vAlign w:val="bottom"/>
          </w:tcPr>
          <w:p>
            <w:pPr>
              <w:spacing w:after="0"/>
              <w:rPr>
                <w:sz w:val="1"/>
                <w:szCs w:val="1"/>
                <w:color w:val="auto"/>
              </w:rPr>
            </w:pPr>
          </w:p>
        </w:tc>
      </w:tr>
      <w:tr>
        <w:trPr>
          <w:trHeight w:val="161"/>
        </w:trPr>
        <w:tc>
          <w:tcPr>
            <w:tcW w:w="2760" w:type="dxa"/>
            <w:vAlign w:val="bottom"/>
            <w:vMerge w:val="restart"/>
          </w:tcPr>
          <w:p>
            <w:pPr>
              <w:jc w:val="center"/>
              <w:ind w:right="174"/>
              <w:spacing w:after="0"/>
              <w:rPr>
                <w:sz w:val="20"/>
                <w:szCs w:val="20"/>
                <w:color w:val="auto"/>
              </w:rPr>
            </w:pPr>
            <w:r>
              <w:rPr>
                <w:rFonts w:ascii="Arial" w:cs="Arial" w:eastAsia="Arial" w:hAnsi="Arial"/>
                <w:sz w:val="16"/>
                <w:szCs w:val="16"/>
                <w:color w:val="032E5C"/>
              </w:rPr>
              <w:t>March 2010</w:t>
            </w:r>
          </w:p>
        </w:tc>
        <w:tc>
          <w:tcPr>
            <w:tcW w:w="7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760" w:type="dxa"/>
            <w:vAlign w:val="bottom"/>
            <w:vMerge w:val="continue"/>
          </w:tcPr>
          <w:p>
            <w:pPr>
              <w:spacing w:after="0"/>
              <w:rPr>
                <w:sz w:val="4"/>
                <w:szCs w:val="4"/>
                <w:color w:val="auto"/>
              </w:rPr>
            </w:pPr>
          </w:p>
        </w:tc>
        <w:tc>
          <w:tcPr>
            <w:tcW w:w="7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2760" w:type="dxa"/>
            <w:vAlign w:val="bottom"/>
          </w:tcPr>
          <w:p>
            <w:pPr>
              <w:jc w:val="center"/>
              <w:ind w:right="174"/>
              <w:spacing w:after="0"/>
              <w:rPr>
                <w:sz w:val="20"/>
                <w:szCs w:val="20"/>
                <w:color w:val="auto"/>
              </w:rPr>
            </w:pPr>
            <w:r>
              <w:rPr>
                <w:rFonts w:ascii="Arial" w:cs="Arial" w:eastAsia="Arial" w:hAnsi="Arial"/>
                <w:sz w:val="16"/>
                <w:szCs w:val="16"/>
                <w:b w:val="1"/>
                <w:bCs w:val="1"/>
                <w:color w:val="032E5C"/>
              </w:rPr>
              <w:t>Committees:</w:t>
            </w:r>
          </w:p>
        </w:tc>
        <w:tc>
          <w:tcPr>
            <w:tcW w:w="7980" w:type="dxa"/>
            <w:vAlign w:val="bottom"/>
          </w:tcPr>
          <w:p>
            <w:pPr>
              <w:ind w:left="280"/>
              <w:spacing w:after="0"/>
              <w:rPr>
                <w:sz w:val="20"/>
                <w:szCs w:val="20"/>
                <w:color w:val="auto"/>
              </w:rPr>
            </w:pPr>
            <w:r>
              <w:rPr>
                <w:rFonts w:ascii="Arial" w:cs="Arial" w:eastAsia="Arial" w:hAnsi="Arial"/>
                <w:sz w:val="16"/>
                <w:szCs w:val="16"/>
                <w:b w:val="1"/>
                <w:bCs w:val="1"/>
                <w:color w:val="032E5C"/>
              </w:rPr>
              <w:t>Key Skills and Qualifications:</w:t>
            </w:r>
          </w:p>
        </w:tc>
        <w:tc>
          <w:tcPr>
            <w:tcW w:w="0" w:type="dxa"/>
            <w:vAlign w:val="bottom"/>
          </w:tcPr>
          <w:p>
            <w:pPr>
              <w:spacing w:after="0"/>
              <w:rPr>
                <w:sz w:val="1"/>
                <w:szCs w:val="1"/>
                <w:color w:val="auto"/>
              </w:rPr>
            </w:pPr>
          </w:p>
        </w:tc>
      </w:tr>
      <w:tr>
        <w:trPr>
          <w:trHeight w:val="215"/>
        </w:trPr>
        <w:tc>
          <w:tcPr>
            <w:tcW w:w="2760" w:type="dxa"/>
            <w:vAlign w:val="bottom"/>
          </w:tcPr>
          <w:p>
            <w:pPr>
              <w:jc w:val="center"/>
              <w:ind w:right="174"/>
              <w:spacing w:after="0"/>
              <w:rPr>
                <w:sz w:val="20"/>
                <w:szCs w:val="20"/>
                <w:color w:val="auto"/>
              </w:rPr>
            </w:pPr>
            <w:r>
              <w:rPr>
                <w:rFonts w:ascii="Arial" w:cs="Arial" w:eastAsia="Arial" w:hAnsi="Arial"/>
                <w:sz w:val="16"/>
                <w:szCs w:val="16"/>
                <w:color w:val="032E5C"/>
              </w:rPr>
              <w:t>Compensation</w:t>
            </w:r>
          </w:p>
        </w:tc>
        <w:tc>
          <w:tcPr>
            <w:tcW w:w="7980" w:type="dxa"/>
            <w:vAlign w:val="bottom"/>
            <w:vMerge w:val="restart"/>
          </w:tcPr>
          <w:p>
            <w:pPr>
              <w:ind w:left="460"/>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b w:val="1"/>
                <w:bCs w:val="1"/>
                <w:color w:val="032E5C"/>
              </w:rPr>
              <w:t>Leadership</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experience—former  CEO  of  leading  digital  retailer  and  personalized  products</w:t>
            </w:r>
          </w:p>
        </w:tc>
        <w:tc>
          <w:tcPr>
            <w:tcW w:w="0" w:type="dxa"/>
            <w:vAlign w:val="bottom"/>
          </w:tcPr>
          <w:p>
            <w:pPr>
              <w:spacing w:after="0"/>
              <w:rPr>
                <w:sz w:val="1"/>
                <w:szCs w:val="1"/>
                <w:color w:val="auto"/>
              </w:rPr>
            </w:pPr>
          </w:p>
        </w:tc>
      </w:tr>
      <w:tr>
        <w:trPr>
          <w:trHeight w:val="62"/>
        </w:trPr>
        <w:tc>
          <w:tcPr>
            <w:tcW w:w="2760" w:type="dxa"/>
            <w:vAlign w:val="bottom"/>
          </w:tcPr>
          <w:p>
            <w:pPr>
              <w:spacing w:after="0"/>
              <w:rPr>
                <w:sz w:val="5"/>
                <w:szCs w:val="5"/>
                <w:color w:val="auto"/>
              </w:rPr>
            </w:pPr>
          </w:p>
        </w:tc>
        <w:tc>
          <w:tcPr>
            <w:tcW w:w="7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80" w:type="dxa"/>
            <w:vAlign w:val="bottom"/>
            <w:vMerge w:val="restart"/>
          </w:tcPr>
          <w:p>
            <w:pPr>
              <w:jc w:val="center"/>
              <w:spacing w:after="0"/>
              <w:rPr>
                <w:sz w:val="20"/>
                <w:szCs w:val="20"/>
                <w:color w:val="auto"/>
              </w:rPr>
            </w:pPr>
            <w:r>
              <w:rPr>
                <w:rFonts w:ascii="Arial" w:cs="Arial" w:eastAsia="Arial" w:hAnsi="Arial"/>
                <w:sz w:val="16"/>
                <w:szCs w:val="16"/>
                <w:b w:val="1"/>
                <w:bCs w:val="1"/>
                <w:color w:val="032E5C"/>
              </w:rPr>
              <w:t>Current Public Directorships:</w:t>
            </w:r>
          </w:p>
        </w:tc>
        <w:tc>
          <w:tcPr>
            <w:tcW w:w="7860" w:type="dxa"/>
            <w:vAlign w:val="bottom"/>
          </w:tcPr>
          <w:p>
            <w:pPr>
              <w:ind w:left="740"/>
              <w:spacing w:after="0"/>
              <w:rPr>
                <w:sz w:val="20"/>
                <w:szCs w:val="20"/>
                <w:color w:val="auto"/>
              </w:rPr>
            </w:pPr>
            <w:r>
              <w:rPr>
                <w:rFonts w:ascii="Arial" w:cs="Arial" w:eastAsia="Arial" w:hAnsi="Arial"/>
                <w:sz w:val="16"/>
                <w:szCs w:val="16"/>
                <w:color w:val="032E5C"/>
              </w:rPr>
              <w:t>manufacturer (Shutterfly, LLC), former CEO of an on-demand dog walking and dog care company</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3180" w:type="dxa"/>
            <w:vAlign w:val="bottom"/>
            <w:vMerge w:val="continue"/>
          </w:tcPr>
          <w:p>
            <w:pPr>
              <w:spacing w:after="0"/>
              <w:rPr>
                <w:sz w:val="7"/>
                <w:szCs w:val="7"/>
                <w:color w:val="auto"/>
              </w:rPr>
            </w:pPr>
          </w:p>
        </w:tc>
        <w:tc>
          <w:tcPr>
            <w:tcW w:w="8060" w:type="dxa"/>
            <w:vAlign w:val="bottom"/>
            <w:gridSpan w:val="2"/>
            <w:vMerge w:val="restart"/>
          </w:tcPr>
          <w:p>
            <w:pPr>
              <w:ind w:left="740"/>
              <w:spacing w:after="0"/>
              <w:rPr>
                <w:sz w:val="20"/>
                <w:szCs w:val="20"/>
                <w:color w:val="auto"/>
              </w:rPr>
            </w:pPr>
            <w:r>
              <w:rPr>
                <w:rFonts w:ascii="Arial" w:cs="Arial" w:eastAsia="Arial" w:hAnsi="Arial"/>
                <w:sz w:val="16"/>
                <w:szCs w:val="16"/>
                <w:color w:val="032E5C"/>
              </w:rPr>
              <w:t>(Wag!), former director, President and CEO of large public identity and fraud protection company</w:t>
            </w:r>
          </w:p>
        </w:tc>
        <w:tc>
          <w:tcPr>
            <w:tcW w:w="0" w:type="dxa"/>
            <w:vAlign w:val="bottom"/>
          </w:tcPr>
          <w:p>
            <w:pPr>
              <w:spacing w:after="0"/>
              <w:rPr>
                <w:sz w:val="1"/>
                <w:szCs w:val="1"/>
                <w:color w:val="auto"/>
              </w:rPr>
            </w:pPr>
          </w:p>
        </w:tc>
      </w:tr>
      <w:tr>
        <w:trPr>
          <w:trHeight w:val="134"/>
        </w:trPr>
        <w:tc>
          <w:tcPr>
            <w:tcW w:w="3180" w:type="dxa"/>
            <w:vAlign w:val="bottom"/>
            <w:vMerge w:val="restart"/>
          </w:tcPr>
          <w:p>
            <w:pPr>
              <w:jc w:val="center"/>
              <w:spacing w:after="0"/>
              <w:rPr>
                <w:sz w:val="20"/>
                <w:szCs w:val="20"/>
                <w:color w:val="auto"/>
              </w:rPr>
            </w:pPr>
            <w:r>
              <w:rPr>
                <w:rFonts w:ascii="Arial" w:cs="Arial" w:eastAsia="Arial" w:hAnsi="Arial"/>
                <w:sz w:val="16"/>
                <w:szCs w:val="16"/>
                <w:color w:val="032E5C"/>
              </w:rPr>
              <w:t>DigitalOcean, Inc.</w:t>
            </w:r>
          </w:p>
        </w:tc>
        <w:tc>
          <w:tcPr>
            <w:tcW w:w="8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180" w:type="dxa"/>
            <w:vAlign w:val="bottom"/>
            <w:vMerge w:val="continue"/>
          </w:tcPr>
          <w:p>
            <w:pPr>
              <w:spacing w:after="0"/>
              <w:rPr>
                <w:sz w:val="5"/>
                <w:szCs w:val="5"/>
                <w:color w:val="auto"/>
              </w:rPr>
            </w:pPr>
          </w:p>
        </w:tc>
        <w:tc>
          <w:tcPr>
            <w:tcW w:w="7860" w:type="dxa"/>
            <w:vAlign w:val="bottom"/>
            <w:vMerge w:val="restart"/>
          </w:tcPr>
          <w:p>
            <w:pPr>
              <w:ind w:left="740"/>
              <w:spacing w:after="0"/>
              <w:rPr>
                <w:sz w:val="20"/>
                <w:szCs w:val="20"/>
                <w:color w:val="auto"/>
              </w:rPr>
            </w:pPr>
            <w:r>
              <w:rPr>
                <w:rFonts w:ascii="Arial" w:cs="Arial" w:eastAsia="Arial" w:hAnsi="Arial"/>
                <w:sz w:val="16"/>
                <w:szCs w:val="16"/>
                <w:color w:val="032E5C"/>
              </w:rPr>
              <w:t>(LifeLock); leadership positions at large public global technology company (Yahoo!)</w:t>
            </w: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180" w:type="dxa"/>
            <w:vAlign w:val="bottom"/>
            <w:vMerge w:val="restart"/>
          </w:tcPr>
          <w:p>
            <w:pPr>
              <w:jc w:val="center"/>
              <w:spacing w:after="0"/>
              <w:rPr>
                <w:sz w:val="20"/>
                <w:szCs w:val="20"/>
                <w:color w:val="auto"/>
              </w:rPr>
            </w:pPr>
            <w:r>
              <w:rPr>
                <w:rFonts w:ascii="Arial" w:cs="Arial" w:eastAsia="Arial" w:hAnsi="Arial"/>
                <w:sz w:val="16"/>
                <w:szCs w:val="16"/>
                <w:color w:val="032E5C"/>
              </w:rPr>
              <w:t>Sleep Number Corporation</w:t>
            </w:r>
          </w:p>
        </w:tc>
        <w:tc>
          <w:tcPr>
            <w:tcW w:w="7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80" w:type="dxa"/>
            <w:vAlign w:val="bottom"/>
            <w:vMerge w:val="continue"/>
          </w:tcPr>
          <w:p>
            <w:pPr>
              <w:spacing w:after="0"/>
              <w:rPr>
                <w:sz w:val="5"/>
                <w:szCs w:val="5"/>
                <w:color w:val="auto"/>
              </w:rPr>
            </w:pPr>
          </w:p>
        </w:tc>
        <w:tc>
          <w:tcPr>
            <w:tcW w:w="7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3180" w:type="dxa"/>
            <w:vAlign w:val="bottom"/>
          </w:tcPr>
          <w:p>
            <w:pPr>
              <w:spacing w:after="0"/>
              <w:rPr>
                <w:sz w:val="23"/>
                <w:szCs w:val="23"/>
                <w:color w:val="auto"/>
              </w:rPr>
            </w:pPr>
          </w:p>
        </w:tc>
        <w:tc>
          <w:tcPr>
            <w:tcW w:w="8060" w:type="dxa"/>
            <w:vAlign w:val="bottom"/>
            <w:gridSpan w:val="2"/>
          </w:tcPr>
          <w:p>
            <w:pPr>
              <w:ind w:left="420"/>
              <w:spacing w:after="0"/>
              <w:rPr>
                <w:sz w:val="20"/>
                <w:szCs w:val="20"/>
                <w:color w:val="auto"/>
              </w:rPr>
            </w:pPr>
            <w:r>
              <w:rPr>
                <w:rFonts w:ascii="Wingdings" w:cs="Wingdings" w:eastAsia="Wingdings" w:hAnsi="Wingdings"/>
                <w:sz w:val="16"/>
                <w:szCs w:val="16"/>
                <w:b w:val="1"/>
                <w:bCs w:val="1"/>
                <w:color w:val="auto"/>
                <w:w w:val="98"/>
                <w:shd w:val="clear" w:color="auto" w:fill="3E5C7C"/>
              </w:rPr>
              <w:t xml:space="preserve">à  </w:t>
            </w:r>
            <w:r>
              <w:rPr>
                <w:rFonts w:ascii="Arial" w:cs="Arial" w:eastAsia="Arial" w:hAnsi="Arial"/>
                <w:sz w:val="16"/>
                <w:szCs w:val="16"/>
                <w:b w:val="1"/>
                <w:bCs w:val="1"/>
                <w:color w:val="032E5C"/>
                <w:w w:val="98"/>
              </w:rPr>
              <w:t>Industry</w:t>
            </w:r>
            <w:r>
              <w:rPr>
                <w:rFonts w:ascii="Wingdings" w:cs="Wingdings" w:eastAsia="Wingdings" w:hAnsi="Wingdings"/>
                <w:sz w:val="16"/>
                <w:szCs w:val="16"/>
                <w:b w:val="1"/>
                <w:bCs w:val="1"/>
                <w:color w:val="auto"/>
                <w:w w:val="98"/>
                <w:shd w:val="clear" w:color="auto" w:fill="3E5C7C"/>
              </w:rPr>
              <w:t xml:space="preserve"> </w:t>
            </w:r>
            <w:r>
              <w:rPr>
                <w:rFonts w:ascii="Arial" w:cs="Arial" w:eastAsia="Arial" w:hAnsi="Arial"/>
                <w:sz w:val="16"/>
                <w:szCs w:val="16"/>
                <w:color w:val="032E5C"/>
                <w:w w:val="98"/>
              </w:rPr>
              <w:t>and</w:t>
            </w:r>
            <w:r>
              <w:rPr>
                <w:rFonts w:ascii="Wingdings" w:cs="Wingdings" w:eastAsia="Wingdings" w:hAnsi="Wingdings"/>
                <w:sz w:val="16"/>
                <w:szCs w:val="16"/>
                <w:b w:val="1"/>
                <w:bCs w:val="1"/>
                <w:color w:val="auto"/>
                <w:w w:val="98"/>
                <w:shd w:val="clear" w:color="auto" w:fill="3E5C7C"/>
              </w:rPr>
              <w:t xml:space="preserve"> </w:t>
            </w:r>
            <w:r>
              <w:rPr>
                <w:rFonts w:ascii="Arial" w:cs="Arial" w:eastAsia="Arial" w:hAnsi="Arial"/>
                <w:sz w:val="16"/>
                <w:szCs w:val="16"/>
                <w:b w:val="1"/>
                <w:bCs w:val="1"/>
                <w:color w:val="032E5C"/>
                <w:w w:val="98"/>
              </w:rPr>
              <w:t>Marketing</w:t>
            </w:r>
            <w:r>
              <w:rPr>
                <w:rFonts w:ascii="Wingdings" w:cs="Wingdings" w:eastAsia="Wingdings" w:hAnsi="Wingdings"/>
                <w:sz w:val="16"/>
                <w:szCs w:val="16"/>
                <w:b w:val="1"/>
                <w:bCs w:val="1"/>
                <w:color w:val="auto"/>
                <w:w w:val="98"/>
                <w:shd w:val="clear" w:color="auto" w:fill="3E5C7C"/>
              </w:rPr>
              <w:t xml:space="preserve"> </w:t>
            </w:r>
            <w:r>
              <w:rPr>
                <w:rFonts w:ascii="Arial" w:cs="Arial" w:eastAsia="Arial" w:hAnsi="Arial"/>
                <w:sz w:val="16"/>
                <w:szCs w:val="16"/>
                <w:color w:val="032E5C"/>
                <w:w w:val="98"/>
              </w:rPr>
              <w:t>experience—former president and CEO of large public identity and fraud</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gridSpan w:val="2"/>
          </w:tcPr>
          <w:p>
            <w:pPr>
              <w:ind w:left="740"/>
              <w:spacing w:after="0"/>
              <w:rPr>
                <w:sz w:val="20"/>
                <w:szCs w:val="20"/>
                <w:color w:val="auto"/>
              </w:rPr>
            </w:pPr>
            <w:r>
              <w:rPr>
                <w:rFonts w:ascii="Arial" w:cs="Arial" w:eastAsia="Arial" w:hAnsi="Arial"/>
                <w:sz w:val="16"/>
                <w:szCs w:val="16"/>
                <w:color w:val="032E5C"/>
              </w:rPr>
              <w:t>protection company (LifeLock); leadership positions at large public global technology company</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8060" w:type="dxa"/>
            <w:vAlign w:val="bottom"/>
            <w:gridSpan w:val="2"/>
          </w:tcPr>
          <w:p>
            <w:pPr>
              <w:ind w:left="740"/>
              <w:spacing w:after="0"/>
              <w:rPr>
                <w:sz w:val="20"/>
                <w:szCs w:val="20"/>
                <w:color w:val="auto"/>
              </w:rPr>
            </w:pPr>
            <w:r>
              <w:rPr>
                <w:rFonts w:ascii="Arial" w:cs="Arial" w:eastAsia="Arial" w:hAnsi="Arial"/>
                <w:sz w:val="16"/>
                <w:szCs w:val="16"/>
                <w:color w:val="032E5C"/>
              </w:rPr>
              <w:t>(Yahoo!); former director of a SaaS-based multi-channel engagement platform (SendGrid); senior</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7860" w:type="dxa"/>
            <w:vAlign w:val="bottom"/>
          </w:tcPr>
          <w:p>
            <w:pPr>
              <w:ind w:left="740"/>
              <w:spacing w:after="0"/>
              <w:rPr>
                <w:sz w:val="20"/>
                <w:szCs w:val="20"/>
                <w:color w:val="auto"/>
              </w:rPr>
            </w:pPr>
            <w:r>
              <w:rPr>
                <w:rFonts w:ascii="Arial" w:cs="Arial" w:eastAsia="Arial" w:hAnsi="Arial"/>
                <w:sz w:val="16"/>
                <w:szCs w:val="16"/>
                <w:color w:val="032E5C"/>
              </w:rPr>
              <w:t>advisor to large private equity investment firm (TPG)</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80" w:type="dxa"/>
            <w:vAlign w:val="bottom"/>
            <w:tcBorders>
              <w:bottom w:val="single" w:sz="8" w:color="3E5C7C"/>
            </w:tcBorders>
          </w:tcPr>
          <w:p>
            <w:pPr>
              <w:spacing w:after="0"/>
              <w:rPr>
                <w:sz w:val="18"/>
                <w:szCs w:val="18"/>
                <w:color w:val="auto"/>
              </w:rPr>
            </w:pPr>
          </w:p>
        </w:tc>
        <w:tc>
          <w:tcPr>
            <w:tcW w:w="7860" w:type="dxa"/>
            <w:vAlign w:val="bottom"/>
            <w:tcBorders>
              <w:bottom w:val="single" w:sz="8" w:color="3E5C7C"/>
            </w:tcBorders>
          </w:tcPr>
          <w:p>
            <w:pPr>
              <w:spacing w:after="0"/>
              <w:rPr>
                <w:sz w:val="18"/>
                <w:szCs w:val="18"/>
                <w:color w:val="auto"/>
              </w:rPr>
            </w:pPr>
          </w:p>
        </w:tc>
        <w:tc>
          <w:tcPr>
            <w:tcW w:w="200" w:type="dxa"/>
            <w:vAlign w:val="bottom"/>
            <w:tcBorders>
              <w:bottom w:val="single" w:sz="8" w:color="3E5C7C"/>
            </w:tcBorders>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3180" w:type="dxa"/>
            <w:vAlign w:val="bottom"/>
          </w:tcPr>
          <w:p>
            <w:pPr>
              <w:spacing w:after="0"/>
              <w:rPr>
                <w:sz w:val="24"/>
                <w:szCs w:val="24"/>
                <w:color w:val="auto"/>
              </w:rPr>
            </w:pPr>
          </w:p>
        </w:tc>
        <w:tc>
          <w:tcPr>
            <w:tcW w:w="7860" w:type="dxa"/>
            <w:vAlign w:val="bottom"/>
            <w:vMerge w:val="restart"/>
          </w:tcPr>
          <w:p>
            <w:pPr>
              <w:ind w:left="1640"/>
              <w:spacing w:after="0"/>
              <w:rPr>
                <w:sz w:val="20"/>
                <w:szCs w:val="20"/>
                <w:color w:val="auto"/>
              </w:rPr>
            </w:pPr>
            <w:r>
              <w:rPr>
                <w:rFonts w:ascii="Arial" w:cs="Arial" w:eastAsia="Arial" w:hAnsi="Arial"/>
                <w:sz w:val="16"/>
                <w:szCs w:val="16"/>
                <w:color w:val="98BDE2"/>
              </w:rPr>
              <w:t>2024 Proxy Statement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032E5C"/>
                <w:w w:val="89"/>
              </w:rPr>
              <w:t>21</w:t>
            </w:r>
          </w:p>
        </w:tc>
        <w:tc>
          <w:tcPr>
            <w:tcW w:w="0" w:type="dxa"/>
            <w:vAlign w:val="bottom"/>
          </w:tcPr>
          <w:p>
            <w:pPr>
              <w:spacing w:after="0"/>
              <w:rPr>
                <w:sz w:val="1"/>
                <w:szCs w:val="1"/>
                <w:color w:val="auto"/>
              </w:rPr>
            </w:pPr>
          </w:p>
        </w:tc>
      </w:tr>
      <w:tr>
        <w:trPr>
          <w:trHeight w:val="60"/>
        </w:trPr>
        <w:tc>
          <w:tcPr>
            <w:tcW w:w="3180" w:type="dxa"/>
            <w:vAlign w:val="bottom"/>
          </w:tcPr>
          <w:p>
            <w:pPr>
              <w:spacing w:after="0"/>
              <w:rPr>
                <w:sz w:val="5"/>
                <w:szCs w:val="5"/>
                <w:color w:val="auto"/>
              </w:rPr>
            </w:pPr>
          </w:p>
        </w:tc>
        <w:tc>
          <w:tcPr>
            <w:tcW w:w="78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318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1</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205740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474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474845"/>
                    </a:xfrm>
                    <a:prstGeom prst="rect">
                      <a:avLst/>
                    </a:prstGeom>
                    <a:noFill/>
                  </pic:spPr>
                </pic:pic>
              </a:graphicData>
            </a:graphic>
          </wp:anchor>
        </w:drawing>
      </w:r>
    </w:p>
    <w:p>
      <w:pPr>
        <w:spacing w:after="0" w:line="147"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2980" w:type="dxa"/>
            <w:vAlign w:val="bottom"/>
          </w:tcPr>
          <w:p>
            <w:pPr>
              <w:spacing w:after="0"/>
              <w:rPr>
                <w:sz w:val="19"/>
                <w:szCs w:val="19"/>
                <w:color w:val="auto"/>
              </w:rPr>
            </w:pPr>
          </w:p>
        </w:tc>
        <w:tc>
          <w:tcPr>
            <w:tcW w:w="7900" w:type="dxa"/>
            <w:vAlign w:val="bottom"/>
          </w:tcPr>
          <w:p>
            <w:pPr>
              <w:ind w:left="200"/>
              <w:spacing w:after="0"/>
              <w:rPr>
                <w:sz w:val="20"/>
                <w:szCs w:val="20"/>
                <w:color w:val="auto"/>
              </w:rPr>
            </w:pPr>
            <w:r>
              <w:rPr>
                <w:rFonts w:ascii="Arial" w:cs="Arial" w:eastAsia="Arial" w:hAnsi="Arial"/>
                <w:sz w:val="16"/>
                <w:szCs w:val="16"/>
                <w:b w:val="1"/>
                <w:bCs w:val="1"/>
                <w:color w:val="032E5C"/>
              </w:rPr>
              <w:t>Business Experience, Other Directorships and Qualifications</w:t>
            </w:r>
          </w:p>
        </w:tc>
        <w:tc>
          <w:tcPr>
            <w:tcW w:w="0" w:type="dxa"/>
            <w:vAlign w:val="bottom"/>
          </w:tcPr>
          <w:p>
            <w:pPr>
              <w:spacing w:after="0"/>
              <w:rPr>
                <w:sz w:val="1"/>
                <w:szCs w:val="1"/>
                <w:color w:val="auto"/>
              </w:rPr>
            </w:pPr>
          </w:p>
        </w:tc>
      </w:tr>
      <w:tr>
        <w:trPr>
          <w:trHeight w:val="317"/>
        </w:trPr>
        <w:tc>
          <w:tcPr>
            <w:tcW w:w="2980" w:type="dxa"/>
            <w:vAlign w:val="bottom"/>
          </w:tcPr>
          <w:p>
            <w:pPr>
              <w:spacing w:after="0"/>
              <w:rPr>
                <w:sz w:val="24"/>
                <w:szCs w:val="24"/>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From September 2009 until December 2017, Mr. Sewell was Senior Vice President, General Counsel and</w:t>
            </w: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Secretary of Apple Inc., overseeing all legal matters for Apple, including corporate governance, intellectual</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property, litigation, and securities compliance, as well as global security operations, privacy, and encryption.</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Prior to joining Apple, Mr. Sewell served as Senior Vice President, General Counsel of Intel Corporation</w:t>
            </w: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from 2005 to 2009. He also served as Intel’s Vice President, General Counsel from 2004 to 2005 and Vice</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President of Legal and Government Affairs, Deputy General Counsel from 2001 to 2004. Prior to joining</w:t>
            </w: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Intel in 1995 as a senior attorney, Mr. Sewell was a partner in the law firm of Brown and Bain PC. He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currently serves on the board of directors and as chair for the nominating &amp; governance committee of C3.ai,</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Inc., an enterprise artificial intelligence software company, and serves on the board of Clearco, a privately</w:t>
            </w: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held growth capital technology company. Mr. Sewell also serves on the board of Village Enterprise, a</w:t>
            </w:r>
          </w:p>
        </w:tc>
        <w:tc>
          <w:tcPr>
            <w:tcW w:w="0" w:type="dxa"/>
            <w:vAlign w:val="bottom"/>
          </w:tcPr>
          <w:p>
            <w:pPr>
              <w:spacing w:after="0"/>
              <w:rPr>
                <w:sz w:val="1"/>
                <w:szCs w:val="1"/>
                <w:color w:val="auto"/>
              </w:rPr>
            </w:pPr>
          </w:p>
        </w:tc>
      </w:tr>
      <w:tr>
        <w:trPr>
          <w:trHeight w:val="204"/>
        </w:trPr>
        <w:tc>
          <w:tcPr>
            <w:tcW w:w="2980" w:type="dxa"/>
            <w:vAlign w:val="bottom"/>
            <w:vMerge w:val="restart"/>
          </w:tcPr>
          <w:p>
            <w:pPr>
              <w:jc w:val="center"/>
              <w:ind w:right="115"/>
              <w:spacing w:after="0"/>
              <w:rPr>
                <w:sz w:val="20"/>
                <w:szCs w:val="20"/>
                <w:color w:val="auto"/>
              </w:rPr>
            </w:pPr>
            <w:r>
              <w:rPr>
                <w:rFonts w:ascii="Arial" w:cs="Arial" w:eastAsia="Arial" w:hAnsi="Arial"/>
                <w:sz w:val="25"/>
                <w:szCs w:val="25"/>
                <w:b w:val="1"/>
                <w:bCs w:val="1"/>
                <w:color w:val="032E5C"/>
              </w:rPr>
              <w:t>D. BRUCE SEWELL</w:t>
            </w:r>
          </w:p>
        </w:tc>
        <w:tc>
          <w:tcPr>
            <w:tcW w:w="7900" w:type="dxa"/>
            <w:vAlign w:val="bottom"/>
          </w:tcPr>
          <w:p>
            <w:pPr>
              <w:ind w:left="200"/>
              <w:spacing w:after="0"/>
              <w:rPr>
                <w:sz w:val="20"/>
                <w:szCs w:val="20"/>
                <w:color w:val="auto"/>
              </w:rPr>
            </w:pPr>
            <w:r>
              <w:rPr>
                <w:rFonts w:ascii="Arial" w:cs="Arial" w:eastAsia="Arial" w:hAnsi="Arial"/>
                <w:sz w:val="16"/>
                <w:szCs w:val="16"/>
                <w:color w:val="032E5C"/>
              </w:rPr>
              <w:t>charitable organization focusing on training and creating sustainable businesses in Africa, and is the</w:t>
            </w:r>
          </w:p>
        </w:tc>
        <w:tc>
          <w:tcPr>
            <w:tcW w:w="0" w:type="dxa"/>
            <w:vAlign w:val="bottom"/>
          </w:tcPr>
          <w:p>
            <w:pPr>
              <w:spacing w:after="0"/>
              <w:rPr>
                <w:sz w:val="1"/>
                <w:szCs w:val="1"/>
                <w:color w:val="auto"/>
              </w:rPr>
            </w:pPr>
          </w:p>
        </w:tc>
      </w:tr>
      <w:tr>
        <w:trPr>
          <w:trHeight w:val="215"/>
        </w:trPr>
        <w:tc>
          <w:tcPr>
            <w:tcW w:w="2980" w:type="dxa"/>
            <w:vAlign w:val="bottom"/>
            <w:vMerge w:val="continue"/>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6"/>
                <w:szCs w:val="16"/>
                <w:color w:val="032E5C"/>
              </w:rPr>
              <w:t>President and Director of Friends of Lancaster University in America, a non-profit organization supporting</w:t>
            </w:r>
          </w:p>
        </w:tc>
        <w:tc>
          <w:tcPr>
            <w:tcW w:w="0" w:type="dxa"/>
            <w:vAlign w:val="bottom"/>
          </w:tcPr>
          <w:p>
            <w:pPr>
              <w:spacing w:after="0"/>
              <w:rPr>
                <w:sz w:val="1"/>
                <w:szCs w:val="1"/>
                <w:color w:val="auto"/>
              </w:rPr>
            </w:pPr>
          </w:p>
        </w:tc>
      </w:tr>
      <w:tr>
        <w:trPr>
          <w:trHeight w:val="216"/>
        </w:trPr>
        <w:tc>
          <w:tcPr>
            <w:tcW w:w="2980" w:type="dxa"/>
            <w:vAlign w:val="bottom"/>
            <w:vMerge w:val="restart"/>
          </w:tcPr>
          <w:p>
            <w:pPr>
              <w:jc w:val="center"/>
              <w:ind w:right="115"/>
              <w:spacing w:after="0"/>
              <w:rPr>
                <w:sz w:val="20"/>
                <w:szCs w:val="20"/>
                <w:color w:val="auto"/>
              </w:rPr>
            </w:pPr>
            <w:r>
              <w:rPr>
                <w:rFonts w:ascii="Arial" w:cs="Arial" w:eastAsia="Arial" w:hAnsi="Arial"/>
                <w:sz w:val="16"/>
                <w:szCs w:val="16"/>
                <w:color w:val="032E5C"/>
              </w:rPr>
              <w:t>Former Senior Vice President, General</w:t>
            </w:r>
          </w:p>
        </w:tc>
        <w:tc>
          <w:tcPr>
            <w:tcW w:w="7900" w:type="dxa"/>
            <w:vAlign w:val="bottom"/>
          </w:tcPr>
          <w:p>
            <w:pPr>
              <w:ind w:left="200"/>
              <w:spacing w:after="0"/>
              <w:rPr>
                <w:sz w:val="20"/>
                <w:szCs w:val="20"/>
                <w:color w:val="auto"/>
              </w:rPr>
            </w:pPr>
            <w:r>
              <w:rPr>
                <w:rFonts w:ascii="Arial" w:cs="Arial" w:eastAsia="Arial" w:hAnsi="Arial"/>
                <w:sz w:val="16"/>
                <w:szCs w:val="16"/>
                <w:color w:val="032E5C"/>
              </w:rPr>
              <w:t>higher education.</w:t>
            </w:r>
          </w:p>
        </w:tc>
        <w:tc>
          <w:tcPr>
            <w:tcW w:w="0" w:type="dxa"/>
            <w:vAlign w:val="bottom"/>
          </w:tcPr>
          <w:p>
            <w:pPr>
              <w:spacing w:after="0"/>
              <w:rPr>
                <w:sz w:val="1"/>
                <w:szCs w:val="1"/>
                <w:color w:val="auto"/>
              </w:rPr>
            </w:pPr>
          </w:p>
        </w:tc>
      </w:tr>
      <w:tr>
        <w:trPr>
          <w:trHeight w:val="68"/>
        </w:trPr>
        <w:tc>
          <w:tcPr>
            <w:tcW w:w="2980" w:type="dxa"/>
            <w:vAlign w:val="bottom"/>
            <w:vMerge w:val="continue"/>
          </w:tcPr>
          <w:p>
            <w:pPr>
              <w:spacing w:after="0"/>
              <w:rPr>
                <w:sz w:val="5"/>
                <w:szCs w:val="5"/>
                <w:color w:val="auto"/>
              </w:rPr>
            </w:pPr>
          </w:p>
        </w:tc>
        <w:tc>
          <w:tcPr>
            <w:tcW w:w="7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980" w:type="dxa"/>
            <w:vAlign w:val="bottom"/>
          </w:tcPr>
          <w:p>
            <w:pPr>
              <w:jc w:val="center"/>
              <w:ind w:right="135"/>
              <w:spacing w:after="0"/>
              <w:rPr>
                <w:sz w:val="20"/>
                <w:szCs w:val="20"/>
                <w:color w:val="auto"/>
              </w:rPr>
            </w:pPr>
            <w:r>
              <w:rPr>
                <w:rFonts w:ascii="Arial" w:cs="Arial" w:eastAsia="Arial" w:hAnsi="Arial"/>
                <w:sz w:val="16"/>
                <w:szCs w:val="16"/>
                <w:color w:val="032E5C"/>
              </w:rPr>
              <w:t>Counsel &amp; Secretary,</w:t>
            </w:r>
          </w:p>
        </w:tc>
        <w:tc>
          <w:tcPr>
            <w:tcW w:w="7900" w:type="dxa"/>
            <w:vAlign w:val="bottom"/>
            <w:vMerge w:val="restart"/>
          </w:tcPr>
          <w:p>
            <w:pPr>
              <w:ind w:left="200"/>
              <w:spacing w:after="0"/>
              <w:rPr>
                <w:sz w:val="20"/>
                <w:szCs w:val="20"/>
                <w:color w:val="auto"/>
              </w:rPr>
            </w:pPr>
            <w:r>
              <w:rPr>
                <w:rFonts w:ascii="Arial" w:cs="Arial" w:eastAsia="Arial" w:hAnsi="Arial"/>
                <w:sz w:val="16"/>
                <w:szCs w:val="16"/>
                <w:b w:val="1"/>
                <w:bCs w:val="1"/>
                <w:color w:val="032E5C"/>
              </w:rPr>
              <w:t>Key Skills and Qualifications:</w:t>
            </w:r>
          </w:p>
        </w:tc>
        <w:tc>
          <w:tcPr>
            <w:tcW w:w="0" w:type="dxa"/>
            <w:vAlign w:val="bottom"/>
          </w:tcPr>
          <w:p>
            <w:pPr>
              <w:spacing w:after="0"/>
              <w:rPr>
                <w:sz w:val="1"/>
                <w:szCs w:val="1"/>
                <w:color w:val="auto"/>
              </w:rPr>
            </w:pPr>
          </w:p>
        </w:tc>
      </w:tr>
      <w:tr>
        <w:trPr>
          <w:trHeight w:val="62"/>
        </w:trPr>
        <w:tc>
          <w:tcPr>
            <w:tcW w:w="2980" w:type="dxa"/>
            <w:vAlign w:val="bottom"/>
            <w:vMerge w:val="restart"/>
          </w:tcPr>
          <w:p>
            <w:pPr>
              <w:jc w:val="center"/>
              <w:ind w:right="115"/>
              <w:spacing w:after="0"/>
              <w:rPr>
                <w:sz w:val="20"/>
                <w:szCs w:val="20"/>
                <w:color w:val="auto"/>
              </w:rPr>
            </w:pPr>
            <w:r>
              <w:rPr>
                <w:rFonts w:ascii="Arial" w:cs="Arial" w:eastAsia="Arial" w:hAnsi="Arial"/>
                <w:sz w:val="16"/>
                <w:szCs w:val="16"/>
                <w:color w:val="032E5C"/>
              </w:rPr>
              <w:t>Apple, Inc.</w:t>
            </w:r>
          </w:p>
        </w:tc>
        <w:tc>
          <w:tcPr>
            <w:tcW w:w="7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980" w:type="dxa"/>
            <w:vAlign w:val="bottom"/>
            <w:vMerge w:val="continue"/>
          </w:tcPr>
          <w:p>
            <w:pPr>
              <w:spacing w:after="0"/>
              <w:rPr>
                <w:sz w:val="13"/>
                <w:szCs w:val="13"/>
                <w:color w:val="auto"/>
              </w:rPr>
            </w:pPr>
          </w:p>
        </w:tc>
        <w:tc>
          <w:tcPr>
            <w:tcW w:w="7900" w:type="dxa"/>
            <w:vAlign w:val="bottom"/>
            <w:vMerge w:val="restart"/>
          </w:tcPr>
          <w:p>
            <w:pPr>
              <w:ind w:left="380"/>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b w:val="1"/>
                <w:bCs w:val="1"/>
                <w:color w:val="032E5C"/>
              </w:rPr>
              <w:t>Leadership</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and</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b w:val="1"/>
                <w:bCs w:val="1"/>
                <w:color w:val="032E5C"/>
              </w:rPr>
              <w:t>Finance</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experience—prior General Counsel of a large international public</w:t>
            </w:r>
          </w:p>
        </w:tc>
        <w:tc>
          <w:tcPr>
            <w:tcW w:w="0" w:type="dxa"/>
            <w:vAlign w:val="bottom"/>
          </w:tcPr>
          <w:p>
            <w:pPr>
              <w:spacing w:after="0"/>
              <w:rPr>
                <w:sz w:val="1"/>
                <w:szCs w:val="1"/>
                <w:color w:val="auto"/>
              </w:rPr>
            </w:pPr>
          </w:p>
        </w:tc>
      </w:tr>
      <w:tr>
        <w:trPr>
          <w:trHeight w:val="163"/>
        </w:trPr>
        <w:tc>
          <w:tcPr>
            <w:tcW w:w="2980" w:type="dxa"/>
            <w:vAlign w:val="bottom"/>
            <w:vMerge w:val="restart"/>
          </w:tcPr>
          <w:p>
            <w:pPr>
              <w:jc w:val="center"/>
              <w:ind w:right="135"/>
              <w:spacing w:after="0"/>
              <w:rPr>
                <w:sz w:val="20"/>
                <w:szCs w:val="20"/>
                <w:color w:val="auto"/>
              </w:rPr>
            </w:pPr>
            <w:r>
              <w:rPr>
                <w:rFonts w:ascii="Arial" w:cs="Arial" w:eastAsia="Arial" w:hAnsi="Arial"/>
                <w:sz w:val="16"/>
                <w:szCs w:val="16"/>
                <w:b w:val="1"/>
                <w:bCs w:val="1"/>
                <w:color w:val="032E5C"/>
              </w:rPr>
              <w:t>Independent</w:t>
            </w:r>
          </w:p>
        </w:tc>
        <w:tc>
          <w:tcPr>
            <w:tcW w:w="7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80" w:type="dxa"/>
            <w:vAlign w:val="bottom"/>
            <w:vMerge w:val="continue"/>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6"/>
                <w:szCs w:val="16"/>
                <w:color w:val="032E5C"/>
              </w:rPr>
              <w:t>company (Apple); leadership positions at international manufacturer of microprocessors and</w:t>
            </w:r>
          </w:p>
        </w:tc>
        <w:tc>
          <w:tcPr>
            <w:tcW w:w="0" w:type="dxa"/>
            <w:vAlign w:val="bottom"/>
          </w:tcPr>
          <w:p>
            <w:pPr>
              <w:spacing w:after="0"/>
              <w:rPr>
                <w:sz w:val="1"/>
                <w:szCs w:val="1"/>
                <w:color w:val="auto"/>
              </w:rPr>
            </w:pPr>
          </w:p>
        </w:tc>
      </w:tr>
      <w:tr>
        <w:trPr>
          <w:trHeight w:val="216"/>
        </w:trPr>
        <w:tc>
          <w:tcPr>
            <w:tcW w:w="2980" w:type="dxa"/>
            <w:vAlign w:val="bottom"/>
            <w:vMerge w:val="restart"/>
          </w:tcPr>
          <w:p>
            <w:pPr>
              <w:jc w:val="center"/>
              <w:ind w:right="115"/>
              <w:spacing w:after="0"/>
              <w:rPr>
                <w:sz w:val="20"/>
                <w:szCs w:val="20"/>
                <w:color w:val="auto"/>
              </w:rPr>
            </w:pPr>
            <w:r>
              <w:rPr>
                <w:rFonts w:ascii="Arial" w:cs="Arial" w:eastAsia="Arial" w:hAnsi="Arial"/>
                <w:sz w:val="16"/>
                <w:szCs w:val="16"/>
                <w:color w:val="032E5C"/>
              </w:rPr>
              <w:t>Lead Independent Director Since June</w:t>
            </w:r>
          </w:p>
        </w:tc>
        <w:tc>
          <w:tcPr>
            <w:tcW w:w="7900" w:type="dxa"/>
            <w:vAlign w:val="bottom"/>
          </w:tcPr>
          <w:p>
            <w:pPr>
              <w:ind w:left="700"/>
              <w:spacing w:after="0"/>
              <w:rPr>
                <w:sz w:val="20"/>
                <w:szCs w:val="20"/>
                <w:color w:val="auto"/>
              </w:rPr>
            </w:pPr>
            <w:r>
              <w:rPr>
                <w:rFonts w:ascii="Arial" w:cs="Arial" w:eastAsia="Arial" w:hAnsi="Arial"/>
                <w:sz w:val="16"/>
                <w:szCs w:val="16"/>
                <w:color w:val="032E5C"/>
              </w:rPr>
              <w:t>chipsets (Intel)</w:t>
            </w:r>
          </w:p>
        </w:tc>
        <w:tc>
          <w:tcPr>
            <w:tcW w:w="0" w:type="dxa"/>
            <w:vAlign w:val="bottom"/>
          </w:tcPr>
          <w:p>
            <w:pPr>
              <w:spacing w:after="0"/>
              <w:rPr>
                <w:sz w:val="1"/>
                <w:szCs w:val="1"/>
                <w:color w:val="auto"/>
              </w:rPr>
            </w:pPr>
          </w:p>
        </w:tc>
      </w:tr>
      <w:tr>
        <w:trPr>
          <w:trHeight w:val="82"/>
        </w:trPr>
        <w:tc>
          <w:tcPr>
            <w:tcW w:w="2980" w:type="dxa"/>
            <w:vAlign w:val="bottom"/>
            <w:vMerge w:val="continue"/>
          </w:tcPr>
          <w:p>
            <w:pPr>
              <w:spacing w:after="0"/>
              <w:rPr>
                <w:sz w:val="7"/>
                <w:szCs w:val="7"/>
                <w:color w:val="auto"/>
              </w:rPr>
            </w:pPr>
          </w:p>
        </w:tc>
        <w:tc>
          <w:tcPr>
            <w:tcW w:w="7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980" w:type="dxa"/>
            <w:vAlign w:val="bottom"/>
          </w:tcPr>
          <w:p>
            <w:pPr>
              <w:jc w:val="center"/>
              <w:ind w:right="135"/>
              <w:spacing w:after="0"/>
              <w:rPr>
                <w:sz w:val="20"/>
                <w:szCs w:val="20"/>
                <w:color w:val="auto"/>
              </w:rPr>
            </w:pPr>
            <w:r>
              <w:rPr>
                <w:rFonts w:ascii="Arial" w:cs="Arial" w:eastAsia="Arial" w:hAnsi="Arial"/>
                <w:sz w:val="16"/>
                <w:szCs w:val="16"/>
                <w:color w:val="032E5C"/>
              </w:rPr>
              <w:t>2019</w:t>
            </w:r>
          </w:p>
        </w:tc>
        <w:tc>
          <w:tcPr>
            <w:tcW w:w="7900" w:type="dxa"/>
            <w:vAlign w:val="bottom"/>
          </w:tcPr>
          <w:p>
            <w:pPr>
              <w:ind w:left="380"/>
              <w:spacing w:after="0"/>
              <w:rPr>
                <w:sz w:val="20"/>
                <w:szCs w:val="20"/>
                <w:color w:val="auto"/>
              </w:rPr>
            </w:pPr>
            <w:r>
              <w:rPr>
                <w:rFonts w:ascii="Wingdings" w:cs="Wingdings" w:eastAsia="Wingdings" w:hAnsi="Wingdings"/>
                <w:sz w:val="16"/>
                <w:szCs w:val="16"/>
                <w:b w:val="1"/>
                <w:bCs w:val="1"/>
                <w:color w:val="auto"/>
                <w:w w:val="98"/>
                <w:shd w:val="clear" w:color="auto" w:fill="3E5C7C"/>
              </w:rPr>
              <w:t xml:space="preserve">à  </w:t>
            </w:r>
            <w:r>
              <w:rPr>
                <w:rFonts w:ascii="Arial" w:cs="Arial" w:eastAsia="Arial" w:hAnsi="Arial"/>
                <w:sz w:val="16"/>
                <w:szCs w:val="16"/>
                <w:b w:val="1"/>
                <w:bCs w:val="1"/>
                <w:color w:val="032E5C"/>
                <w:w w:val="98"/>
              </w:rPr>
              <w:t>Technology</w:t>
            </w:r>
            <w:r>
              <w:rPr>
                <w:rFonts w:ascii="Wingdings" w:cs="Wingdings" w:eastAsia="Wingdings" w:hAnsi="Wingdings"/>
                <w:sz w:val="16"/>
                <w:szCs w:val="16"/>
                <w:b w:val="1"/>
                <w:bCs w:val="1"/>
                <w:color w:val="auto"/>
                <w:w w:val="98"/>
                <w:shd w:val="clear" w:color="auto" w:fill="3E5C7C"/>
              </w:rPr>
              <w:t xml:space="preserve"> </w:t>
            </w:r>
            <w:r>
              <w:rPr>
                <w:rFonts w:ascii="Arial" w:cs="Arial" w:eastAsia="Arial" w:hAnsi="Arial"/>
                <w:sz w:val="16"/>
                <w:szCs w:val="16"/>
                <w:color w:val="032E5C"/>
                <w:w w:val="98"/>
              </w:rPr>
              <w:t>and</w:t>
            </w:r>
            <w:r>
              <w:rPr>
                <w:rFonts w:ascii="Wingdings" w:cs="Wingdings" w:eastAsia="Wingdings" w:hAnsi="Wingdings"/>
                <w:sz w:val="16"/>
                <w:szCs w:val="16"/>
                <w:b w:val="1"/>
                <w:bCs w:val="1"/>
                <w:color w:val="auto"/>
                <w:w w:val="98"/>
                <w:shd w:val="clear" w:color="auto" w:fill="3E5C7C"/>
              </w:rPr>
              <w:t xml:space="preserve"> </w:t>
            </w:r>
            <w:r>
              <w:rPr>
                <w:rFonts w:ascii="Arial" w:cs="Arial" w:eastAsia="Arial" w:hAnsi="Arial"/>
                <w:sz w:val="16"/>
                <w:szCs w:val="16"/>
                <w:b w:val="1"/>
                <w:bCs w:val="1"/>
                <w:color w:val="032E5C"/>
                <w:w w:val="98"/>
              </w:rPr>
              <w:t>International</w:t>
            </w:r>
            <w:r>
              <w:rPr>
                <w:rFonts w:ascii="Wingdings" w:cs="Wingdings" w:eastAsia="Wingdings" w:hAnsi="Wingdings"/>
                <w:sz w:val="16"/>
                <w:szCs w:val="16"/>
                <w:b w:val="1"/>
                <w:bCs w:val="1"/>
                <w:color w:val="auto"/>
                <w:w w:val="98"/>
                <w:shd w:val="clear" w:color="auto" w:fill="3E5C7C"/>
              </w:rPr>
              <w:t xml:space="preserve"> </w:t>
            </w:r>
            <w:r>
              <w:rPr>
                <w:rFonts w:ascii="Arial" w:cs="Arial" w:eastAsia="Arial" w:hAnsi="Arial"/>
                <w:sz w:val="16"/>
                <w:szCs w:val="16"/>
                <w:color w:val="032E5C"/>
                <w:w w:val="98"/>
              </w:rPr>
              <w:t>experience—prior General Counsel of international public mobile</w:t>
            </w:r>
          </w:p>
        </w:tc>
        <w:tc>
          <w:tcPr>
            <w:tcW w:w="0" w:type="dxa"/>
            <w:vAlign w:val="bottom"/>
          </w:tcPr>
          <w:p>
            <w:pPr>
              <w:spacing w:after="0"/>
              <w:rPr>
                <w:sz w:val="1"/>
                <w:szCs w:val="1"/>
                <w:color w:val="auto"/>
              </w:rPr>
            </w:pPr>
          </w:p>
        </w:tc>
      </w:tr>
      <w:tr>
        <w:trPr>
          <w:trHeight w:val="215"/>
        </w:trPr>
        <w:tc>
          <w:tcPr>
            <w:tcW w:w="2980" w:type="dxa"/>
            <w:vAlign w:val="bottom"/>
            <w:vMerge w:val="restart"/>
          </w:tcPr>
          <w:p>
            <w:pPr>
              <w:jc w:val="center"/>
              <w:ind w:right="115"/>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66</w:t>
            </w:r>
          </w:p>
        </w:tc>
        <w:tc>
          <w:tcPr>
            <w:tcW w:w="7900" w:type="dxa"/>
            <w:vAlign w:val="bottom"/>
          </w:tcPr>
          <w:p>
            <w:pPr>
              <w:ind w:left="700"/>
              <w:spacing w:after="0"/>
              <w:rPr>
                <w:sz w:val="20"/>
                <w:szCs w:val="20"/>
                <w:color w:val="auto"/>
              </w:rPr>
            </w:pPr>
            <w:r>
              <w:rPr>
                <w:rFonts w:ascii="Arial" w:cs="Arial" w:eastAsia="Arial" w:hAnsi="Arial"/>
                <w:sz w:val="16"/>
                <w:szCs w:val="16"/>
                <w:color w:val="032E5C"/>
              </w:rPr>
              <w:t>communication, personal computer, software, and media devices company (Apple); leadership</w:t>
            </w:r>
          </w:p>
        </w:tc>
        <w:tc>
          <w:tcPr>
            <w:tcW w:w="0" w:type="dxa"/>
            <w:vAlign w:val="bottom"/>
          </w:tcPr>
          <w:p>
            <w:pPr>
              <w:spacing w:after="0"/>
              <w:rPr>
                <w:sz w:val="1"/>
                <w:szCs w:val="1"/>
                <w:color w:val="auto"/>
              </w:rPr>
            </w:pPr>
          </w:p>
        </w:tc>
      </w:tr>
      <w:tr>
        <w:trPr>
          <w:trHeight w:val="103"/>
        </w:trPr>
        <w:tc>
          <w:tcPr>
            <w:tcW w:w="2980" w:type="dxa"/>
            <w:vAlign w:val="bottom"/>
            <w:vMerge w:val="continue"/>
          </w:tcPr>
          <w:p>
            <w:pPr>
              <w:spacing w:after="0"/>
              <w:rPr>
                <w:sz w:val="8"/>
                <w:szCs w:val="8"/>
                <w:color w:val="auto"/>
              </w:rPr>
            </w:pPr>
          </w:p>
        </w:tc>
        <w:tc>
          <w:tcPr>
            <w:tcW w:w="7900" w:type="dxa"/>
            <w:vAlign w:val="bottom"/>
            <w:vMerge w:val="restart"/>
          </w:tcPr>
          <w:p>
            <w:pPr>
              <w:ind w:left="700"/>
              <w:spacing w:after="0"/>
              <w:rPr>
                <w:sz w:val="20"/>
                <w:szCs w:val="20"/>
                <w:color w:val="auto"/>
              </w:rPr>
            </w:pPr>
            <w:r>
              <w:rPr>
                <w:rFonts w:ascii="Arial" w:cs="Arial" w:eastAsia="Arial" w:hAnsi="Arial"/>
                <w:sz w:val="16"/>
                <w:szCs w:val="16"/>
                <w:color w:val="032E5C"/>
              </w:rPr>
              <w:t>positions at international manufacturer of microprocessors and chipsets (Intel); leadership position at</w:t>
            </w:r>
          </w:p>
        </w:tc>
        <w:tc>
          <w:tcPr>
            <w:tcW w:w="0" w:type="dxa"/>
            <w:vAlign w:val="bottom"/>
          </w:tcPr>
          <w:p>
            <w:pPr>
              <w:spacing w:after="0"/>
              <w:rPr>
                <w:sz w:val="1"/>
                <w:szCs w:val="1"/>
                <w:color w:val="auto"/>
              </w:rPr>
            </w:pPr>
          </w:p>
        </w:tc>
      </w:tr>
      <w:tr>
        <w:trPr>
          <w:trHeight w:val="101"/>
        </w:trPr>
        <w:tc>
          <w:tcPr>
            <w:tcW w:w="2980" w:type="dxa"/>
            <w:vAlign w:val="bottom"/>
          </w:tcPr>
          <w:p>
            <w:pPr>
              <w:spacing w:after="0"/>
              <w:rPr>
                <w:sz w:val="8"/>
                <w:szCs w:val="8"/>
                <w:color w:val="auto"/>
              </w:rPr>
            </w:pPr>
          </w:p>
        </w:tc>
        <w:tc>
          <w:tcPr>
            <w:tcW w:w="7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980" w:type="dxa"/>
            <w:vAlign w:val="bottom"/>
          </w:tcPr>
          <w:p>
            <w:pPr>
              <w:jc w:val="center"/>
              <w:ind w:right="115"/>
              <w:spacing w:after="0"/>
              <w:rPr>
                <w:sz w:val="20"/>
                <w:szCs w:val="20"/>
                <w:color w:val="auto"/>
              </w:rPr>
            </w:pPr>
            <w:r>
              <w:rPr>
                <w:rFonts w:ascii="Arial" w:cs="Arial" w:eastAsia="Arial" w:hAnsi="Arial"/>
                <w:sz w:val="16"/>
                <w:szCs w:val="16"/>
                <w:b w:val="1"/>
                <w:bCs w:val="1"/>
                <w:color w:val="032E5C"/>
              </w:rPr>
              <w:t>Director Since:</w:t>
            </w:r>
          </w:p>
        </w:tc>
        <w:tc>
          <w:tcPr>
            <w:tcW w:w="7900" w:type="dxa"/>
            <w:vAlign w:val="bottom"/>
          </w:tcPr>
          <w:p>
            <w:pPr>
              <w:ind w:left="700"/>
              <w:spacing w:after="0"/>
              <w:rPr>
                <w:sz w:val="20"/>
                <w:szCs w:val="20"/>
                <w:color w:val="auto"/>
              </w:rPr>
            </w:pPr>
            <w:r>
              <w:rPr>
                <w:rFonts w:ascii="Arial" w:cs="Arial" w:eastAsia="Arial" w:hAnsi="Arial"/>
                <w:sz w:val="16"/>
                <w:szCs w:val="16"/>
                <w:color w:val="032E5C"/>
              </w:rPr>
              <w:t>cloud-based enterprise Platform as a Service (PaaS) for deployment of big data, AI &amp; IoT software</w:t>
            </w:r>
          </w:p>
        </w:tc>
        <w:tc>
          <w:tcPr>
            <w:tcW w:w="0" w:type="dxa"/>
            <w:vAlign w:val="bottom"/>
          </w:tcPr>
          <w:p>
            <w:pPr>
              <w:spacing w:after="0"/>
              <w:rPr>
                <w:sz w:val="1"/>
                <w:szCs w:val="1"/>
                <w:color w:val="auto"/>
              </w:rPr>
            </w:pPr>
          </w:p>
        </w:tc>
      </w:tr>
      <w:tr>
        <w:trPr>
          <w:trHeight w:val="228"/>
        </w:trPr>
        <w:tc>
          <w:tcPr>
            <w:tcW w:w="2980" w:type="dxa"/>
            <w:vAlign w:val="bottom"/>
          </w:tcPr>
          <w:p>
            <w:pPr>
              <w:jc w:val="center"/>
              <w:ind w:right="115"/>
              <w:spacing w:after="0"/>
              <w:rPr>
                <w:sz w:val="20"/>
                <w:szCs w:val="20"/>
                <w:color w:val="auto"/>
              </w:rPr>
            </w:pPr>
            <w:r>
              <w:rPr>
                <w:rFonts w:ascii="Arial" w:cs="Arial" w:eastAsia="Arial" w:hAnsi="Arial"/>
                <w:sz w:val="16"/>
                <w:szCs w:val="16"/>
                <w:color w:val="032E5C"/>
              </w:rPr>
              <w:t>January 2013</w:t>
            </w:r>
          </w:p>
        </w:tc>
        <w:tc>
          <w:tcPr>
            <w:tcW w:w="7900" w:type="dxa"/>
            <w:vAlign w:val="bottom"/>
          </w:tcPr>
          <w:p>
            <w:pPr>
              <w:ind w:left="700"/>
              <w:spacing w:after="0"/>
              <w:rPr>
                <w:sz w:val="20"/>
                <w:szCs w:val="20"/>
                <w:color w:val="auto"/>
              </w:rPr>
            </w:pPr>
            <w:r>
              <w:rPr>
                <w:rFonts w:ascii="Arial" w:cs="Arial" w:eastAsia="Arial" w:hAnsi="Arial"/>
                <w:sz w:val="16"/>
                <w:szCs w:val="16"/>
                <w:color w:val="032E5C"/>
              </w:rPr>
              <w:t>applications (C3.ai)</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7980"/>
        <w:spacing w:after="0"/>
        <w:rPr>
          <w:sz w:val="20"/>
          <w:szCs w:val="20"/>
          <w:color w:val="auto"/>
        </w:rPr>
      </w:pPr>
      <w:r>
        <w:rPr>
          <w:rFonts w:ascii="Arial" w:cs="Arial" w:eastAsia="Arial" w:hAnsi="Arial"/>
          <w:sz w:val="16"/>
          <w:szCs w:val="16"/>
          <w:b w:val="1"/>
          <w:bCs w:val="1"/>
          <w:color w:val="032E5C"/>
        </w:rPr>
        <w:t>Committees:</w:t>
      </w:r>
    </w:p>
    <w:p>
      <w:pPr>
        <w:spacing w:after="0" w:line="35" w:lineRule="exact"/>
        <w:rPr>
          <w:sz w:val="20"/>
          <w:szCs w:val="20"/>
          <w:color w:val="auto"/>
        </w:rPr>
      </w:pPr>
    </w:p>
    <w:p>
      <w:pPr>
        <w:jc w:val="center"/>
        <w:ind w:right="7980"/>
        <w:spacing w:after="0"/>
        <w:rPr>
          <w:sz w:val="20"/>
          <w:szCs w:val="20"/>
          <w:color w:val="auto"/>
        </w:rPr>
      </w:pPr>
      <w:r>
        <w:rPr>
          <w:rFonts w:ascii="Arial" w:cs="Arial" w:eastAsia="Arial" w:hAnsi="Arial"/>
          <w:sz w:val="16"/>
          <w:szCs w:val="16"/>
          <w:color w:val="032E5C"/>
        </w:rPr>
        <w:t>Audit, Executive, Nominating &amp;</w:t>
      </w:r>
    </w:p>
    <w:p>
      <w:pPr>
        <w:spacing w:after="0" w:line="16" w:lineRule="exact"/>
        <w:rPr>
          <w:sz w:val="20"/>
          <w:szCs w:val="20"/>
          <w:color w:val="auto"/>
        </w:rPr>
      </w:pPr>
    </w:p>
    <w:p>
      <w:pPr>
        <w:jc w:val="center"/>
        <w:ind w:right="7980"/>
        <w:spacing w:after="0"/>
        <w:rPr>
          <w:sz w:val="20"/>
          <w:szCs w:val="20"/>
          <w:color w:val="auto"/>
        </w:rPr>
      </w:pPr>
      <w:r>
        <w:rPr>
          <w:rFonts w:ascii="Arial" w:cs="Arial" w:eastAsia="Arial" w:hAnsi="Arial"/>
          <w:sz w:val="16"/>
          <w:szCs w:val="16"/>
          <w:color w:val="032E5C"/>
        </w:rPr>
        <w:t>Governance</w:t>
      </w:r>
    </w:p>
    <w:p>
      <w:pPr>
        <w:spacing w:after="0" w:line="167" w:lineRule="exact"/>
        <w:rPr>
          <w:sz w:val="20"/>
          <w:szCs w:val="20"/>
          <w:color w:val="auto"/>
        </w:rPr>
      </w:pPr>
    </w:p>
    <w:p>
      <w:pPr>
        <w:jc w:val="center"/>
        <w:ind w:right="7980"/>
        <w:spacing w:after="0"/>
        <w:rPr>
          <w:sz w:val="20"/>
          <w:szCs w:val="20"/>
          <w:color w:val="auto"/>
        </w:rPr>
      </w:pPr>
      <w:r>
        <w:rPr>
          <w:rFonts w:ascii="Arial" w:cs="Arial" w:eastAsia="Arial" w:hAnsi="Arial"/>
          <w:sz w:val="16"/>
          <w:szCs w:val="16"/>
          <w:b w:val="1"/>
          <w:bCs w:val="1"/>
          <w:color w:val="032E5C"/>
        </w:rPr>
        <w:t>Current Public Directorships: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032E5C"/>
        </w:rPr>
        <w:t>C3.ai, Inc.</w:t>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22</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190"/>
        </w:trPr>
        <w:tc>
          <w:tcPr>
            <w:tcW w:w="5700" w:type="dxa"/>
            <w:vAlign w:val="bottom"/>
          </w:tcPr>
          <w:p>
            <w:pPr>
              <w:spacing w:after="0"/>
              <w:rPr>
                <w:sz w:val="20"/>
                <w:szCs w:val="20"/>
                <w:color w:val="auto"/>
              </w:rPr>
            </w:pPr>
            <w:r>
              <w:rPr>
                <w:rFonts w:ascii="Arial" w:cs="Arial" w:eastAsia="Arial" w:hAnsi="Arial"/>
                <w:sz w:val="14"/>
                <w:szCs w:val="14"/>
                <w:color w:val="032E5C"/>
              </w:rPr>
              <w:t>Table of Contents</w:t>
            </w:r>
          </w:p>
        </w:tc>
        <w:tc>
          <w:tcPr>
            <w:tcW w:w="538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5"/>
              </w:rPr>
              <w:t>PROPOSAL 1</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6637655</wp:posOffset>
            </wp:positionH>
            <wp:positionV relativeFrom="page">
              <wp:posOffset>106045</wp:posOffset>
            </wp:positionV>
            <wp:extent cx="702945"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294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205740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634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634740"/>
                    </a:xfrm>
                    <a:prstGeom prst="rect">
                      <a:avLst/>
                    </a:prstGeom>
                    <a:noFill/>
                  </pic:spPr>
                </pic:pic>
              </a:graphicData>
            </a:graphic>
          </wp:anchor>
        </w:drawing>
      </w:r>
    </w:p>
    <w:p>
      <w:pPr>
        <w:spacing w:after="0" w:line="147"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032E5C"/>
        </w:rPr>
        <w:t>Business Experience, Other Directorships and Qualifications</w:t>
      </w:r>
    </w:p>
    <w:p>
      <w:pPr>
        <w:spacing w:after="0" w:line="154" w:lineRule="exact"/>
        <w:rPr>
          <w:sz w:val="20"/>
          <w:szCs w:val="20"/>
          <w:color w:val="auto"/>
        </w:rPr>
      </w:pPr>
    </w:p>
    <w:p>
      <w:pPr>
        <w:jc w:val="both"/>
        <w:ind w:left="3420" w:right="120"/>
        <w:spacing w:after="0" w:line="279" w:lineRule="auto"/>
        <w:rPr>
          <w:sz w:val="20"/>
          <w:szCs w:val="20"/>
          <w:color w:val="auto"/>
        </w:rPr>
      </w:pPr>
      <w:r>
        <w:rPr>
          <w:rFonts w:ascii="Arial" w:cs="Arial" w:eastAsia="Arial" w:hAnsi="Arial"/>
          <w:sz w:val="16"/>
          <w:szCs w:val="16"/>
          <w:color w:val="032E5C"/>
        </w:rPr>
        <w:t>Mr. Sorte is Executive Chairman of Morgan Joseph TriArtisan Group Inc., a merchant bank. Prior to co-founding Morgan Joseph in 2001, he was President of New Street Advisors L.P. He previously held various positions at Drexel Burnham Lambert, including Head of the Energy Group, Co-head of Investment Banking, and Chief Executive Officer and member of the board of directors. Mr. Sorte started his career as an investment banker at Shearson Hammill. Mr. Sorte also serves on the board of directors of Shorts International Ltd. and previously served on the board of directors of Autotote Corp. and Westpoint Stevens Inc., as well as several private companies and non-profit organizations.</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160"/>
        <w:spacing w:after="0"/>
        <w:rPr>
          <w:sz w:val="20"/>
          <w:szCs w:val="20"/>
          <w:color w:val="auto"/>
        </w:rPr>
      </w:pPr>
      <w:r>
        <w:rPr>
          <w:rFonts w:ascii="Arial" w:cs="Arial" w:eastAsia="Arial" w:hAnsi="Arial"/>
          <w:sz w:val="25"/>
          <w:szCs w:val="25"/>
          <w:b w:val="1"/>
          <w:bCs w:val="1"/>
          <w:color w:val="032E5C"/>
        </w:rPr>
        <w:t>JOHN F. SORTE</w:t>
      </w:r>
    </w:p>
    <w:p>
      <w:pPr>
        <w:spacing w:after="0" w:line="182"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032E5C"/>
        </w:rPr>
        <w:t>Executive Chairman,</w:t>
      </w:r>
    </w:p>
    <w:p>
      <w:pPr>
        <w:spacing w:after="0" w:line="32"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032E5C"/>
        </w:rPr>
        <w:t>Morgan Joseph TriArtisan Group, Inc.</w:t>
      </w:r>
    </w:p>
    <w:p>
      <w:pPr>
        <w:spacing w:after="0" w:line="167"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032E5C"/>
        </w:rPr>
        <w:t>Independent</w:t>
      </w:r>
    </w:p>
    <w:p>
      <w:pPr>
        <w:spacing w:after="0" w:line="154"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77</w:t>
      </w:r>
    </w:p>
    <w:p>
      <w:pPr>
        <w:spacing w:after="0" w:line="167"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032E5C"/>
        </w:rPr>
        <w:t>Director Since:</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032E5C"/>
        </w:rPr>
        <w:t>January 1993</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032E5C"/>
        </w:rPr>
        <w:t>Committees:</w:t>
      </w:r>
    </w:p>
    <w:p>
      <w:pPr>
        <w:spacing w:after="0" w:line="39" w:lineRule="exact"/>
        <w:rPr>
          <w:sz w:val="20"/>
          <w:szCs w:val="20"/>
          <w:color w:val="auto"/>
        </w:rPr>
      </w:pPr>
    </w:p>
    <w:p>
      <w:pPr>
        <w:jc w:val="center"/>
        <w:ind w:left="160"/>
        <w:spacing w:after="0" w:line="295" w:lineRule="auto"/>
        <w:rPr>
          <w:sz w:val="20"/>
          <w:szCs w:val="20"/>
          <w:color w:val="auto"/>
        </w:rPr>
      </w:pPr>
      <w:r>
        <w:rPr>
          <w:rFonts w:ascii="Arial" w:cs="Arial" w:eastAsia="Arial" w:hAnsi="Arial"/>
          <w:sz w:val="16"/>
          <w:szCs w:val="16"/>
          <w:color w:val="032E5C"/>
        </w:rPr>
        <w:t>Audit (Chair), Nominating &amp; Governance, Executive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Key Skills and Qualifications:</w:t>
      </w:r>
    </w:p>
    <w:p>
      <w:pPr>
        <w:spacing w:after="0" w:line="140" w:lineRule="exact"/>
        <w:rPr>
          <w:sz w:val="20"/>
          <w:szCs w:val="20"/>
          <w:color w:val="auto"/>
        </w:rPr>
      </w:pPr>
    </w:p>
    <w:p>
      <w:pPr>
        <w:jc w:val="both"/>
        <w:ind w:left="500" w:right="200" w:hanging="330"/>
        <w:spacing w:after="0" w:line="292" w:lineRule="auto"/>
        <w:tabs>
          <w:tab w:leader="none" w:pos="497" w:val="left"/>
        </w:tabs>
        <w:numPr>
          <w:ilvl w:val="0"/>
          <w:numId w:val="1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 xml:space="preserve">Leadership </w:t>
      </w:r>
      <w:r>
        <w:rPr>
          <w:rFonts w:ascii="Arial" w:cs="Arial" w:eastAsia="Arial" w:hAnsi="Arial"/>
          <w:sz w:val="16"/>
          <w:szCs w:val="16"/>
          <w:color w:val="032E5C"/>
        </w:rPr>
        <w:t>and</w:t>
      </w:r>
      <w:r>
        <w:rPr>
          <w:rFonts w:ascii="Arial" w:cs="Arial" w:eastAsia="Arial" w:hAnsi="Arial"/>
          <w:sz w:val="16"/>
          <w:szCs w:val="16"/>
          <w:b w:val="1"/>
          <w:bCs w:val="1"/>
          <w:color w:val="032E5C"/>
        </w:rPr>
        <w:t xml:space="preserve"> Finance </w:t>
      </w:r>
      <w:r>
        <w:rPr>
          <w:rFonts w:ascii="Arial" w:cs="Arial" w:eastAsia="Arial" w:hAnsi="Arial"/>
          <w:sz w:val="16"/>
          <w:szCs w:val="16"/>
          <w:color w:val="032E5C"/>
        </w:rPr>
        <w:t>experience—Executive Chairman of merchant bank (Morgan Joseph);</w:t>
      </w:r>
      <w:r>
        <w:rPr>
          <w:rFonts w:ascii="Arial" w:cs="Arial" w:eastAsia="Arial" w:hAnsi="Arial"/>
          <w:sz w:val="16"/>
          <w:szCs w:val="16"/>
          <w:b w:val="1"/>
          <w:bCs w:val="1"/>
          <w:color w:val="032E5C"/>
        </w:rPr>
        <w:t xml:space="preserve"> </w:t>
      </w:r>
      <w:r>
        <w:rPr>
          <w:rFonts w:ascii="Arial" w:cs="Arial" w:eastAsia="Arial" w:hAnsi="Arial"/>
          <w:sz w:val="16"/>
          <w:szCs w:val="16"/>
          <w:color w:val="032E5C"/>
        </w:rPr>
        <w:t>former President of private equity firm (New Street); prior leadership positions at global investment bank (Drexel)</w:t>
      </w:r>
    </w:p>
    <w:p>
      <w:pPr>
        <w:spacing w:after="0" w:line="97" w:lineRule="exact"/>
        <w:rPr>
          <w:rFonts w:ascii="Wingdings" w:cs="Wingdings" w:eastAsia="Wingdings" w:hAnsi="Wingdings"/>
          <w:sz w:val="16"/>
          <w:szCs w:val="16"/>
          <w:b w:val="1"/>
          <w:bCs w:val="1"/>
          <w:color w:val="auto"/>
          <w:shd w:val="clear" w:color="auto" w:fill="3E5C7C"/>
        </w:rPr>
      </w:pPr>
    </w:p>
    <w:p>
      <w:pPr>
        <w:ind w:left="500" w:right="120" w:hanging="330"/>
        <w:spacing w:after="0" w:line="321" w:lineRule="auto"/>
        <w:tabs>
          <w:tab w:leader="none" w:pos="497" w:val="left"/>
        </w:tabs>
        <w:numPr>
          <w:ilvl w:val="0"/>
          <w:numId w:val="1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 xml:space="preserve">International </w:t>
      </w:r>
      <w:r>
        <w:rPr>
          <w:rFonts w:ascii="Arial" w:cs="Arial" w:eastAsia="Arial" w:hAnsi="Arial"/>
          <w:sz w:val="16"/>
          <w:szCs w:val="16"/>
          <w:color w:val="032E5C"/>
        </w:rPr>
        <w:t>experience—Executive Chairman of merchant bank with international operations</w:t>
      </w:r>
      <w:r>
        <w:rPr>
          <w:rFonts w:ascii="Arial" w:cs="Arial" w:eastAsia="Arial" w:hAnsi="Arial"/>
          <w:sz w:val="16"/>
          <w:szCs w:val="16"/>
          <w:b w:val="1"/>
          <w:bCs w:val="1"/>
          <w:color w:val="032E5C"/>
        </w:rPr>
        <w:t xml:space="preserve"> </w:t>
      </w:r>
      <w:r>
        <w:rPr>
          <w:rFonts w:ascii="Arial" w:cs="Arial" w:eastAsia="Arial" w:hAnsi="Arial"/>
          <w:sz w:val="16"/>
          <w:szCs w:val="16"/>
          <w:color w:val="032E5C"/>
        </w:rPr>
        <w:t>(Morgan Joseph); prior leadership positions at global investment bank (Drexel)</w:t>
      </w:r>
    </w:p>
    <w:p>
      <w:pPr>
        <w:spacing w:after="0" w:line="2083" w:lineRule="exact"/>
        <w:rPr>
          <w:sz w:val="20"/>
          <w:szCs w:val="20"/>
          <w:color w:val="auto"/>
        </w:rPr>
      </w:pPr>
    </w:p>
    <w:p>
      <w:pPr>
        <w:sectPr>
          <w:pgSz w:w="11900" w:h="16838" w:orient="portrait"/>
          <w:cols w:equalWidth="0" w:num="2">
            <w:col w:w="3100" w:space="320"/>
            <w:col w:w="7820"/>
          </w:cols>
          <w:pgMar w:left="320" w:top="184"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23</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1</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205740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5605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4560570"/>
                    </a:xfrm>
                    <a:prstGeom prst="rect">
                      <a:avLst/>
                    </a:prstGeom>
                    <a:noFill/>
                  </pic:spPr>
                </pic:pic>
              </a:graphicData>
            </a:graphic>
          </wp:anchor>
        </w:drawing>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2680" w:type="dxa"/>
            <w:vAlign w:val="bottom"/>
          </w:tcPr>
          <w:p>
            <w:pPr>
              <w:spacing w:after="0"/>
              <w:rPr>
                <w:sz w:val="19"/>
                <w:szCs w:val="19"/>
                <w:color w:val="auto"/>
              </w:rPr>
            </w:pPr>
          </w:p>
        </w:tc>
        <w:tc>
          <w:tcPr>
            <w:tcW w:w="8000" w:type="dxa"/>
            <w:vAlign w:val="bottom"/>
          </w:tcPr>
          <w:p>
            <w:pPr>
              <w:ind w:left="300"/>
              <w:spacing w:after="0"/>
              <w:rPr>
                <w:sz w:val="20"/>
                <w:szCs w:val="20"/>
                <w:color w:val="auto"/>
              </w:rPr>
            </w:pPr>
            <w:r>
              <w:rPr>
                <w:rFonts w:ascii="Arial" w:cs="Arial" w:eastAsia="Arial" w:hAnsi="Arial"/>
                <w:sz w:val="16"/>
                <w:szCs w:val="16"/>
                <w:b w:val="1"/>
                <w:bCs w:val="1"/>
                <w:color w:val="032E5C"/>
              </w:rPr>
              <w:t>Business Experience, Other Directorships and Qualifications</w:t>
            </w:r>
          </w:p>
        </w:tc>
        <w:tc>
          <w:tcPr>
            <w:tcW w:w="0" w:type="dxa"/>
            <w:vAlign w:val="bottom"/>
          </w:tcPr>
          <w:p>
            <w:pPr>
              <w:spacing w:after="0"/>
              <w:rPr>
                <w:sz w:val="1"/>
                <w:szCs w:val="1"/>
                <w:color w:val="auto"/>
              </w:rPr>
            </w:pPr>
          </w:p>
        </w:tc>
      </w:tr>
      <w:tr>
        <w:trPr>
          <w:trHeight w:val="317"/>
        </w:trPr>
        <w:tc>
          <w:tcPr>
            <w:tcW w:w="2680" w:type="dxa"/>
            <w:vAlign w:val="bottom"/>
          </w:tcPr>
          <w:p>
            <w:pPr>
              <w:spacing w:after="0"/>
              <w:rPr>
                <w:sz w:val="24"/>
                <w:szCs w:val="24"/>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Mr. Vaughn is the Founding and Managing Director of the Vaughn Advisory Group, LLC, a privately held</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company providing advisory and consulting services on global marketing, brand strategy, business strategy,</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organizational effectiveness, and executive coaching. Since October 2021, he has also served as the</w:t>
            </w:r>
          </w:p>
        </w:tc>
        <w:tc>
          <w:tcPr>
            <w:tcW w:w="0" w:type="dxa"/>
            <w:vAlign w:val="bottom"/>
          </w:tcPr>
          <w:p>
            <w:pPr>
              <w:spacing w:after="0"/>
              <w:rPr>
                <w:sz w:val="1"/>
                <w:szCs w:val="1"/>
                <w:color w:val="auto"/>
              </w:rPr>
            </w:pPr>
          </w:p>
        </w:tc>
      </w:tr>
      <w:tr>
        <w:trPr>
          <w:trHeight w:val="204"/>
        </w:trPr>
        <w:tc>
          <w:tcPr>
            <w:tcW w:w="2680" w:type="dxa"/>
            <w:vAlign w:val="bottom"/>
          </w:tcPr>
          <w:p>
            <w:pPr>
              <w:spacing w:after="0"/>
              <w:rPr>
                <w:sz w:val="17"/>
                <w:szCs w:val="17"/>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Chairman of the Board of Trustees of Vaughn College of Aeronautics and Technology in Queens, New</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York. From July 2018 to January 2020, Mr. Vaughn served as Chief Experience Officer of Avenues: The</w:t>
            </w:r>
          </w:p>
        </w:tc>
        <w:tc>
          <w:tcPr>
            <w:tcW w:w="0" w:type="dxa"/>
            <w:vAlign w:val="bottom"/>
          </w:tcPr>
          <w:p>
            <w:pPr>
              <w:spacing w:after="0"/>
              <w:rPr>
                <w:sz w:val="1"/>
                <w:szCs w:val="1"/>
                <w:color w:val="auto"/>
              </w:rPr>
            </w:pPr>
          </w:p>
        </w:tc>
      </w:tr>
      <w:tr>
        <w:trPr>
          <w:trHeight w:val="204"/>
        </w:trPr>
        <w:tc>
          <w:tcPr>
            <w:tcW w:w="2680" w:type="dxa"/>
            <w:vAlign w:val="bottom"/>
          </w:tcPr>
          <w:p>
            <w:pPr>
              <w:spacing w:after="0"/>
              <w:rPr>
                <w:sz w:val="17"/>
                <w:szCs w:val="17"/>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World School, a privately held, for-profit global network of independent schools headquartered in New York.</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From January 2013 through November 2014, he was the Senior Vice President of International Consumer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Products and Marketing of the American Express Company, providing strategic marketing leadership for</w:t>
            </w:r>
          </w:p>
        </w:tc>
        <w:tc>
          <w:tcPr>
            <w:tcW w:w="0" w:type="dxa"/>
            <w:vAlign w:val="bottom"/>
          </w:tcPr>
          <w:p>
            <w:pPr>
              <w:spacing w:after="0"/>
              <w:rPr>
                <w:sz w:val="1"/>
                <w:szCs w:val="1"/>
                <w:color w:val="auto"/>
              </w:rPr>
            </w:pPr>
          </w:p>
        </w:tc>
      </w:tr>
      <w:tr>
        <w:trPr>
          <w:trHeight w:val="204"/>
        </w:trPr>
        <w:tc>
          <w:tcPr>
            <w:tcW w:w="2680" w:type="dxa"/>
            <w:vAlign w:val="bottom"/>
          </w:tcPr>
          <w:p>
            <w:pPr>
              <w:spacing w:after="0"/>
              <w:rPr>
                <w:sz w:val="17"/>
                <w:szCs w:val="17"/>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the company’s consumer card-issuing and network businesses in over 160 countries worldwide, with a</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focus on product line strategy, benefit sourcing and management, product innovation, brand management,</w:t>
            </w:r>
          </w:p>
        </w:tc>
        <w:tc>
          <w:tcPr>
            <w:tcW w:w="0" w:type="dxa"/>
            <w:vAlign w:val="bottom"/>
          </w:tcPr>
          <w:p>
            <w:pPr>
              <w:spacing w:after="0"/>
              <w:rPr>
                <w:sz w:val="1"/>
                <w:szCs w:val="1"/>
                <w:color w:val="auto"/>
              </w:rPr>
            </w:pPr>
          </w:p>
        </w:tc>
      </w:tr>
      <w:tr>
        <w:trPr>
          <w:trHeight w:val="204"/>
        </w:trPr>
        <w:tc>
          <w:tcPr>
            <w:tcW w:w="2680" w:type="dxa"/>
            <w:vAlign w:val="bottom"/>
            <w:vMerge w:val="restart"/>
          </w:tcPr>
          <w:p>
            <w:pPr>
              <w:jc w:val="center"/>
              <w:ind w:right="213"/>
              <w:spacing w:after="0"/>
              <w:rPr>
                <w:sz w:val="20"/>
                <w:szCs w:val="20"/>
                <w:color w:val="auto"/>
              </w:rPr>
            </w:pPr>
            <w:r>
              <w:rPr>
                <w:rFonts w:ascii="Arial" w:cs="Arial" w:eastAsia="Arial" w:hAnsi="Arial"/>
                <w:sz w:val="25"/>
                <w:szCs w:val="25"/>
                <w:b w:val="1"/>
                <w:bCs w:val="1"/>
                <w:color w:val="032E5C"/>
                <w:w w:val="99"/>
              </w:rPr>
              <w:t>PETER A. VAUGHN</w:t>
            </w:r>
          </w:p>
        </w:tc>
        <w:tc>
          <w:tcPr>
            <w:tcW w:w="8000" w:type="dxa"/>
            <w:vAlign w:val="bottom"/>
          </w:tcPr>
          <w:p>
            <w:pPr>
              <w:ind w:left="300"/>
              <w:spacing w:after="0"/>
              <w:rPr>
                <w:sz w:val="20"/>
                <w:szCs w:val="20"/>
                <w:color w:val="auto"/>
              </w:rPr>
            </w:pPr>
            <w:r>
              <w:rPr>
                <w:rFonts w:ascii="Arial" w:cs="Arial" w:eastAsia="Arial" w:hAnsi="Arial"/>
                <w:sz w:val="16"/>
                <w:szCs w:val="16"/>
                <w:color w:val="032E5C"/>
              </w:rPr>
              <w:t>communications, and advertising. Previously, he held several senior marketing roles within American</w:t>
            </w:r>
          </w:p>
        </w:tc>
        <w:tc>
          <w:tcPr>
            <w:tcW w:w="0" w:type="dxa"/>
            <w:vAlign w:val="bottom"/>
          </w:tcPr>
          <w:p>
            <w:pPr>
              <w:spacing w:after="0"/>
              <w:rPr>
                <w:sz w:val="1"/>
                <w:szCs w:val="1"/>
                <w:color w:val="auto"/>
              </w:rPr>
            </w:pPr>
          </w:p>
        </w:tc>
      </w:tr>
      <w:tr>
        <w:trPr>
          <w:trHeight w:val="215"/>
        </w:trPr>
        <w:tc>
          <w:tcPr>
            <w:tcW w:w="2680" w:type="dxa"/>
            <w:vAlign w:val="bottom"/>
            <w:vMerge w:val="continue"/>
          </w:tcPr>
          <w:p>
            <w:pPr>
              <w:spacing w:after="0"/>
              <w:rPr>
                <w:sz w:val="18"/>
                <w:szCs w:val="18"/>
                <w:color w:val="auto"/>
              </w:rPr>
            </w:pPr>
          </w:p>
        </w:tc>
        <w:tc>
          <w:tcPr>
            <w:tcW w:w="8000" w:type="dxa"/>
            <w:vAlign w:val="bottom"/>
          </w:tcPr>
          <w:p>
            <w:pPr>
              <w:ind w:left="300"/>
              <w:spacing w:after="0"/>
              <w:rPr>
                <w:sz w:val="20"/>
                <w:szCs w:val="20"/>
                <w:color w:val="auto"/>
              </w:rPr>
            </w:pPr>
            <w:r>
              <w:rPr>
                <w:rFonts w:ascii="Arial" w:cs="Arial" w:eastAsia="Arial" w:hAnsi="Arial"/>
                <w:sz w:val="16"/>
                <w:szCs w:val="16"/>
                <w:color w:val="032E5C"/>
              </w:rPr>
              <w:t>Express, including serving as Chief Marketing Officer of Global Network Services from 2011 to January</w:t>
            </w:r>
          </w:p>
        </w:tc>
        <w:tc>
          <w:tcPr>
            <w:tcW w:w="0" w:type="dxa"/>
            <w:vAlign w:val="bottom"/>
          </w:tcPr>
          <w:p>
            <w:pPr>
              <w:spacing w:after="0"/>
              <w:rPr>
                <w:sz w:val="1"/>
                <w:szCs w:val="1"/>
                <w:color w:val="auto"/>
              </w:rPr>
            </w:pPr>
          </w:p>
        </w:tc>
      </w:tr>
      <w:tr>
        <w:trPr>
          <w:trHeight w:val="204"/>
        </w:trPr>
        <w:tc>
          <w:tcPr>
            <w:tcW w:w="2680" w:type="dxa"/>
            <w:vAlign w:val="bottom"/>
            <w:vMerge w:val="restart"/>
          </w:tcPr>
          <w:p>
            <w:pPr>
              <w:jc w:val="center"/>
              <w:ind w:right="213"/>
              <w:spacing w:after="0"/>
              <w:rPr>
                <w:sz w:val="20"/>
                <w:szCs w:val="20"/>
                <w:color w:val="auto"/>
              </w:rPr>
            </w:pPr>
            <w:r>
              <w:rPr>
                <w:rFonts w:ascii="Arial" w:cs="Arial" w:eastAsia="Arial" w:hAnsi="Arial"/>
                <w:sz w:val="16"/>
                <w:szCs w:val="16"/>
                <w:color w:val="032E5C"/>
              </w:rPr>
              <w:t>Founding and Managing Director,</w:t>
            </w:r>
          </w:p>
        </w:tc>
        <w:tc>
          <w:tcPr>
            <w:tcW w:w="8000" w:type="dxa"/>
            <w:vAlign w:val="bottom"/>
          </w:tcPr>
          <w:p>
            <w:pPr>
              <w:ind w:left="300"/>
              <w:spacing w:after="0"/>
              <w:rPr>
                <w:sz w:val="20"/>
                <w:szCs w:val="20"/>
                <w:color w:val="auto"/>
              </w:rPr>
            </w:pPr>
            <w:r>
              <w:rPr>
                <w:rFonts w:ascii="Arial" w:cs="Arial" w:eastAsia="Arial" w:hAnsi="Arial"/>
                <w:sz w:val="16"/>
                <w:szCs w:val="16"/>
                <w:color w:val="032E5C"/>
              </w:rPr>
              <w:t>2013, Senior Vice President of Global Brand Management from 2005 to 2011, Vice President of Marketing</w:t>
            </w:r>
          </w:p>
        </w:tc>
        <w:tc>
          <w:tcPr>
            <w:tcW w:w="0" w:type="dxa"/>
            <w:vAlign w:val="bottom"/>
          </w:tcPr>
          <w:p>
            <w:pPr>
              <w:spacing w:after="0"/>
              <w:rPr>
                <w:sz w:val="1"/>
                <w:szCs w:val="1"/>
                <w:color w:val="auto"/>
              </w:rPr>
            </w:pPr>
          </w:p>
        </w:tc>
      </w:tr>
      <w:tr>
        <w:trPr>
          <w:trHeight w:val="80"/>
        </w:trPr>
        <w:tc>
          <w:tcPr>
            <w:tcW w:w="2680" w:type="dxa"/>
            <w:vAlign w:val="bottom"/>
            <w:vMerge w:val="continue"/>
          </w:tcPr>
          <w:p>
            <w:pPr>
              <w:spacing w:after="0"/>
              <w:rPr>
                <w:sz w:val="6"/>
                <w:szCs w:val="6"/>
                <w:color w:val="auto"/>
              </w:rPr>
            </w:pPr>
          </w:p>
        </w:tc>
        <w:tc>
          <w:tcPr>
            <w:tcW w:w="8000" w:type="dxa"/>
            <w:vAlign w:val="bottom"/>
            <w:vMerge w:val="restart"/>
          </w:tcPr>
          <w:p>
            <w:pPr>
              <w:ind w:left="300"/>
              <w:spacing w:after="0"/>
              <w:rPr>
                <w:sz w:val="20"/>
                <w:szCs w:val="20"/>
                <w:color w:val="auto"/>
              </w:rPr>
            </w:pPr>
            <w:r>
              <w:rPr>
                <w:rFonts w:ascii="Arial" w:cs="Arial" w:eastAsia="Arial" w:hAnsi="Arial"/>
                <w:sz w:val="16"/>
                <w:szCs w:val="16"/>
                <w:color w:val="032E5C"/>
              </w:rPr>
              <w:t>for the Travelers Cheque and Prepaid Services Group from 2002 to 2004, Vice President and General</w:t>
            </w:r>
          </w:p>
        </w:tc>
        <w:tc>
          <w:tcPr>
            <w:tcW w:w="0" w:type="dxa"/>
            <w:vAlign w:val="bottom"/>
          </w:tcPr>
          <w:p>
            <w:pPr>
              <w:spacing w:after="0"/>
              <w:rPr>
                <w:sz w:val="1"/>
                <w:szCs w:val="1"/>
                <w:color w:val="auto"/>
              </w:rPr>
            </w:pPr>
          </w:p>
        </w:tc>
      </w:tr>
      <w:tr>
        <w:trPr>
          <w:trHeight w:val="135"/>
        </w:trPr>
        <w:tc>
          <w:tcPr>
            <w:tcW w:w="2680" w:type="dxa"/>
            <w:vAlign w:val="bottom"/>
            <w:vMerge w:val="restart"/>
          </w:tcPr>
          <w:p>
            <w:pPr>
              <w:jc w:val="center"/>
              <w:ind w:right="213"/>
              <w:spacing w:after="0"/>
              <w:rPr>
                <w:sz w:val="20"/>
                <w:szCs w:val="20"/>
                <w:color w:val="auto"/>
              </w:rPr>
            </w:pPr>
            <w:r>
              <w:rPr>
                <w:rFonts w:ascii="Arial" w:cs="Arial" w:eastAsia="Arial" w:hAnsi="Arial"/>
                <w:sz w:val="16"/>
                <w:szCs w:val="16"/>
                <w:color w:val="032E5C"/>
              </w:rPr>
              <w:t>Vaughn Advisory Group, LLC</w:t>
            </w:r>
          </w:p>
        </w:tc>
        <w:tc>
          <w:tcPr>
            <w:tcW w:w="8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80" w:type="dxa"/>
            <w:vAlign w:val="bottom"/>
            <w:vMerge w:val="continue"/>
          </w:tcPr>
          <w:p>
            <w:pPr>
              <w:spacing w:after="0"/>
              <w:rPr>
                <w:sz w:val="7"/>
                <w:szCs w:val="7"/>
                <w:color w:val="auto"/>
              </w:rPr>
            </w:pPr>
          </w:p>
        </w:tc>
        <w:tc>
          <w:tcPr>
            <w:tcW w:w="8000" w:type="dxa"/>
            <w:vAlign w:val="bottom"/>
            <w:vMerge w:val="restart"/>
          </w:tcPr>
          <w:p>
            <w:pPr>
              <w:ind w:left="300"/>
              <w:spacing w:after="0"/>
              <w:rPr>
                <w:sz w:val="20"/>
                <w:szCs w:val="20"/>
                <w:color w:val="auto"/>
              </w:rPr>
            </w:pPr>
            <w:r>
              <w:rPr>
                <w:rFonts w:ascii="Arial" w:cs="Arial" w:eastAsia="Arial" w:hAnsi="Arial"/>
                <w:sz w:val="16"/>
                <w:szCs w:val="16"/>
                <w:color w:val="032E5C"/>
              </w:rPr>
              <w:t>Manager of Lending for the Small Business Division in 2001, and Vice President of Acquisition and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8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680" w:type="dxa"/>
            <w:vAlign w:val="bottom"/>
          </w:tcPr>
          <w:p>
            <w:pPr>
              <w:jc w:val="center"/>
              <w:ind w:right="233"/>
              <w:spacing w:after="0"/>
              <w:rPr>
                <w:sz w:val="20"/>
                <w:szCs w:val="20"/>
                <w:color w:val="auto"/>
              </w:rPr>
            </w:pPr>
            <w:r>
              <w:rPr>
                <w:rFonts w:ascii="Arial" w:cs="Arial" w:eastAsia="Arial" w:hAnsi="Arial"/>
                <w:sz w:val="16"/>
                <w:szCs w:val="16"/>
                <w:b w:val="1"/>
                <w:bCs w:val="1"/>
                <w:color w:val="032E5C"/>
              </w:rPr>
              <w:t>Independent</w:t>
            </w:r>
          </w:p>
        </w:tc>
        <w:tc>
          <w:tcPr>
            <w:tcW w:w="8000" w:type="dxa"/>
            <w:vAlign w:val="bottom"/>
          </w:tcPr>
          <w:p>
            <w:pPr>
              <w:ind w:left="300"/>
              <w:spacing w:after="0"/>
              <w:rPr>
                <w:sz w:val="20"/>
                <w:szCs w:val="20"/>
                <w:color w:val="auto"/>
              </w:rPr>
            </w:pPr>
            <w:r>
              <w:rPr>
                <w:rFonts w:ascii="Arial" w:cs="Arial" w:eastAsia="Arial" w:hAnsi="Arial"/>
                <w:sz w:val="16"/>
                <w:szCs w:val="16"/>
                <w:color w:val="032E5C"/>
              </w:rPr>
              <w:t>Advertising for Small Business Services from 1999 to 2001. From 1994 to 1999, he held several positions</w:t>
            </w:r>
          </w:p>
        </w:tc>
        <w:tc>
          <w:tcPr>
            <w:tcW w:w="0" w:type="dxa"/>
            <w:vAlign w:val="bottom"/>
          </w:tcPr>
          <w:p>
            <w:pPr>
              <w:spacing w:after="0"/>
              <w:rPr>
                <w:sz w:val="1"/>
                <w:szCs w:val="1"/>
                <w:color w:val="auto"/>
              </w:rPr>
            </w:pPr>
          </w:p>
        </w:tc>
      </w:tr>
      <w:tr>
        <w:trPr>
          <w:trHeight w:val="215"/>
        </w:trPr>
        <w:tc>
          <w:tcPr>
            <w:tcW w:w="2680" w:type="dxa"/>
            <w:vAlign w:val="bottom"/>
            <w:vMerge w:val="restart"/>
          </w:tcPr>
          <w:p>
            <w:pPr>
              <w:jc w:val="center"/>
              <w:ind w:right="213"/>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60</w:t>
            </w:r>
          </w:p>
        </w:tc>
        <w:tc>
          <w:tcPr>
            <w:tcW w:w="8000" w:type="dxa"/>
            <w:vAlign w:val="bottom"/>
          </w:tcPr>
          <w:p>
            <w:pPr>
              <w:ind w:left="300"/>
              <w:spacing w:after="0"/>
              <w:rPr>
                <w:sz w:val="20"/>
                <w:szCs w:val="20"/>
                <w:color w:val="auto"/>
              </w:rPr>
            </w:pPr>
            <w:r>
              <w:rPr>
                <w:rFonts w:ascii="Arial" w:cs="Arial" w:eastAsia="Arial" w:hAnsi="Arial"/>
                <w:sz w:val="16"/>
                <w:szCs w:val="16"/>
                <w:color w:val="032E5C"/>
              </w:rPr>
              <w:t>overseas in the Consumer Services Group of American Express, including Vice President of International</w:t>
            </w:r>
          </w:p>
        </w:tc>
        <w:tc>
          <w:tcPr>
            <w:tcW w:w="0" w:type="dxa"/>
            <w:vAlign w:val="bottom"/>
          </w:tcPr>
          <w:p>
            <w:pPr>
              <w:spacing w:after="0"/>
              <w:rPr>
                <w:sz w:val="1"/>
                <w:szCs w:val="1"/>
                <w:color w:val="auto"/>
              </w:rPr>
            </w:pPr>
          </w:p>
        </w:tc>
      </w:tr>
      <w:tr>
        <w:trPr>
          <w:trHeight w:val="143"/>
        </w:trPr>
        <w:tc>
          <w:tcPr>
            <w:tcW w:w="2680" w:type="dxa"/>
            <w:vAlign w:val="bottom"/>
            <w:vMerge w:val="continue"/>
          </w:tcPr>
          <w:p>
            <w:pPr>
              <w:spacing w:after="0"/>
              <w:rPr>
                <w:sz w:val="12"/>
                <w:szCs w:val="12"/>
                <w:color w:val="auto"/>
              </w:rPr>
            </w:pPr>
          </w:p>
        </w:tc>
        <w:tc>
          <w:tcPr>
            <w:tcW w:w="8000" w:type="dxa"/>
            <w:vAlign w:val="bottom"/>
            <w:vMerge w:val="restart"/>
          </w:tcPr>
          <w:p>
            <w:pPr>
              <w:ind w:left="300"/>
              <w:spacing w:after="0"/>
              <w:rPr>
                <w:sz w:val="20"/>
                <w:szCs w:val="20"/>
                <w:color w:val="auto"/>
              </w:rPr>
            </w:pPr>
            <w:r>
              <w:rPr>
                <w:rFonts w:ascii="Arial" w:cs="Arial" w:eastAsia="Arial" w:hAnsi="Arial"/>
                <w:sz w:val="16"/>
                <w:szCs w:val="16"/>
                <w:color w:val="032E5C"/>
              </w:rPr>
              <w:t>Product Development, European Head of Revolving Credit and Lending, and Senior Director of European</w:t>
            </w: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8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680" w:type="dxa"/>
            <w:vAlign w:val="bottom"/>
            <w:vMerge w:val="restart"/>
          </w:tcPr>
          <w:p>
            <w:pPr>
              <w:jc w:val="center"/>
              <w:ind w:right="213"/>
              <w:spacing w:after="0"/>
              <w:rPr>
                <w:sz w:val="20"/>
                <w:szCs w:val="20"/>
                <w:color w:val="auto"/>
              </w:rPr>
            </w:pPr>
            <w:r>
              <w:rPr>
                <w:rFonts w:ascii="Arial" w:cs="Arial" w:eastAsia="Arial" w:hAnsi="Arial"/>
                <w:sz w:val="16"/>
                <w:szCs w:val="16"/>
                <w:b w:val="1"/>
                <w:bCs w:val="1"/>
                <w:color w:val="032E5C"/>
              </w:rPr>
              <w:t>Director Since:</w:t>
            </w:r>
          </w:p>
        </w:tc>
        <w:tc>
          <w:tcPr>
            <w:tcW w:w="8000" w:type="dxa"/>
            <w:vAlign w:val="bottom"/>
          </w:tcPr>
          <w:p>
            <w:pPr>
              <w:ind w:left="300"/>
              <w:spacing w:after="0"/>
              <w:rPr>
                <w:sz w:val="20"/>
                <w:szCs w:val="20"/>
                <w:color w:val="auto"/>
              </w:rPr>
            </w:pPr>
            <w:r>
              <w:rPr>
                <w:rFonts w:ascii="Arial" w:cs="Arial" w:eastAsia="Arial" w:hAnsi="Arial"/>
                <w:sz w:val="16"/>
                <w:szCs w:val="16"/>
                <w:color w:val="032E5C"/>
              </w:rPr>
              <w:t>Product Development. Mr. Vaughn joined American Express in 1992, acting as Director of Marketing for the</w:t>
            </w:r>
          </w:p>
        </w:tc>
        <w:tc>
          <w:tcPr>
            <w:tcW w:w="0" w:type="dxa"/>
            <w:vAlign w:val="bottom"/>
          </w:tcPr>
          <w:p>
            <w:pPr>
              <w:spacing w:after="0"/>
              <w:rPr>
                <w:sz w:val="1"/>
                <w:szCs w:val="1"/>
                <w:color w:val="auto"/>
              </w:rPr>
            </w:pPr>
          </w:p>
        </w:tc>
      </w:tr>
      <w:tr>
        <w:trPr>
          <w:trHeight w:val="55"/>
        </w:trPr>
        <w:tc>
          <w:tcPr>
            <w:tcW w:w="2680" w:type="dxa"/>
            <w:vAlign w:val="bottom"/>
            <w:vMerge w:val="continue"/>
          </w:tcPr>
          <w:p>
            <w:pPr>
              <w:spacing w:after="0"/>
              <w:rPr>
                <w:sz w:val="4"/>
                <w:szCs w:val="4"/>
                <w:color w:val="auto"/>
              </w:rPr>
            </w:pPr>
          </w:p>
        </w:tc>
        <w:tc>
          <w:tcPr>
            <w:tcW w:w="8000" w:type="dxa"/>
            <w:vAlign w:val="bottom"/>
            <w:vMerge w:val="restart"/>
          </w:tcPr>
          <w:p>
            <w:pPr>
              <w:ind w:left="300"/>
              <w:spacing w:after="0"/>
              <w:rPr>
                <w:sz w:val="20"/>
                <w:szCs w:val="20"/>
                <w:color w:val="auto"/>
              </w:rPr>
            </w:pPr>
            <w:r>
              <w:rPr>
                <w:rFonts w:ascii="Arial" w:cs="Arial" w:eastAsia="Arial" w:hAnsi="Arial"/>
                <w:sz w:val="16"/>
                <w:szCs w:val="16"/>
                <w:color w:val="032E5C"/>
              </w:rPr>
              <w:t>Consumer Financial Services Group.</w:t>
            </w:r>
          </w:p>
        </w:tc>
        <w:tc>
          <w:tcPr>
            <w:tcW w:w="0" w:type="dxa"/>
            <w:vAlign w:val="bottom"/>
          </w:tcPr>
          <w:p>
            <w:pPr>
              <w:spacing w:after="0"/>
              <w:rPr>
                <w:sz w:val="1"/>
                <w:szCs w:val="1"/>
                <w:color w:val="auto"/>
              </w:rPr>
            </w:pPr>
          </w:p>
        </w:tc>
      </w:tr>
      <w:tr>
        <w:trPr>
          <w:trHeight w:val="161"/>
        </w:trPr>
        <w:tc>
          <w:tcPr>
            <w:tcW w:w="2680" w:type="dxa"/>
            <w:vAlign w:val="bottom"/>
            <w:vMerge w:val="restart"/>
          </w:tcPr>
          <w:p>
            <w:pPr>
              <w:jc w:val="center"/>
              <w:ind w:right="233"/>
              <w:spacing w:after="0"/>
              <w:rPr>
                <w:sz w:val="20"/>
                <w:szCs w:val="20"/>
                <w:color w:val="auto"/>
              </w:rPr>
            </w:pPr>
            <w:r>
              <w:rPr>
                <w:rFonts w:ascii="Arial" w:cs="Arial" w:eastAsia="Arial" w:hAnsi="Arial"/>
                <w:sz w:val="16"/>
                <w:szCs w:val="16"/>
                <w:color w:val="032E5C"/>
              </w:rPr>
              <w:t>June 2013</w:t>
            </w:r>
          </w:p>
        </w:tc>
        <w:tc>
          <w:tcPr>
            <w:tcW w:w="8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680" w:type="dxa"/>
            <w:vAlign w:val="bottom"/>
            <w:vMerge w:val="continue"/>
          </w:tcPr>
          <w:p>
            <w:pPr>
              <w:spacing w:after="0"/>
              <w:rPr>
                <w:sz w:val="4"/>
                <w:szCs w:val="4"/>
                <w:color w:val="auto"/>
              </w:rPr>
            </w:pPr>
          </w:p>
        </w:tc>
        <w:tc>
          <w:tcPr>
            <w:tcW w:w="8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680" w:type="dxa"/>
            <w:vAlign w:val="bottom"/>
          </w:tcPr>
          <w:p>
            <w:pPr>
              <w:jc w:val="center"/>
              <w:ind w:right="213"/>
              <w:spacing w:after="0"/>
              <w:rPr>
                <w:sz w:val="20"/>
                <w:szCs w:val="20"/>
                <w:color w:val="auto"/>
              </w:rPr>
            </w:pPr>
            <w:r>
              <w:rPr>
                <w:rFonts w:ascii="Arial" w:cs="Arial" w:eastAsia="Arial" w:hAnsi="Arial"/>
                <w:sz w:val="16"/>
                <w:szCs w:val="16"/>
                <w:b w:val="1"/>
                <w:bCs w:val="1"/>
                <w:color w:val="032E5C"/>
              </w:rPr>
              <w:t>Committees:</w:t>
            </w:r>
          </w:p>
        </w:tc>
        <w:tc>
          <w:tcPr>
            <w:tcW w:w="8000" w:type="dxa"/>
            <w:vAlign w:val="bottom"/>
          </w:tcPr>
          <w:p>
            <w:pPr>
              <w:ind w:left="300"/>
              <w:spacing w:after="0"/>
              <w:rPr>
                <w:sz w:val="20"/>
                <w:szCs w:val="20"/>
                <w:color w:val="auto"/>
              </w:rPr>
            </w:pPr>
            <w:r>
              <w:rPr>
                <w:rFonts w:ascii="Arial" w:cs="Arial" w:eastAsia="Arial" w:hAnsi="Arial"/>
                <w:sz w:val="16"/>
                <w:szCs w:val="16"/>
                <w:b w:val="1"/>
                <w:bCs w:val="1"/>
                <w:color w:val="032E5C"/>
              </w:rPr>
              <w:t>Key Skills and Qualifications: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3160" w:type="dxa"/>
            <w:vAlign w:val="bottom"/>
          </w:tcPr>
          <w:p>
            <w:pPr>
              <w:spacing w:after="0"/>
              <w:rPr>
                <w:sz w:val="20"/>
                <w:szCs w:val="20"/>
                <w:color w:val="auto"/>
              </w:rPr>
            </w:pPr>
            <w:r>
              <w:rPr>
                <w:rFonts w:ascii="Arial" w:cs="Arial" w:eastAsia="Arial" w:hAnsi="Arial"/>
                <w:sz w:val="16"/>
                <w:szCs w:val="16"/>
                <w:color w:val="032E5C"/>
              </w:rPr>
              <w:t>Audit, Nominating &amp; Governance (Chair)</w:t>
            </w:r>
          </w:p>
        </w:tc>
        <w:tc>
          <w:tcPr>
            <w:tcW w:w="480" w:type="dxa"/>
            <w:vAlign w:val="bottom"/>
            <w:vMerge w:val="restart"/>
          </w:tcPr>
          <w:p>
            <w:pPr>
              <w:jc w:val="right"/>
              <w:spacing w:after="0"/>
              <w:rPr>
                <w:sz w:val="20"/>
                <w:szCs w:val="20"/>
                <w:color w:val="auto"/>
              </w:rPr>
            </w:pPr>
            <w:r>
              <w:rPr>
                <w:rFonts w:ascii="Wingdings" w:cs="Wingdings" w:eastAsia="Wingdings" w:hAnsi="Wingdings"/>
                <w:sz w:val="16"/>
                <w:szCs w:val="16"/>
                <w:b w:val="1"/>
                <w:bCs w:val="1"/>
                <w:color w:val="auto"/>
                <w:shd w:val="clear" w:color="auto" w:fill="3E5C7C"/>
              </w:rPr>
              <w:t>à</w:t>
            </w:r>
          </w:p>
        </w:tc>
        <w:tc>
          <w:tcPr>
            <w:tcW w:w="7220" w:type="dxa"/>
            <w:vAlign w:val="bottom"/>
            <w:vMerge w:val="restart"/>
          </w:tcPr>
          <w:p>
            <w:pPr>
              <w:ind w:left="100"/>
              <w:spacing w:after="0"/>
              <w:rPr>
                <w:sz w:val="20"/>
                <w:szCs w:val="20"/>
                <w:color w:val="auto"/>
              </w:rPr>
            </w:pPr>
            <w:r>
              <w:rPr>
                <w:rFonts w:ascii="Arial" w:cs="Arial" w:eastAsia="Arial" w:hAnsi="Arial"/>
                <w:sz w:val="16"/>
                <w:szCs w:val="16"/>
                <w:b w:val="1"/>
                <w:bCs w:val="1"/>
                <w:color w:val="032E5C"/>
              </w:rPr>
              <w:t xml:space="preserve">Leadership </w:t>
            </w:r>
            <w:r>
              <w:rPr>
                <w:rFonts w:ascii="Arial" w:cs="Arial" w:eastAsia="Arial" w:hAnsi="Arial"/>
                <w:sz w:val="16"/>
                <w:szCs w:val="16"/>
                <w:color w:val="032E5C"/>
              </w:rPr>
              <w:t>and</w:t>
            </w:r>
            <w:r>
              <w:rPr>
                <w:rFonts w:ascii="Arial" w:cs="Arial" w:eastAsia="Arial" w:hAnsi="Arial"/>
                <w:sz w:val="16"/>
                <w:szCs w:val="16"/>
                <w:b w:val="1"/>
                <w:bCs w:val="1"/>
                <w:color w:val="032E5C"/>
              </w:rPr>
              <w:t xml:space="preserve"> International </w:t>
            </w:r>
            <w:r>
              <w:rPr>
                <w:rFonts w:ascii="Arial" w:cs="Arial" w:eastAsia="Arial" w:hAnsi="Arial"/>
                <w:sz w:val="16"/>
                <w:szCs w:val="16"/>
                <w:color w:val="032E5C"/>
              </w:rPr>
              <w:t>experience—former senior global marketing positions and senior</w:t>
            </w:r>
          </w:p>
        </w:tc>
        <w:tc>
          <w:tcPr>
            <w:tcW w:w="0" w:type="dxa"/>
            <w:vAlign w:val="bottom"/>
          </w:tcPr>
          <w:p>
            <w:pPr>
              <w:spacing w:after="0"/>
              <w:rPr>
                <w:sz w:val="1"/>
                <w:szCs w:val="1"/>
                <w:color w:val="auto"/>
              </w:rPr>
            </w:pPr>
          </w:p>
        </w:tc>
      </w:tr>
      <w:tr>
        <w:trPr>
          <w:trHeight w:val="60"/>
        </w:trPr>
        <w:tc>
          <w:tcPr>
            <w:tcW w:w="3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3920" w:right="180"/>
        <w:spacing w:after="0" w:line="295" w:lineRule="auto"/>
        <w:rPr>
          <w:sz w:val="20"/>
          <w:szCs w:val="20"/>
          <w:color w:val="auto"/>
        </w:rPr>
      </w:pPr>
      <w:r>
        <w:rPr>
          <w:rFonts w:ascii="Arial" w:cs="Arial" w:eastAsia="Arial" w:hAnsi="Arial"/>
          <w:sz w:val="16"/>
          <w:szCs w:val="16"/>
          <w:color w:val="032E5C"/>
        </w:rPr>
        <w:t>business leader in multiple business lines at a global, public financial services company (American Express); executive of global school network (Avenues)</w:t>
      </w:r>
    </w:p>
    <w:p>
      <w:pPr>
        <w:spacing w:after="0" w:line="95" w:lineRule="exact"/>
        <w:rPr>
          <w:sz w:val="20"/>
          <w:szCs w:val="20"/>
          <w:color w:val="auto"/>
        </w:rPr>
      </w:pPr>
    </w:p>
    <w:p>
      <w:pPr>
        <w:jc w:val="both"/>
        <w:ind w:left="3920" w:right="100" w:hanging="323"/>
        <w:spacing w:after="0" w:line="282" w:lineRule="auto"/>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b w:val="1"/>
          <w:bCs w:val="1"/>
          <w:color w:val="032E5C"/>
        </w:rPr>
        <w:t>Marketing</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and</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b w:val="1"/>
          <w:bCs w:val="1"/>
          <w:color w:val="032E5C"/>
        </w:rPr>
        <w:t>Finance</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experience—principal of privately-held global brand strategy and marketing</w:t>
      </w:r>
      <w:r>
        <w:rPr>
          <w:rFonts w:ascii="Wingdings" w:cs="Wingdings" w:eastAsia="Wingdings" w:hAnsi="Wingdings"/>
          <w:sz w:val="16"/>
          <w:szCs w:val="16"/>
          <w:b w:val="1"/>
          <w:bCs w:val="1"/>
          <w:color w:val="auto"/>
          <w:shd w:val="clear" w:color="auto" w:fill="3E5C7C"/>
        </w:rPr>
        <w:t xml:space="preserve"> </w:t>
      </w:r>
      <w:r>
        <w:rPr>
          <w:rFonts w:ascii="Arial" w:cs="Arial" w:eastAsia="Arial" w:hAnsi="Arial"/>
          <w:sz w:val="16"/>
          <w:szCs w:val="16"/>
          <w:color w:val="032E5C"/>
        </w:rPr>
        <w:t>company (Vaughn Advisory Group); former senior global marketing positions and senior business leader in multiple business lines with operational marketing and profit/loss responsibility at a global, public financial services company (American Express); former senior executive of a global private school network (Avenues)</w:t>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032E5C"/>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848360"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032E5C"/>
        </w:rPr>
        <w:t xml:space="preserve">The Board of Directors recommends a vote </w:t>
      </w:r>
      <w:r>
        <w:rPr>
          <w:rFonts w:ascii="Arial" w:cs="Arial" w:eastAsia="Arial" w:hAnsi="Arial"/>
          <w:sz w:val="16"/>
          <w:szCs w:val="16"/>
          <w:b w:val="1"/>
          <w:bCs w:val="1"/>
          <w:color w:val="032E5C"/>
        </w:rPr>
        <w:t>"FOR"</w:t>
      </w:r>
      <w:r>
        <w:rPr>
          <w:rFonts w:ascii="Arial" w:cs="Arial" w:eastAsia="Arial" w:hAnsi="Arial"/>
          <w:sz w:val="16"/>
          <w:szCs w:val="16"/>
          <w:color w:val="032E5C"/>
        </w:rPr>
        <w:t xml:space="preserve"> the election of each of the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-124460</wp:posOffset>
            </wp:positionV>
            <wp:extent cx="6283325"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83325" cy="25717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2">
            <w:col w:w="980" w:space="620"/>
            <w:col w:w="9620"/>
          </w:cols>
          <w:pgMar w:left="320" w:top="16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24</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50"/>
          <w:szCs w:val="50"/>
          <w:b w:val="1"/>
          <w:bCs w:val="1"/>
          <w:color w:val="032E5C"/>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29292B"/>
        </w:rPr>
        <w:t>The Company’s executive officers, as well as additional information with respect to such persons, are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1540" w:type="dxa"/>
            <w:vAlign w:val="bottom"/>
            <w:shd w:val="clear" w:color="auto" w:fill="98BDE2"/>
          </w:tcPr>
          <w:p>
            <w:pPr>
              <w:jc w:val="center"/>
              <w:ind w:left="348"/>
              <w:spacing w:after="0"/>
              <w:rPr>
                <w:sz w:val="20"/>
                <w:szCs w:val="20"/>
                <w:color w:val="auto"/>
              </w:rPr>
            </w:pPr>
            <w:r>
              <w:rPr>
                <w:rFonts w:ascii="Arial" w:cs="Arial" w:eastAsia="Arial" w:hAnsi="Arial"/>
                <w:sz w:val="14"/>
                <w:szCs w:val="14"/>
                <w:b w:val="1"/>
                <w:bCs w:val="1"/>
                <w:color w:val="032E5C"/>
              </w:rPr>
              <w:t>Age</w:t>
            </w:r>
          </w:p>
        </w:tc>
        <w:tc>
          <w:tcPr>
            <w:tcW w:w="7060" w:type="dxa"/>
            <w:vAlign w:val="bottom"/>
            <w:shd w:val="clear" w:color="auto" w:fill="98BDE2"/>
          </w:tcPr>
          <w:p>
            <w:pPr>
              <w:ind w:left="440"/>
              <w:spacing w:after="0"/>
              <w:rPr>
                <w:sz w:val="20"/>
                <w:szCs w:val="20"/>
                <w:color w:val="auto"/>
              </w:rPr>
            </w:pPr>
            <w:r>
              <w:rPr>
                <w:rFonts w:ascii="Arial" w:cs="Arial" w:eastAsia="Arial" w:hAnsi="Arial"/>
                <w:sz w:val="14"/>
                <w:szCs w:val="14"/>
                <w:b w:val="1"/>
                <w:bCs w:val="1"/>
                <w:color w:val="032E5C"/>
              </w:rPr>
              <w:t>Position</w:t>
            </w:r>
          </w:p>
        </w:tc>
      </w:tr>
      <w:tr>
        <w:trPr>
          <w:trHeight w:val="81"/>
        </w:trPr>
        <w:tc>
          <w:tcPr>
            <w:tcW w:w="2640" w:type="dxa"/>
            <w:vAlign w:val="bottom"/>
            <w:shd w:val="clear" w:color="auto" w:fill="98BDE2"/>
          </w:tcPr>
          <w:p>
            <w:pPr>
              <w:spacing w:after="0"/>
              <w:rPr>
                <w:sz w:val="7"/>
                <w:szCs w:val="7"/>
                <w:color w:val="auto"/>
              </w:rPr>
            </w:pPr>
          </w:p>
        </w:tc>
        <w:tc>
          <w:tcPr>
            <w:tcW w:w="1540" w:type="dxa"/>
            <w:vAlign w:val="bottom"/>
            <w:shd w:val="clear" w:color="auto" w:fill="98BDE2"/>
          </w:tcPr>
          <w:p>
            <w:pPr>
              <w:spacing w:after="0"/>
              <w:rPr>
                <w:sz w:val="7"/>
                <w:szCs w:val="7"/>
                <w:color w:val="auto"/>
              </w:rPr>
            </w:pPr>
          </w:p>
        </w:tc>
        <w:tc>
          <w:tcPr>
            <w:tcW w:w="7060" w:type="dxa"/>
            <w:vAlign w:val="bottom"/>
            <w:shd w:val="clear" w:color="auto" w:fill="98BDE2"/>
          </w:tcPr>
          <w:p>
            <w:pPr>
              <w:spacing w:after="0"/>
              <w:rPr>
                <w:sz w:val="7"/>
                <w:szCs w:val="7"/>
                <w:color w:val="auto"/>
              </w:rPr>
            </w:pPr>
          </w:p>
        </w:tc>
      </w:tr>
      <w:tr>
        <w:trPr>
          <w:trHeight w:val="223"/>
        </w:trPr>
        <w:tc>
          <w:tcPr>
            <w:tcW w:w="26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1540" w:type="dxa"/>
            <w:vAlign w:val="bottom"/>
            <w:tcBorders>
              <w:bottom w:val="single" w:sz="8" w:color="98BDE2"/>
            </w:tcBorders>
          </w:tcPr>
          <w:p>
            <w:pPr>
              <w:jc w:val="center"/>
              <w:ind w:left="348"/>
              <w:spacing w:after="0"/>
              <w:rPr>
                <w:sz w:val="20"/>
                <w:szCs w:val="20"/>
                <w:color w:val="auto"/>
              </w:rPr>
            </w:pPr>
            <w:r>
              <w:rPr>
                <w:rFonts w:ascii="Arial" w:cs="Arial" w:eastAsia="Arial" w:hAnsi="Arial"/>
                <w:sz w:val="14"/>
                <w:szCs w:val="14"/>
                <w:color w:val="032E5C"/>
              </w:rPr>
              <w:t>57</w:t>
            </w:r>
          </w:p>
        </w:tc>
        <w:tc>
          <w:tcPr>
            <w:tcW w:w="7060" w:type="dxa"/>
            <w:vAlign w:val="bottom"/>
            <w:tcBorders>
              <w:bottom w:val="single" w:sz="8" w:color="98BDE2"/>
            </w:tcBorders>
          </w:tcPr>
          <w:p>
            <w:pPr>
              <w:ind w:left="440"/>
              <w:spacing w:after="0"/>
              <w:rPr>
                <w:sz w:val="20"/>
                <w:szCs w:val="20"/>
                <w:color w:val="auto"/>
              </w:rPr>
            </w:pPr>
            <w:r>
              <w:rPr>
                <w:rFonts w:ascii="Arial" w:cs="Arial" w:eastAsia="Arial" w:hAnsi="Arial"/>
                <w:sz w:val="14"/>
                <w:szCs w:val="14"/>
                <w:color w:val="032E5C"/>
              </w:rPr>
              <w:t>Executive Chairperson of the Board</w:t>
            </w:r>
          </w:p>
        </w:tc>
      </w:tr>
      <w:tr>
        <w:trPr>
          <w:trHeight w:val="223"/>
        </w:trPr>
        <w:tc>
          <w:tcPr>
            <w:tcW w:w="26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Kirsten A. Lynch</w:t>
            </w:r>
          </w:p>
        </w:tc>
        <w:tc>
          <w:tcPr>
            <w:tcW w:w="1540" w:type="dxa"/>
            <w:vAlign w:val="bottom"/>
            <w:tcBorders>
              <w:bottom w:val="single" w:sz="8" w:color="98BDE2"/>
            </w:tcBorders>
          </w:tcPr>
          <w:p>
            <w:pPr>
              <w:jc w:val="center"/>
              <w:ind w:left="348"/>
              <w:spacing w:after="0"/>
              <w:rPr>
                <w:sz w:val="20"/>
                <w:szCs w:val="20"/>
                <w:color w:val="auto"/>
              </w:rPr>
            </w:pPr>
            <w:r>
              <w:rPr>
                <w:rFonts w:ascii="Arial" w:cs="Arial" w:eastAsia="Arial" w:hAnsi="Arial"/>
                <w:sz w:val="14"/>
                <w:szCs w:val="14"/>
                <w:color w:val="032E5C"/>
              </w:rPr>
              <w:t>56</w:t>
            </w:r>
          </w:p>
        </w:tc>
        <w:tc>
          <w:tcPr>
            <w:tcW w:w="7060" w:type="dxa"/>
            <w:vAlign w:val="bottom"/>
            <w:tcBorders>
              <w:bottom w:val="single" w:sz="8" w:color="98BDE2"/>
            </w:tcBorders>
          </w:tcPr>
          <w:p>
            <w:pPr>
              <w:ind w:left="440"/>
              <w:spacing w:after="0"/>
              <w:rPr>
                <w:sz w:val="20"/>
                <w:szCs w:val="20"/>
                <w:color w:val="auto"/>
              </w:rPr>
            </w:pPr>
            <w:r>
              <w:rPr>
                <w:rFonts w:ascii="Arial" w:cs="Arial" w:eastAsia="Arial" w:hAnsi="Arial"/>
                <w:sz w:val="14"/>
                <w:szCs w:val="14"/>
                <w:color w:val="032E5C"/>
              </w:rPr>
              <w:t>Chief Executive Officer</w:t>
            </w:r>
          </w:p>
        </w:tc>
      </w:tr>
      <w:tr>
        <w:trPr>
          <w:trHeight w:val="223"/>
        </w:trPr>
        <w:tc>
          <w:tcPr>
            <w:tcW w:w="26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1540" w:type="dxa"/>
            <w:vAlign w:val="bottom"/>
            <w:tcBorders>
              <w:bottom w:val="single" w:sz="8" w:color="98BDE2"/>
            </w:tcBorders>
          </w:tcPr>
          <w:p>
            <w:pPr>
              <w:jc w:val="center"/>
              <w:ind w:left="348"/>
              <w:spacing w:after="0"/>
              <w:rPr>
                <w:sz w:val="20"/>
                <w:szCs w:val="20"/>
                <w:color w:val="auto"/>
              </w:rPr>
            </w:pPr>
            <w:r>
              <w:rPr>
                <w:rFonts w:ascii="Arial" w:cs="Arial" w:eastAsia="Arial" w:hAnsi="Arial"/>
                <w:sz w:val="14"/>
                <w:szCs w:val="14"/>
                <w:color w:val="032E5C"/>
              </w:rPr>
              <w:t>45</w:t>
            </w:r>
          </w:p>
        </w:tc>
        <w:tc>
          <w:tcPr>
            <w:tcW w:w="7060" w:type="dxa"/>
            <w:vAlign w:val="bottom"/>
            <w:tcBorders>
              <w:bottom w:val="single" w:sz="8" w:color="98BDE2"/>
            </w:tcBorders>
          </w:tcPr>
          <w:p>
            <w:pPr>
              <w:ind w:left="440"/>
              <w:spacing w:after="0"/>
              <w:rPr>
                <w:sz w:val="20"/>
                <w:szCs w:val="20"/>
                <w:color w:val="auto"/>
              </w:rPr>
            </w:pPr>
            <w:r>
              <w:rPr>
                <w:rFonts w:ascii="Arial" w:cs="Arial" w:eastAsia="Arial" w:hAnsi="Arial"/>
                <w:sz w:val="14"/>
                <w:szCs w:val="14"/>
                <w:color w:val="032E5C"/>
              </w:rPr>
              <w:t>Executive Vice President and Chief Financial Officer</w:t>
            </w:r>
          </w:p>
        </w:tc>
      </w:tr>
      <w:tr>
        <w:trPr>
          <w:trHeight w:val="223"/>
        </w:trPr>
        <w:tc>
          <w:tcPr>
            <w:tcW w:w="26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C. Rock</w:t>
            </w:r>
          </w:p>
        </w:tc>
        <w:tc>
          <w:tcPr>
            <w:tcW w:w="1540" w:type="dxa"/>
            <w:vAlign w:val="bottom"/>
            <w:tcBorders>
              <w:bottom w:val="single" w:sz="8" w:color="98BDE2"/>
            </w:tcBorders>
          </w:tcPr>
          <w:p>
            <w:pPr>
              <w:jc w:val="center"/>
              <w:ind w:left="348"/>
              <w:spacing w:after="0"/>
              <w:rPr>
                <w:sz w:val="20"/>
                <w:szCs w:val="20"/>
                <w:color w:val="auto"/>
              </w:rPr>
            </w:pPr>
            <w:r>
              <w:rPr>
                <w:rFonts w:ascii="Arial" w:cs="Arial" w:eastAsia="Arial" w:hAnsi="Arial"/>
                <w:sz w:val="14"/>
                <w:szCs w:val="14"/>
                <w:color w:val="032E5C"/>
              </w:rPr>
              <w:t>59</w:t>
            </w:r>
          </w:p>
        </w:tc>
        <w:tc>
          <w:tcPr>
            <w:tcW w:w="7060" w:type="dxa"/>
            <w:vAlign w:val="bottom"/>
            <w:tcBorders>
              <w:bottom w:val="single" w:sz="8" w:color="98BDE2"/>
            </w:tcBorders>
          </w:tcPr>
          <w:p>
            <w:pPr>
              <w:ind w:left="440"/>
              <w:spacing w:after="0"/>
              <w:rPr>
                <w:sz w:val="20"/>
                <w:szCs w:val="20"/>
                <w:color w:val="auto"/>
              </w:rPr>
            </w:pPr>
            <w:r>
              <w:rPr>
                <w:rFonts w:ascii="Arial" w:cs="Arial" w:eastAsia="Arial" w:hAnsi="Arial"/>
                <w:sz w:val="14"/>
                <w:szCs w:val="14"/>
                <w:color w:val="032E5C"/>
              </w:rPr>
              <w:t>President - Mountain Division</w:t>
            </w:r>
          </w:p>
        </w:tc>
      </w:tr>
      <w:tr>
        <w:trPr>
          <w:trHeight w:val="223"/>
        </w:trPr>
        <w:tc>
          <w:tcPr>
            <w:tcW w:w="26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Julie A. DeCecco</w:t>
            </w:r>
          </w:p>
        </w:tc>
        <w:tc>
          <w:tcPr>
            <w:tcW w:w="1540" w:type="dxa"/>
            <w:vAlign w:val="bottom"/>
            <w:tcBorders>
              <w:bottom w:val="single" w:sz="8" w:color="98BDE2"/>
            </w:tcBorders>
          </w:tcPr>
          <w:p>
            <w:pPr>
              <w:jc w:val="center"/>
              <w:ind w:left="348"/>
              <w:spacing w:after="0"/>
              <w:rPr>
                <w:sz w:val="20"/>
                <w:szCs w:val="20"/>
                <w:color w:val="auto"/>
              </w:rPr>
            </w:pPr>
            <w:r>
              <w:rPr>
                <w:rFonts w:ascii="Arial" w:cs="Arial" w:eastAsia="Arial" w:hAnsi="Arial"/>
                <w:sz w:val="14"/>
                <w:szCs w:val="14"/>
                <w:color w:val="032E5C"/>
              </w:rPr>
              <w:t>52</w:t>
            </w:r>
          </w:p>
        </w:tc>
        <w:tc>
          <w:tcPr>
            <w:tcW w:w="7060" w:type="dxa"/>
            <w:vAlign w:val="bottom"/>
            <w:tcBorders>
              <w:bottom w:val="single" w:sz="8" w:color="98BDE2"/>
            </w:tcBorders>
          </w:tcPr>
          <w:p>
            <w:pPr>
              <w:ind w:left="440"/>
              <w:spacing w:after="0"/>
              <w:rPr>
                <w:sz w:val="20"/>
                <w:szCs w:val="20"/>
                <w:color w:val="auto"/>
              </w:rPr>
            </w:pPr>
            <w:r>
              <w:rPr>
                <w:rFonts w:ascii="Arial" w:cs="Arial" w:eastAsia="Arial" w:hAnsi="Arial"/>
                <w:sz w:val="14"/>
                <w:szCs w:val="14"/>
                <w:color w:val="032E5C"/>
              </w:rPr>
              <w:t>Executive Vice President, General Counsel and Chief Public Affairs Officer</w:t>
            </w:r>
          </w:p>
        </w:tc>
      </w:tr>
      <w:tr>
        <w:trPr>
          <w:trHeight w:val="223"/>
        </w:trPr>
        <w:tc>
          <w:tcPr>
            <w:tcW w:w="26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Courtney K. Goldstein</w:t>
            </w:r>
          </w:p>
        </w:tc>
        <w:tc>
          <w:tcPr>
            <w:tcW w:w="1540" w:type="dxa"/>
            <w:vAlign w:val="bottom"/>
            <w:tcBorders>
              <w:bottom w:val="single" w:sz="8" w:color="98BDE2"/>
            </w:tcBorders>
          </w:tcPr>
          <w:p>
            <w:pPr>
              <w:jc w:val="center"/>
              <w:ind w:left="348"/>
              <w:spacing w:after="0"/>
              <w:rPr>
                <w:sz w:val="20"/>
                <w:szCs w:val="20"/>
                <w:color w:val="auto"/>
              </w:rPr>
            </w:pPr>
            <w:r>
              <w:rPr>
                <w:rFonts w:ascii="Arial" w:cs="Arial" w:eastAsia="Arial" w:hAnsi="Arial"/>
                <w:sz w:val="14"/>
                <w:szCs w:val="14"/>
                <w:color w:val="032E5C"/>
              </w:rPr>
              <w:t>46</w:t>
            </w:r>
          </w:p>
        </w:tc>
        <w:tc>
          <w:tcPr>
            <w:tcW w:w="7060" w:type="dxa"/>
            <w:vAlign w:val="bottom"/>
            <w:tcBorders>
              <w:bottom w:val="single" w:sz="8" w:color="98BDE2"/>
            </w:tcBorders>
          </w:tcPr>
          <w:p>
            <w:pPr>
              <w:ind w:left="440"/>
              <w:spacing w:after="0"/>
              <w:rPr>
                <w:sz w:val="20"/>
                <w:szCs w:val="20"/>
                <w:color w:val="auto"/>
              </w:rPr>
            </w:pPr>
            <w:r>
              <w:rPr>
                <w:rFonts w:ascii="Arial" w:cs="Arial" w:eastAsia="Arial" w:hAnsi="Arial"/>
                <w:sz w:val="14"/>
                <w:szCs w:val="14"/>
                <w:color w:val="032E5C"/>
              </w:rPr>
              <w:t>Executive Vice President, Chief Marketing Officer</w:t>
            </w:r>
          </w:p>
        </w:tc>
      </w:tr>
      <w:tr>
        <w:trPr>
          <w:trHeight w:val="237"/>
        </w:trPr>
        <w:tc>
          <w:tcPr>
            <w:tcW w:w="2640" w:type="dxa"/>
            <w:vAlign w:val="bottom"/>
            <w:tcBorders>
              <w:bottom w:val="single" w:sz="8" w:color="3E5C7C"/>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Gregory J. Sullivan</w:t>
            </w:r>
          </w:p>
        </w:tc>
        <w:tc>
          <w:tcPr>
            <w:tcW w:w="1540" w:type="dxa"/>
            <w:vAlign w:val="bottom"/>
            <w:tcBorders>
              <w:bottom w:val="single" w:sz="8" w:color="3E5C7C"/>
            </w:tcBorders>
          </w:tcPr>
          <w:p>
            <w:pPr>
              <w:jc w:val="center"/>
              <w:ind w:left="348"/>
              <w:spacing w:after="0"/>
              <w:rPr>
                <w:sz w:val="20"/>
                <w:szCs w:val="20"/>
                <w:color w:val="auto"/>
              </w:rPr>
            </w:pPr>
            <w:r>
              <w:rPr>
                <w:rFonts w:ascii="Arial" w:cs="Arial" w:eastAsia="Arial" w:hAnsi="Arial"/>
                <w:sz w:val="14"/>
                <w:szCs w:val="14"/>
                <w:color w:val="032E5C"/>
              </w:rPr>
              <w:t>53</w:t>
            </w:r>
          </w:p>
        </w:tc>
        <w:tc>
          <w:tcPr>
            <w:tcW w:w="7060" w:type="dxa"/>
            <w:vAlign w:val="bottom"/>
            <w:tcBorders>
              <w:bottom w:val="single" w:sz="8" w:color="3E5C7C"/>
            </w:tcBorders>
          </w:tcPr>
          <w:p>
            <w:pPr>
              <w:ind w:left="440"/>
              <w:spacing w:after="0"/>
              <w:rPr>
                <w:sz w:val="20"/>
                <w:szCs w:val="20"/>
                <w:color w:val="auto"/>
              </w:rPr>
            </w:pPr>
            <w:r>
              <w:rPr>
                <w:rFonts w:ascii="Arial" w:cs="Arial" w:eastAsia="Arial" w:hAnsi="Arial"/>
                <w:sz w:val="14"/>
                <w:szCs w:val="14"/>
                <w:color w:val="032E5C"/>
              </w:rPr>
              <w:t>Executive Vice President, Retail/Rental &amp; Hospitality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29292B"/>
        </w:rPr>
        <w:t>For biographical information about Ms. Lynch and Mr. Katz, see “Director Nominees” above.</w:t>
      </w:r>
    </w:p>
    <w:p>
      <w:pPr>
        <w:spacing w:after="0" w:line="18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b w:val="1"/>
          <w:bCs w:val="1"/>
          <w:color w:val="29292B"/>
        </w:rPr>
        <w:t xml:space="preserve">Angela A. Korch </w:t>
      </w:r>
      <w:r>
        <w:rPr>
          <w:rFonts w:ascii="Arial" w:cs="Arial" w:eastAsia="Arial" w:hAnsi="Arial"/>
          <w:sz w:val="16"/>
          <w:szCs w:val="16"/>
          <w:color w:val="29292B"/>
        </w:rPr>
        <w:t>has served as the Company’s Executive Vice President and Chief Financial Officer since December 2022. Ms. Korch rejoined Vail Resorts</w:t>
      </w:r>
      <w:r>
        <w:rPr>
          <w:rFonts w:ascii="Arial" w:cs="Arial" w:eastAsia="Arial" w:hAnsi="Arial"/>
          <w:sz w:val="16"/>
          <w:szCs w:val="16"/>
          <w:b w:val="1"/>
          <w:bCs w:val="1"/>
          <w:color w:val="29292B"/>
        </w:rPr>
        <w:t xml:space="preserve"> </w:t>
      </w:r>
      <w:r>
        <w:rPr>
          <w:rFonts w:ascii="Arial" w:cs="Arial" w:eastAsia="Arial" w:hAnsi="Arial"/>
          <w:sz w:val="16"/>
          <w:szCs w:val="16"/>
          <w:color w:val="29292B"/>
        </w:rPr>
        <w:t>from CorePower Yoga, where she served as Chief Financial Officer from May 2020 through December 2022. Prior to CorePower Yoga, Ms. Korch spent more than a decade at Vail Resorts in several leadership roles within the Finance Organization, most recently as Vice President of Corporate &amp; Mountain Finance. Prior to Vail Resorts, Angela was an Assistant Portfolio Manager at Muzinich &amp; Company. She earned her MBA in finance from NYU Stern School of Business, is a CFA charter holder, and has a BS degree from Cornell University.</w:t>
      </w:r>
    </w:p>
    <w:p>
      <w:pPr>
        <w:spacing w:after="0" w:line="104"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29292B"/>
        </w:rPr>
        <w:t xml:space="preserve">William C. Rock </w:t>
      </w:r>
      <w:r>
        <w:rPr>
          <w:rFonts w:ascii="Arial" w:cs="Arial" w:eastAsia="Arial" w:hAnsi="Arial"/>
          <w:sz w:val="16"/>
          <w:szCs w:val="16"/>
          <w:color w:val="29292B"/>
        </w:rPr>
        <w:t>has served as the Company’s President of the Mountain Division since May 2023. Prior thereto, Mr. Rock served as Company’s Executive</w:t>
      </w:r>
      <w:r>
        <w:rPr>
          <w:rFonts w:ascii="Arial" w:cs="Arial" w:eastAsia="Arial" w:hAnsi="Arial"/>
          <w:sz w:val="16"/>
          <w:szCs w:val="16"/>
          <w:b w:val="1"/>
          <w:bCs w:val="1"/>
          <w:color w:val="29292B"/>
        </w:rPr>
        <w:t xml:space="preserve"> </w:t>
      </w:r>
      <w:r>
        <w:rPr>
          <w:rFonts w:ascii="Arial" w:cs="Arial" w:eastAsia="Arial" w:hAnsi="Arial"/>
          <w:sz w:val="16"/>
          <w:szCs w:val="16"/>
          <w:color w:val="29292B"/>
        </w:rPr>
        <w:t>Vice President of Mountain Operations from June 2021 to May 2023, and from September 2019 until June 2021 served as Senior Vice President and Chief Operating Officer of the Rocky Mountain region with oversight responsibility for Vail Mountain, Beaver Creek, Breckenridge, Keystone, and Crested Butte in Colorado as well as Park City Mountain in Utah. Prior to this role, Mr. Rock was Senior Vice President and Chief Operating Officer of Park City Mountain, a role he began in October 2014. After joining the Company as the Vice President and Chief Operating Officer of Northstar California Resort in 2010, Mr. Rock oversaw operations for the Company’s three resorts in the Tahoe region. Mr. Rock started his career in the mountain resort industry in 1996 at Bristol Mountain in New York as Director of Marketing and subsequently held several leadership roles in the industry.</w:t>
      </w:r>
    </w:p>
    <w:p>
      <w:pPr>
        <w:spacing w:after="0" w:line="102"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b w:val="1"/>
          <w:bCs w:val="1"/>
          <w:color w:val="29292B"/>
        </w:rPr>
        <w:t xml:space="preserve">Julie A. DeCecco </w:t>
      </w:r>
      <w:r>
        <w:rPr>
          <w:rFonts w:ascii="Arial" w:cs="Arial" w:eastAsia="Arial" w:hAnsi="Arial"/>
          <w:sz w:val="16"/>
          <w:szCs w:val="16"/>
          <w:color w:val="29292B"/>
        </w:rPr>
        <w:t>has served as the Company’s Executive Vice President, General Counsel, and Secretary since February 2024 and oversees legal,</w:t>
      </w:r>
      <w:r>
        <w:rPr>
          <w:rFonts w:ascii="Arial" w:cs="Arial" w:eastAsia="Arial" w:hAnsi="Arial"/>
          <w:sz w:val="16"/>
          <w:szCs w:val="16"/>
          <w:b w:val="1"/>
          <w:bCs w:val="1"/>
          <w:color w:val="29292B"/>
        </w:rPr>
        <w:t xml:space="preserve"> </w:t>
      </w:r>
      <w:r>
        <w:rPr>
          <w:rFonts w:ascii="Arial" w:cs="Arial" w:eastAsia="Arial" w:hAnsi="Arial"/>
          <w:sz w:val="16"/>
          <w:szCs w:val="16"/>
          <w:color w:val="29292B"/>
        </w:rPr>
        <w:t>governance, compliance, internal audit, health and safety, and real estate. In October 2024 Ms. DeCecco was appointed Chief Public Affairs Officer, overseeing communications, government and community relations, sustainability and Vail Resorts’ corporate social responsibility platform, EpicPromise. She joined the Company in 2017 as Associate General Counsel and was promoted to Deputy General Counsel in 2018. In these roles, she supported the growth of the mountain division, including the acquisition and legal integration of 30 resorts, led legal support for the Company’s pass portfolio and advance commitment strategies, and was responsible for corporate governance. From 2018 to 2022 Julie also oversaw community relations. Prior to joining the Company, Ms. DeCecco was Vice President, Associate General Counsel at DaVita Inc. and Director, Associate General Counsel at Sun Microsystems Inc. Ms. DeCecco received her JD from the University of Colorado, Boulder, and her BA from UC San Diego.</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25</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1440" w:type="dxa"/>
            <w:vAlign w:val="bottom"/>
            <w:vMerge w:val="restart"/>
            <w:shd w:val="clear" w:color="auto" w:fill="98BDE2"/>
          </w:tcPr>
          <w:p>
            <w:pPr>
              <w:ind w:left="260"/>
              <w:spacing w:after="0"/>
              <w:rPr>
                <w:sz w:val="20"/>
                <w:szCs w:val="20"/>
                <w:color w:val="auto"/>
              </w:rPr>
            </w:pPr>
            <w:r>
              <w:rPr>
                <w:rFonts w:ascii="Arial" w:cs="Arial" w:eastAsia="Arial" w:hAnsi="Arial"/>
                <w:sz w:val="13"/>
                <w:szCs w:val="13"/>
                <w:b w:val="1"/>
                <w:bCs w:val="1"/>
                <w:color w:val="032E5C"/>
              </w:rPr>
              <w:t>MANAGEMENT</w:t>
            </w:r>
          </w:p>
        </w:tc>
        <w:tc>
          <w:tcPr>
            <w:tcW w:w="9780" w:type="dxa"/>
            <w:vAlign w:val="bottom"/>
          </w:tcPr>
          <w:p>
            <w:pPr>
              <w:ind w:left="86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440" w:type="dxa"/>
            <w:vAlign w:val="bottom"/>
            <w:vMerge w:val="continue"/>
            <w:shd w:val="clear" w:color="auto" w:fill="98BDE2"/>
          </w:tcPr>
          <w:p>
            <w:pPr>
              <w:spacing w:after="0"/>
              <w:rPr>
                <w:sz w:val="4"/>
                <w:szCs w:val="4"/>
                <w:color w:val="auto"/>
              </w:rPr>
            </w:pPr>
          </w:p>
        </w:tc>
        <w:tc>
          <w:tcPr>
            <w:tcW w:w="9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440" w:type="dxa"/>
            <w:vAlign w:val="bottom"/>
            <w:shd w:val="clear" w:color="auto" w:fill="98BDE2"/>
          </w:tcPr>
          <w:p>
            <w:pPr>
              <w:spacing w:after="0"/>
              <w:rPr>
                <w:sz w:val="10"/>
                <w:szCs w:val="10"/>
                <w:color w:val="auto"/>
              </w:rPr>
            </w:pPr>
          </w:p>
        </w:tc>
        <w:tc>
          <w:tcPr>
            <w:tcW w:w="9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b w:val="1"/>
          <w:bCs w:val="1"/>
          <w:color w:val="29292B"/>
        </w:rPr>
        <w:t xml:space="preserve">Courtney K. Goldstein </w:t>
      </w:r>
      <w:r>
        <w:rPr>
          <w:rFonts w:ascii="Arial" w:cs="Arial" w:eastAsia="Arial" w:hAnsi="Arial"/>
          <w:sz w:val="16"/>
          <w:szCs w:val="16"/>
          <w:color w:val="29292B"/>
        </w:rPr>
        <w:t>has served as the Company’s Executive Vice President, Chief Marketing Officer since April 2024. From August 2013 until April</w:t>
      </w:r>
      <w:r>
        <w:rPr>
          <w:rFonts w:ascii="Arial" w:cs="Arial" w:eastAsia="Arial" w:hAnsi="Arial"/>
          <w:sz w:val="16"/>
          <w:szCs w:val="16"/>
          <w:b w:val="1"/>
          <w:bCs w:val="1"/>
          <w:color w:val="29292B"/>
        </w:rPr>
        <w:t xml:space="preserve"> </w:t>
      </w:r>
      <w:r>
        <w:rPr>
          <w:rFonts w:ascii="Arial" w:cs="Arial" w:eastAsia="Arial" w:hAnsi="Arial"/>
          <w:sz w:val="16"/>
          <w:szCs w:val="16"/>
          <w:color w:val="29292B"/>
        </w:rPr>
        <w:t>2024, she served in progressively more senior leadership roles at Comcast Corporation, including Senior Vice President of Consumer Marketing, Growth, and Engagement. During her ten-year tenure she transformed the consumer experience through data-driven performance marketing and she led ecommerce and digital media. Prior to Comcast, Ms. Goldstein worked for American Express for ten years, including as Vice President of Consumer Card Prospect Acquisition &amp; Customer Marketing Strategy. Ms. Goldstein received her MBA from Columbia University and her BS in Economics from The Wharton School of the University of Pennsylvania</w:t>
      </w:r>
      <w:r>
        <w:rPr>
          <w:rFonts w:ascii="Calibri" w:cs="Calibri" w:eastAsia="Calibri" w:hAnsi="Calibri"/>
          <w:sz w:val="19"/>
          <w:szCs w:val="19"/>
          <w:color w:val="000000"/>
        </w:rPr>
        <w:t>.</w:t>
      </w:r>
    </w:p>
    <w:p>
      <w:pPr>
        <w:spacing w:after="0" w:line="259"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29292B"/>
        </w:rPr>
        <w:t xml:space="preserve">Gregory J. Sullivan </w:t>
      </w:r>
      <w:r>
        <w:rPr>
          <w:rFonts w:ascii="Arial" w:cs="Arial" w:eastAsia="Arial" w:hAnsi="Arial"/>
          <w:sz w:val="16"/>
          <w:szCs w:val="16"/>
          <w:color w:val="29292B"/>
        </w:rPr>
        <w:t>has served as the Company's Executive Vice President of Retail/Rental and Hospitality since October 2022. Prior thereto, Mr. Sullivan</w:t>
      </w:r>
      <w:r>
        <w:rPr>
          <w:rFonts w:ascii="Arial" w:cs="Arial" w:eastAsia="Arial" w:hAnsi="Arial"/>
          <w:sz w:val="16"/>
          <w:szCs w:val="16"/>
          <w:b w:val="1"/>
          <w:bCs w:val="1"/>
          <w:color w:val="29292B"/>
        </w:rPr>
        <w:t xml:space="preserve"> </w:t>
      </w:r>
      <w:r>
        <w:rPr>
          <w:rFonts w:ascii="Arial" w:cs="Arial" w:eastAsia="Arial" w:hAnsi="Arial"/>
          <w:sz w:val="16"/>
          <w:szCs w:val="16"/>
          <w:color w:val="29292B"/>
        </w:rPr>
        <w:t>served as the Company's Senior Vice President of Retail and Hospitality from June 2021 to October 2022. Mr. Sullivan joined the Company in September 2016 as Chief Operating Officer of Rental and Retail. Prior to joining Vail Resorts, Mr. Sullivan was the Senior Vice President of Global Business Transformation at Crocs, Inc. and before that he held numerous roles in a 20-year career with Walmart, culminating as a Division President, overseeing the Southeast Division based in Atlanta. Mr. Sullivan has previously served on the board of directors for SOS Outreach and as a council member of Executive Leadership Development for the American Diabetes Association.</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26</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59"/>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31" w:name="page32"/>
    <w:bookmarkEnd w:id="31"/>
    <w:p>
      <w:pPr>
        <w:ind w:right="260"/>
        <w:spacing w:after="0" w:line="304" w:lineRule="auto"/>
        <w:rPr>
          <w:sz w:val="20"/>
          <w:szCs w:val="20"/>
          <w:color w:val="auto"/>
        </w:rPr>
      </w:pPr>
      <w:r>
        <w:rPr>
          <w:rFonts w:ascii="Arial" w:cs="Arial" w:eastAsia="Arial" w:hAnsi="Arial"/>
          <w:sz w:val="50"/>
          <w:szCs w:val="50"/>
          <w:b w:val="1"/>
          <w:bCs w:val="1"/>
          <w:color w:val="032E5C"/>
        </w:rPr>
        <w:t>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975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29292B"/>
        </w:rPr>
        <w:t>Set forth in the following table is the beneficial ownership of common stock at the close of business on October 8, 2024 for all directors, nominees, named executive officers, and all directors and executive officers as a group as of such date (except as otherwise indicated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3960" w:type="dxa"/>
            <w:vAlign w:val="bottom"/>
            <w:gridSpan w:val="2"/>
            <w:shd w:val="clear" w:color="auto" w:fill="3E5C7C"/>
          </w:tcPr>
          <w:p>
            <w:pPr>
              <w:jc w:val="right"/>
              <w:ind w:right="749"/>
              <w:spacing w:after="0"/>
              <w:rPr>
                <w:sz w:val="20"/>
                <w:szCs w:val="20"/>
                <w:color w:val="auto"/>
              </w:rPr>
            </w:pPr>
            <w:r>
              <w:rPr>
                <w:rFonts w:ascii="Arial" w:cs="Arial" w:eastAsia="Arial" w:hAnsi="Arial"/>
                <w:sz w:val="14"/>
                <w:szCs w:val="14"/>
                <w:b w:val="1"/>
                <w:bCs w:val="1"/>
                <w:color w:val="FFFFFF"/>
              </w:rPr>
              <w:t>Common Stock Beneficially Owned</w:t>
            </w:r>
          </w:p>
        </w:tc>
      </w:tr>
      <w:tr>
        <w:trPr>
          <w:trHeight w:val="191"/>
        </w:trPr>
        <w:tc>
          <w:tcPr>
            <w:tcW w:w="160" w:type="dxa"/>
            <w:vAlign w:val="bottom"/>
            <w:shd w:val="clear" w:color="auto" w:fill="98BDE2"/>
          </w:tcPr>
          <w:p>
            <w:pPr>
              <w:spacing w:after="0"/>
              <w:rPr>
                <w:sz w:val="16"/>
                <w:szCs w:val="16"/>
                <w:color w:val="auto"/>
              </w:rPr>
            </w:pPr>
          </w:p>
        </w:tc>
        <w:tc>
          <w:tcPr>
            <w:tcW w:w="7120" w:type="dxa"/>
            <w:vAlign w:val="bottom"/>
            <w:shd w:val="clear" w:color="auto" w:fill="98BDE2"/>
          </w:tcPr>
          <w:p>
            <w:pPr>
              <w:spacing w:after="0"/>
              <w:rPr>
                <w:sz w:val="16"/>
                <w:szCs w:val="16"/>
                <w:color w:val="auto"/>
              </w:rPr>
            </w:pPr>
          </w:p>
        </w:tc>
        <w:tc>
          <w:tcPr>
            <w:tcW w:w="2320" w:type="dxa"/>
            <w:vAlign w:val="bottom"/>
            <w:shd w:val="clear" w:color="auto" w:fill="98BDE2"/>
          </w:tcPr>
          <w:p>
            <w:pPr>
              <w:jc w:val="right"/>
              <w:ind w:right="328"/>
              <w:spacing w:after="0"/>
              <w:rPr>
                <w:sz w:val="20"/>
                <w:szCs w:val="20"/>
                <w:color w:val="auto"/>
              </w:rPr>
            </w:pPr>
            <w:r>
              <w:rPr>
                <w:rFonts w:ascii="Arial" w:cs="Arial" w:eastAsia="Arial" w:hAnsi="Arial"/>
                <w:sz w:val="14"/>
                <w:szCs w:val="14"/>
                <w:b w:val="1"/>
                <w:bCs w:val="1"/>
                <w:color w:val="032E5C"/>
              </w:rPr>
              <w:t>Shares</w:t>
            </w:r>
          </w:p>
        </w:tc>
        <w:tc>
          <w:tcPr>
            <w:tcW w:w="1640" w:type="dxa"/>
            <w:vAlign w:val="bottom"/>
            <w:shd w:val="clear" w:color="auto" w:fill="98BDE2"/>
          </w:tcPr>
          <w:p>
            <w:pPr>
              <w:jc w:val="right"/>
              <w:ind w:right="49"/>
              <w:spacing w:after="0"/>
              <w:rPr>
                <w:sz w:val="20"/>
                <w:szCs w:val="20"/>
                <w:color w:val="auto"/>
              </w:rPr>
            </w:pPr>
            <w:r>
              <w:rPr>
                <w:rFonts w:ascii="Arial" w:cs="Arial" w:eastAsia="Arial" w:hAnsi="Arial"/>
                <w:sz w:val="14"/>
                <w:szCs w:val="14"/>
                <w:b w:val="1"/>
                <w:bCs w:val="1"/>
                <w:color w:val="032E5C"/>
              </w:rPr>
              <w:t>Percent of Class</w:t>
            </w:r>
          </w:p>
        </w:tc>
      </w:tr>
      <w:tr>
        <w:trPr>
          <w:trHeight w:val="248"/>
        </w:trPr>
        <w:tc>
          <w:tcPr>
            <w:tcW w:w="160" w:type="dxa"/>
            <w:vAlign w:val="bottom"/>
            <w:tcBorders>
              <w:bottom w:val="single" w:sz="8" w:color="98BDE2"/>
            </w:tcBorders>
            <w:shd w:val="clear" w:color="auto" w:fill="98BDE2"/>
          </w:tcPr>
          <w:p>
            <w:pPr>
              <w:spacing w:after="0"/>
              <w:rPr>
                <w:sz w:val="21"/>
                <w:szCs w:val="21"/>
                <w:color w:val="auto"/>
              </w:rPr>
            </w:pPr>
          </w:p>
        </w:tc>
        <w:tc>
          <w:tcPr>
            <w:tcW w:w="7120" w:type="dxa"/>
            <w:vAlign w:val="bottom"/>
            <w:tcBorders>
              <w:bottom w:val="single" w:sz="8" w:color="98BDE2"/>
            </w:tcBorders>
            <w:shd w:val="clear" w:color="auto" w:fill="98BDE2"/>
          </w:tcPr>
          <w:p>
            <w:pPr>
              <w:ind w:left="20"/>
              <w:spacing w:after="0"/>
              <w:rPr>
                <w:sz w:val="20"/>
                <w:szCs w:val="20"/>
                <w:color w:val="auto"/>
              </w:rPr>
            </w:pPr>
            <w:r>
              <w:rPr>
                <w:rFonts w:ascii="Arial" w:cs="Arial" w:eastAsia="Arial" w:hAnsi="Arial"/>
                <w:sz w:val="14"/>
                <w:szCs w:val="14"/>
                <w:b w:val="1"/>
                <w:bCs w:val="1"/>
                <w:color w:val="032E5C"/>
              </w:rPr>
              <w:t>Name of Beneficial Owner</w:t>
            </w:r>
          </w:p>
        </w:tc>
        <w:tc>
          <w:tcPr>
            <w:tcW w:w="2320" w:type="dxa"/>
            <w:vAlign w:val="bottom"/>
            <w:tcBorders>
              <w:bottom w:val="single" w:sz="8" w:color="98BDE2"/>
            </w:tcBorders>
            <w:shd w:val="clear" w:color="auto" w:fill="98BDE2"/>
          </w:tcPr>
          <w:p>
            <w:pPr>
              <w:jc w:val="right"/>
              <w:ind w:right="328"/>
              <w:spacing w:after="0"/>
              <w:rPr>
                <w:sz w:val="20"/>
                <w:szCs w:val="20"/>
                <w:color w:val="auto"/>
              </w:rPr>
            </w:pPr>
            <w:r>
              <w:rPr>
                <w:rFonts w:ascii="Arial" w:cs="Arial" w:eastAsia="Arial" w:hAnsi="Arial"/>
                <w:sz w:val="14"/>
                <w:szCs w:val="14"/>
                <w:b w:val="1"/>
                <w:bCs w:val="1"/>
                <w:color w:val="032E5C"/>
              </w:rPr>
              <w:t>(#)</w:t>
            </w:r>
          </w:p>
        </w:tc>
        <w:tc>
          <w:tcPr>
            <w:tcW w:w="1640" w:type="dxa"/>
            <w:vAlign w:val="bottom"/>
            <w:tcBorders>
              <w:bottom w:val="single" w:sz="8" w:color="98BDE2"/>
            </w:tcBorders>
            <w:shd w:val="clear" w:color="auto" w:fill="98BDE2"/>
          </w:tcPr>
          <w:p>
            <w:pPr>
              <w:jc w:val="right"/>
              <w:ind w:right="49"/>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(1)</w:t>
            </w:r>
          </w:p>
        </w:tc>
      </w:tr>
      <w:tr>
        <w:trPr>
          <w:trHeight w:val="223"/>
        </w:trPr>
        <w:tc>
          <w:tcPr>
            <w:tcW w:w="160" w:type="dxa"/>
            <w:vAlign w:val="bottom"/>
            <w:tcBorders>
              <w:bottom w:val="single" w:sz="8" w:color="F3EFE9"/>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Reginald Chambers</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Susan L. Decker</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8,108</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245,961</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Iris Knobloch</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77"/>
        </w:trPr>
        <w:tc>
          <w:tcPr>
            <w:tcW w:w="160" w:type="dxa"/>
            <w:vAlign w:val="bottom"/>
            <w:tcBorders>
              <w:bottom w:val="single" w:sz="8" w:color="98BDE2"/>
            </w:tcBorders>
            <w:shd w:val="clear" w:color="auto" w:fill="F3EFE9"/>
          </w:tcPr>
          <w:p>
            <w:pPr>
              <w:spacing w:after="0"/>
              <w:rPr>
                <w:sz w:val="24"/>
                <w:szCs w:val="24"/>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Kirsten A. Lynch</w:t>
            </w:r>
          </w:p>
        </w:tc>
        <w:tc>
          <w:tcPr>
            <w:tcW w:w="2320" w:type="dxa"/>
            <w:vAlign w:val="bottom"/>
            <w:tcBorders>
              <w:bottom w:val="single" w:sz="8" w:color="98BDE2"/>
            </w:tcBorders>
          </w:tcPr>
          <w:p>
            <w:pPr>
              <w:jc w:val="right"/>
              <w:ind w:right="328"/>
              <w:spacing w:after="0"/>
              <w:rPr>
                <w:sz w:val="20"/>
                <w:szCs w:val="20"/>
                <w:color w:val="auto"/>
              </w:rPr>
            </w:pPr>
            <w:r>
              <w:rPr>
                <w:rFonts w:ascii="Arial" w:cs="Arial" w:eastAsia="Arial" w:hAnsi="Arial"/>
                <w:sz w:val="14"/>
                <w:szCs w:val="14"/>
                <w:color w:val="032E5C"/>
              </w:rPr>
              <w:t>41,280</w:t>
            </w:r>
            <w:r>
              <w:rPr>
                <w:rFonts w:ascii="Arial" w:cs="Arial" w:eastAsia="Arial" w:hAnsi="Arial"/>
                <w:sz w:val="18"/>
                <w:szCs w:val="18"/>
                <w:color w:val="032E5C"/>
                <w:vertAlign w:val="superscript"/>
              </w:rPr>
              <w:t>(2)</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Nadia N. Rawlinson</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4,361</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John Redmond</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22,573</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Michele Romanow</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7,054</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Hilary Schneider</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15,830</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D. Bruce Sewell</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20,874</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John F. Sorte</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45,111</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Peter A. Vaughn</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8,573</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Julie A. DeCecco</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676</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Courtney K. Goldstein</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23"/>
        </w:trPr>
        <w:tc>
          <w:tcPr>
            <w:tcW w:w="160" w:type="dxa"/>
            <w:vAlign w:val="bottom"/>
            <w:tcBorders>
              <w:bottom w:val="single" w:sz="8" w:color="98BDE2"/>
            </w:tcBorders>
            <w:shd w:val="clear" w:color="auto" w:fill="F3EFE9"/>
          </w:tcPr>
          <w:p>
            <w:pPr>
              <w:spacing w:after="0"/>
              <w:rPr>
                <w:sz w:val="19"/>
                <w:szCs w:val="19"/>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2,187</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77"/>
        </w:trPr>
        <w:tc>
          <w:tcPr>
            <w:tcW w:w="160" w:type="dxa"/>
            <w:vAlign w:val="bottom"/>
            <w:tcBorders>
              <w:bottom w:val="single" w:sz="8" w:color="98BDE2"/>
            </w:tcBorders>
            <w:shd w:val="clear" w:color="auto" w:fill="F3EFE9"/>
          </w:tcPr>
          <w:p>
            <w:pPr>
              <w:spacing w:after="0"/>
              <w:rPr>
                <w:sz w:val="24"/>
                <w:szCs w:val="24"/>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William C. Rock</w:t>
            </w:r>
          </w:p>
        </w:tc>
        <w:tc>
          <w:tcPr>
            <w:tcW w:w="2320" w:type="dxa"/>
            <w:vAlign w:val="bottom"/>
            <w:tcBorders>
              <w:bottom w:val="single" w:sz="8" w:color="98BDE2"/>
            </w:tcBorders>
          </w:tcPr>
          <w:p>
            <w:pPr>
              <w:jc w:val="right"/>
              <w:ind w:right="328"/>
              <w:spacing w:after="0"/>
              <w:rPr>
                <w:sz w:val="20"/>
                <w:szCs w:val="20"/>
                <w:color w:val="auto"/>
              </w:rPr>
            </w:pPr>
            <w:r>
              <w:rPr>
                <w:rFonts w:ascii="Arial" w:cs="Arial" w:eastAsia="Arial" w:hAnsi="Arial"/>
                <w:sz w:val="14"/>
                <w:szCs w:val="14"/>
                <w:color w:val="032E5C"/>
              </w:rPr>
              <w:t>8,203</w:t>
            </w:r>
            <w:r>
              <w:rPr>
                <w:rFonts w:ascii="Arial" w:cs="Arial" w:eastAsia="Arial" w:hAnsi="Arial"/>
                <w:sz w:val="18"/>
                <w:szCs w:val="18"/>
                <w:color w:val="032E5C"/>
                <w:vertAlign w:val="superscript"/>
              </w:rPr>
              <w:t>(3)</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84"/>
        </w:trPr>
        <w:tc>
          <w:tcPr>
            <w:tcW w:w="160" w:type="dxa"/>
            <w:vAlign w:val="bottom"/>
            <w:tcBorders>
              <w:bottom w:val="single" w:sz="8" w:color="98BDE2"/>
            </w:tcBorders>
            <w:shd w:val="clear" w:color="auto" w:fill="F3EFE9"/>
          </w:tcPr>
          <w:p>
            <w:pPr>
              <w:spacing w:after="0"/>
              <w:rPr>
                <w:sz w:val="24"/>
                <w:szCs w:val="24"/>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David T. Shapiro</w:t>
            </w:r>
            <w:r>
              <w:rPr>
                <w:rFonts w:ascii="Arial" w:cs="Arial" w:eastAsia="Arial" w:hAnsi="Arial"/>
                <w:sz w:val="18"/>
                <w:szCs w:val="18"/>
                <w:b w:val="1"/>
                <w:bCs w:val="1"/>
                <w:color w:val="032E5C"/>
                <w:vertAlign w:val="superscript"/>
              </w:rPr>
              <w:t>(4)</w:t>
            </w:r>
          </w:p>
        </w:tc>
        <w:tc>
          <w:tcPr>
            <w:tcW w:w="2320" w:type="dxa"/>
            <w:vAlign w:val="bottom"/>
            <w:tcBorders>
              <w:bottom w:val="single" w:sz="8" w:color="98BDE2"/>
            </w:tcBorders>
          </w:tcPr>
          <w:p>
            <w:pPr>
              <w:jc w:val="right"/>
              <w:ind w:right="328"/>
              <w:spacing w:after="0"/>
              <w:rPr>
                <w:sz w:val="20"/>
                <w:szCs w:val="20"/>
                <w:color w:val="auto"/>
              </w:rPr>
            </w:pPr>
            <w:r>
              <w:rPr>
                <w:rFonts w:ascii="Arial" w:cs="Arial" w:eastAsia="Arial" w:hAnsi="Arial"/>
                <w:sz w:val="14"/>
                <w:szCs w:val="14"/>
                <w:color w:val="032E5C"/>
              </w:rPr>
              <w:t>6,704</w:t>
            </w:r>
            <w:r>
              <w:rPr>
                <w:rFonts w:ascii="Arial" w:cs="Arial" w:eastAsia="Arial" w:hAnsi="Arial"/>
                <w:sz w:val="18"/>
                <w:szCs w:val="18"/>
                <w:color w:val="032E5C"/>
                <w:vertAlign w:val="superscript"/>
              </w:rPr>
              <w:t>(5)</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70"/>
        </w:trPr>
        <w:tc>
          <w:tcPr>
            <w:tcW w:w="160" w:type="dxa"/>
            <w:vAlign w:val="bottom"/>
            <w:tcBorders>
              <w:bottom w:val="single" w:sz="8" w:color="98BDE2"/>
            </w:tcBorders>
            <w:shd w:val="clear" w:color="auto" w:fill="F3EFE9"/>
          </w:tcPr>
          <w:p>
            <w:pPr>
              <w:spacing w:after="0"/>
              <w:rPr>
                <w:sz w:val="23"/>
                <w:szCs w:val="23"/>
                <w:color w:val="auto"/>
              </w:rPr>
            </w:pPr>
          </w:p>
        </w:tc>
        <w:tc>
          <w:tcPr>
            <w:tcW w:w="7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Greg. J. Sullivan</w:t>
            </w:r>
          </w:p>
        </w:tc>
        <w:tc>
          <w:tcPr>
            <w:tcW w:w="2320" w:type="dxa"/>
            <w:vAlign w:val="bottom"/>
            <w:tcBorders>
              <w:bottom w:val="single" w:sz="8" w:color="98BDE2"/>
            </w:tcBorders>
          </w:tcPr>
          <w:p>
            <w:pPr>
              <w:jc w:val="right"/>
              <w:ind w:right="328"/>
              <w:spacing w:after="0"/>
              <w:rPr>
                <w:sz w:val="20"/>
                <w:szCs w:val="20"/>
                <w:color w:val="auto"/>
              </w:rPr>
            </w:pPr>
            <w:r>
              <w:rPr>
                <w:rFonts w:ascii="Arial" w:cs="Arial" w:eastAsia="Arial" w:hAnsi="Arial"/>
                <w:sz w:val="14"/>
                <w:szCs w:val="14"/>
                <w:color w:val="032E5C"/>
              </w:rPr>
              <w:t>2,294</w:t>
            </w:r>
            <w:r>
              <w:rPr>
                <w:rFonts w:ascii="Arial" w:cs="Arial" w:eastAsia="Arial" w:hAnsi="Arial"/>
                <w:sz w:val="18"/>
                <w:szCs w:val="18"/>
                <w:color w:val="032E5C"/>
                <w:vertAlign w:val="superscript"/>
              </w:rPr>
              <w:t>(6)</w:t>
            </w:r>
          </w:p>
        </w:tc>
        <w:tc>
          <w:tcPr>
            <w:tcW w:w="1640" w:type="dxa"/>
            <w:vAlign w:val="bottom"/>
            <w:tcBorders>
              <w:bottom w:val="single" w:sz="8" w:color="98BDE2"/>
            </w:tcBorders>
          </w:tcPr>
          <w:p>
            <w:pPr>
              <w:jc w:val="right"/>
              <w:ind w:right="49"/>
              <w:spacing w:after="0"/>
              <w:rPr>
                <w:sz w:val="20"/>
                <w:szCs w:val="20"/>
                <w:color w:val="auto"/>
              </w:rPr>
            </w:pPr>
            <w:r>
              <w:rPr>
                <w:rFonts w:ascii="Arial" w:cs="Arial" w:eastAsia="Arial" w:hAnsi="Arial"/>
                <w:sz w:val="14"/>
                <w:szCs w:val="14"/>
                <w:color w:val="032E5C"/>
              </w:rPr>
              <w:t>*</w:t>
            </w:r>
          </w:p>
        </w:tc>
      </w:tr>
      <w:tr>
        <w:trPr>
          <w:trHeight w:val="290"/>
        </w:trPr>
        <w:tc>
          <w:tcPr>
            <w:tcW w:w="160" w:type="dxa"/>
            <w:vAlign w:val="bottom"/>
            <w:tcBorders>
              <w:bottom w:val="single" w:sz="8" w:color="3E5C7C"/>
            </w:tcBorders>
            <w:shd w:val="clear" w:color="auto" w:fill="F3EFE9"/>
          </w:tcPr>
          <w:p>
            <w:pPr>
              <w:spacing w:after="0"/>
              <w:rPr>
                <w:sz w:val="24"/>
                <w:szCs w:val="24"/>
                <w:color w:val="auto"/>
              </w:rPr>
            </w:pPr>
          </w:p>
        </w:tc>
        <w:tc>
          <w:tcPr>
            <w:tcW w:w="7120" w:type="dxa"/>
            <w:vAlign w:val="bottom"/>
            <w:tcBorders>
              <w:bottom w:val="single" w:sz="8" w:color="3E5C7C"/>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Directors and current executive officers as a group (17 persons)</w:t>
            </w:r>
          </w:p>
        </w:tc>
        <w:tc>
          <w:tcPr>
            <w:tcW w:w="2320" w:type="dxa"/>
            <w:vAlign w:val="bottom"/>
            <w:tcBorders>
              <w:bottom w:val="single" w:sz="8" w:color="3E5C7C"/>
            </w:tcBorders>
          </w:tcPr>
          <w:p>
            <w:pPr>
              <w:jc w:val="right"/>
              <w:ind w:right="328"/>
              <w:spacing w:after="0"/>
              <w:rPr>
                <w:sz w:val="20"/>
                <w:szCs w:val="20"/>
                <w:color w:val="auto"/>
              </w:rPr>
            </w:pPr>
            <w:r>
              <w:rPr>
                <w:rFonts w:ascii="Arial" w:cs="Arial" w:eastAsia="Arial" w:hAnsi="Arial"/>
                <w:sz w:val="14"/>
                <w:szCs w:val="14"/>
                <w:color w:val="032E5C"/>
              </w:rPr>
              <w:t>433,085</w:t>
            </w:r>
            <w:r>
              <w:rPr>
                <w:rFonts w:ascii="Arial" w:cs="Arial" w:eastAsia="Arial" w:hAnsi="Arial"/>
                <w:sz w:val="18"/>
                <w:szCs w:val="18"/>
                <w:color w:val="032E5C"/>
                <w:vertAlign w:val="superscript"/>
              </w:rPr>
              <w:t>(7)</w:t>
            </w:r>
          </w:p>
        </w:tc>
        <w:tc>
          <w:tcPr>
            <w:tcW w:w="1640" w:type="dxa"/>
            <w:vAlign w:val="bottom"/>
            <w:tcBorders>
              <w:bottom w:val="single" w:sz="8" w:color="3E5C7C"/>
            </w:tcBorders>
          </w:tcPr>
          <w:p>
            <w:pPr>
              <w:jc w:val="right"/>
              <w:ind w:right="89"/>
              <w:spacing w:after="0"/>
              <w:rPr>
                <w:sz w:val="20"/>
                <w:szCs w:val="20"/>
                <w:color w:val="auto"/>
              </w:rPr>
            </w:pPr>
            <w:r>
              <w:rPr>
                <w:rFonts w:ascii="Arial" w:cs="Arial" w:eastAsia="Arial" w:hAnsi="Arial"/>
                <w:sz w:val="14"/>
                <w:szCs w:val="14"/>
                <w:color w:val="032E5C"/>
              </w:rPr>
              <w:t>1.2</w:t>
            </w:r>
          </w:p>
        </w:tc>
      </w:tr>
    </w:tbl>
    <w:p>
      <w:pPr>
        <w:spacing w:after="0" w:line="153"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29292B"/>
        </w:rPr>
        <w:t>*</w:t>
        <w:tab/>
        <w:t>Less than 1.0%.</w:t>
      </w:r>
    </w:p>
    <w:p>
      <w:pPr>
        <w:spacing w:after="0" w:line="109" w:lineRule="exact"/>
        <w:rPr>
          <w:sz w:val="20"/>
          <w:szCs w:val="20"/>
          <w:color w:val="auto"/>
        </w:rPr>
      </w:pPr>
    </w:p>
    <w:p>
      <w:pPr>
        <w:ind w:left="340" w:right="160" w:hanging="332"/>
        <w:spacing w:after="0" w:line="269" w:lineRule="auto"/>
        <w:tabs>
          <w:tab w:leader="none" w:pos="340" w:val="left"/>
        </w:tabs>
        <w:numPr>
          <w:ilvl w:val="0"/>
          <w:numId w:val="16"/>
        </w:numPr>
        <w:rPr>
          <w:rFonts w:ascii="Arial" w:cs="Arial" w:eastAsia="Arial" w:hAnsi="Arial"/>
          <w:sz w:val="14"/>
          <w:szCs w:val="14"/>
          <w:color w:val="29292B"/>
        </w:rPr>
      </w:pPr>
      <w:r>
        <w:rPr>
          <w:rFonts w:ascii="Arial" w:cs="Arial" w:eastAsia="Arial" w:hAnsi="Arial"/>
          <w:sz w:val="14"/>
          <w:szCs w:val="14"/>
          <w:color w:val="29292B"/>
        </w:rPr>
        <w:t>Applicable percentages are based on 37,462,464 shares outstanding on October 8, 2024, adjusted as required by rules promulgated by the SEC. Unless indicated by footnote, the address for each listed director and executive officer is c/o Vail Resorts, Inc., 390 Interlocken Crescent, Broomfield, Colorado 80021. Beneficial ownership is determined in accordance with the rules of the SEC and generally includes voting or investment power with respect to securities. Except as indicated by footnote, the person named in the table has sole voting and investment power with respect to all shares of common stock beneficially owned by them.</w:t>
      </w:r>
    </w:p>
    <w:p>
      <w:pPr>
        <w:spacing w:after="0" w:line="47" w:lineRule="exact"/>
        <w:rPr>
          <w:rFonts w:ascii="Arial" w:cs="Arial" w:eastAsia="Arial" w:hAnsi="Arial"/>
          <w:sz w:val="14"/>
          <w:szCs w:val="14"/>
          <w:color w:val="29292B"/>
        </w:rPr>
      </w:pPr>
    </w:p>
    <w:p>
      <w:pPr>
        <w:jc w:val="both"/>
        <w:ind w:left="340" w:right="200"/>
        <w:spacing w:after="0" w:line="283" w:lineRule="auto"/>
        <w:rPr>
          <w:rFonts w:ascii="Arial" w:cs="Arial" w:eastAsia="Arial" w:hAnsi="Arial"/>
          <w:sz w:val="14"/>
          <w:szCs w:val="14"/>
          <w:color w:val="29292B"/>
        </w:rPr>
      </w:pPr>
      <w:r>
        <w:rPr>
          <w:rFonts w:ascii="Arial" w:cs="Arial" w:eastAsia="Arial" w:hAnsi="Arial"/>
          <w:sz w:val="14"/>
          <w:szCs w:val="14"/>
          <w:color w:val="29292B"/>
        </w:rPr>
        <w:t>The number of shares of common stock outstanding used in calculating the percentage for each listed person includes the restricted share units, or RSUs, and common stock underlying share appreciation rights, or SARs, held by that person that are currently exercisable or are exercisable within 60 days of October 8, 2024, but excludes RSUs and our common stock underlying SARs held by any other person.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27</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0"/>
        </w:trPr>
        <w:tc>
          <w:tcPr>
            <w:tcW w:w="19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SECURITY OWNERSHIP</w:t>
            </w:r>
          </w:p>
        </w:tc>
        <w:tc>
          <w:tcPr>
            <w:tcW w:w="9280" w:type="dxa"/>
            <w:vAlign w:val="bottom"/>
          </w:tcPr>
          <w:p>
            <w:pPr>
              <w:ind w:left="81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940" w:type="dxa"/>
            <w:vAlign w:val="bottom"/>
            <w:vMerge w:val="continue"/>
            <w:shd w:val="clear" w:color="auto" w:fill="98BDE2"/>
          </w:tcPr>
          <w:p>
            <w:pPr>
              <w:spacing w:after="0"/>
              <w:rPr>
                <w:sz w:val="4"/>
                <w:szCs w:val="4"/>
                <w:color w:val="auto"/>
              </w:rPr>
            </w:pPr>
          </w:p>
        </w:tc>
        <w:tc>
          <w:tcPr>
            <w:tcW w:w="9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940" w:type="dxa"/>
            <w:vAlign w:val="bottom"/>
            <w:shd w:val="clear" w:color="auto" w:fill="98BDE2"/>
          </w:tcPr>
          <w:p>
            <w:pPr>
              <w:spacing w:after="0"/>
              <w:rPr>
                <w:sz w:val="10"/>
                <w:szCs w:val="10"/>
                <w:color w:val="auto"/>
              </w:rPr>
            </w:pPr>
          </w:p>
        </w:tc>
        <w:tc>
          <w:tcPr>
            <w:tcW w:w="9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29292B"/>
        </w:rPr>
      </w:pPr>
      <w:r>
        <w:rPr>
          <w:rFonts w:ascii="Arial" w:cs="Arial" w:eastAsia="Arial" w:hAnsi="Arial"/>
          <w:sz w:val="14"/>
          <w:szCs w:val="14"/>
          <w:color w:val="29292B"/>
        </w:rPr>
        <w:t>Includes 5,294 shares of common stock underlying 140,299 SARs (assuming a fair market value of $170.36, the closing price of our common stock on October 8, 2024).</w:t>
      </w:r>
    </w:p>
    <w:p>
      <w:pPr>
        <w:spacing w:after="0" w:line="109" w:lineRule="exact"/>
        <w:rPr>
          <w:rFonts w:ascii="Arial" w:cs="Arial" w:eastAsia="Arial" w:hAnsi="Arial"/>
          <w:sz w:val="14"/>
          <w:szCs w:val="14"/>
          <w:color w:val="29292B"/>
        </w:rPr>
      </w:pPr>
    </w:p>
    <w:p>
      <w:pPr>
        <w:ind w:left="340" w:hanging="332"/>
        <w:spacing w:after="0"/>
        <w:tabs>
          <w:tab w:leader="none" w:pos="340" w:val="left"/>
        </w:tabs>
        <w:numPr>
          <w:ilvl w:val="0"/>
          <w:numId w:val="17"/>
        </w:numPr>
        <w:rPr>
          <w:rFonts w:ascii="Arial" w:cs="Arial" w:eastAsia="Arial" w:hAnsi="Arial"/>
          <w:sz w:val="14"/>
          <w:szCs w:val="14"/>
          <w:color w:val="29292B"/>
        </w:rPr>
      </w:pPr>
      <w:r>
        <w:rPr>
          <w:rFonts w:ascii="Arial" w:cs="Arial" w:eastAsia="Arial" w:hAnsi="Arial"/>
          <w:sz w:val="14"/>
          <w:szCs w:val="14"/>
          <w:color w:val="29292B"/>
        </w:rPr>
        <w:t>Includes 949 shares of common stock underlying 28,067 SARs (assuming a fair market value of $170.36, the closing price of our common stock on October 8, 2024).</w:t>
      </w:r>
    </w:p>
    <w:p>
      <w:pPr>
        <w:spacing w:after="0" w:line="95" w:lineRule="exact"/>
        <w:rPr>
          <w:rFonts w:ascii="Arial" w:cs="Arial" w:eastAsia="Arial" w:hAnsi="Arial"/>
          <w:sz w:val="14"/>
          <w:szCs w:val="14"/>
          <w:color w:val="29292B"/>
        </w:rPr>
      </w:pPr>
    </w:p>
    <w:p>
      <w:pPr>
        <w:ind w:left="340" w:right="220" w:hanging="332"/>
        <w:spacing w:after="0" w:line="305" w:lineRule="auto"/>
        <w:tabs>
          <w:tab w:leader="none" w:pos="340" w:val="left"/>
        </w:tabs>
        <w:numPr>
          <w:ilvl w:val="0"/>
          <w:numId w:val="17"/>
        </w:numPr>
        <w:rPr>
          <w:rFonts w:ascii="Arial" w:cs="Arial" w:eastAsia="Arial" w:hAnsi="Arial"/>
          <w:sz w:val="14"/>
          <w:szCs w:val="14"/>
          <w:color w:val="29292B"/>
        </w:rPr>
      </w:pPr>
      <w:r>
        <w:rPr>
          <w:rFonts w:ascii="Arial" w:cs="Arial" w:eastAsia="Arial" w:hAnsi="Arial"/>
          <w:sz w:val="14"/>
          <w:szCs w:val="14"/>
          <w:color w:val="29292B"/>
        </w:rPr>
        <w:t>Mr. Shapiro is the Company's former Executive Vice President, General Counsel and Secretary. This information is based on the most recently known information made available to the Company, which is as of his departure from the Company effective February 23, 2024.</w:t>
      </w:r>
    </w:p>
    <w:p>
      <w:pPr>
        <w:spacing w:after="0" w:line="36" w:lineRule="exact"/>
        <w:rPr>
          <w:rFonts w:ascii="Arial" w:cs="Arial" w:eastAsia="Arial" w:hAnsi="Arial"/>
          <w:sz w:val="14"/>
          <w:szCs w:val="14"/>
          <w:color w:val="29292B"/>
        </w:rPr>
      </w:pPr>
    </w:p>
    <w:p>
      <w:pPr>
        <w:ind w:left="340" w:right="540" w:hanging="332"/>
        <w:spacing w:after="0" w:line="285" w:lineRule="auto"/>
        <w:tabs>
          <w:tab w:leader="none" w:pos="340" w:val="left"/>
        </w:tabs>
        <w:numPr>
          <w:ilvl w:val="0"/>
          <w:numId w:val="17"/>
        </w:numPr>
        <w:rPr>
          <w:rFonts w:ascii="Arial" w:cs="Arial" w:eastAsia="Arial" w:hAnsi="Arial"/>
          <w:sz w:val="14"/>
          <w:szCs w:val="14"/>
          <w:color w:val="29292B"/>
        </w:rPr>
      </w:pPr>
      <w:r>
        <w:rPr>
          <w:rFonts w:ascii="Arial" w:cs="Arial" w:eastAsia="Arial" w:hAnsi="Arial"/>
          <w:sz w:val="14"/>
          <w:szCs w:val="14"/>
          <w:color w:val="29292B"/>
        </w:rPr>
        <w:t>Common stock beneficially owned is based on the most recent information available to the Company, which is as of Mr. Shapiro's separation from the Company on February 23, 2024.</w:t>
      </w:r>
    </w:p>
    <w:p>
      <w:pPr>
        <w:spacing w:after="0" w:line="49" w:lineRule="exact"/>
        <w:rPr>
          <w:rFonts w:ascii="Arial" w:cs="Arial" w:eastAsia="Arial" w:hAnsi="Arial"/>
          <w:sz w:val="14"/>
          <w:szCs w:val="14"/>
          <w:color w:val="29292B"/>
        </w:rPr>
      </w:pPr>
    </w:p>
    <w:p>
      <w:pPr>
        <w:ind w:left="340" w:hanging="332"/>
        <w:spacing w:after="0"/>
        <w:tabs>
          <w:tab w:leader="none" w:pos="340" w:val="left"/>
        </w:tabs>
        <w:numPr>
          <w:ilvl w:val="0"/>
          <w:numId w:val="17"/>
        </w:numPr>
        <w:rPr>
          <w:rFonts w:ascii="Arial" w:cs="Arial" w:eastAsia="Arial" w:hAnsi="Arial"/>
          <w:sz w:val="14"/>
          <w:szCs w:val="14"/>
          <w:color w:val="29292B"/>
        </w:rPr>
      </w:pPr>
      <w:r>
        <w:rPr>
          <w:rFonts w:ascii="Arial" w:cs="Arial" w:eastAsia="Arial" w:hAnsi="Arial"/>
          <w:sz w:val="14"/>
          <w:szCs w:val="14"/>
          <w:color w:val="29292B"/>
        </w:rPr>
        <w:t>Includes 243 shares of common stock underlying 20,561 SARs (assuming a fair market value of $170.36, the closing price of our common stock on October 8, 2024).</w:t>
      </w:r>
    </w:p>
    <w:p>
      <w:pPr>
        <w:spacing w:after="0" w:line="95" w:lineRule="exact"/>
        <w:rPr>
          <w:rFonts w:ascii="Arial" w:cs="Arial" w:eastAsia="Arial" w:hAnsi="Arial"/>
          <w:sz w:val="14"/>
          <w:szCs w:val="14"/>
          <w:color w:val="29292B"/>
        </w:rPr>
      </w:pPr>
    </w:p>
    <w:p>
      <w:pPr>
        <w:ind w:left="340" w:hanging="332"/>
        <w:spacing w:after="0"/>
        <w:tabs>
          <w:tab w:leader="none" w:pos="340" w:val="left"/>
        </w:tabs>
        <w:numPr>
          <w:ilvl w:val="0"/>
          <w:numId w:val="17"/>
        </w:numPr>
        <w:rPr>
          <w:rFonts w:ascii="Arial" w:cs="Arial" w:eastAsia="Arial" w:hAnsi="Arial"/>
          <w:sz w:val="14"/>
          <w:szCs w:val="14"/>
          <w:color w:val="29292B"/>
        </w:rPr>
      </w:pPr>
      <w:r>
        <w:rPr>
          <w:rFonts w:ascii="Arial" w:cs="Arial" w:eastAsia="Arial" w:hAnsi="Arial"/>
          <w:sz w:val="14"/>
          <w:szCs w:val="14"/>
          <w:color w:val="29292B"/>
        </w:rPr>
        <w:t>Includes 6,486 shares of common stock underlying 188,927 SARs (assuming a fair market value of $170.36, the closing price of our common stock on October 8, 2024).</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28</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59"/>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33" w:name="page34"/>
    <w:bookmarkEnd w:id="33"/>
    <w:p>
      <w:pPr>
        <w:ind w:right="3700"/>
        <w:spacing w:after="0" w:line="304" w:lineRule="auto"/>
        <w:rPr>
          <w:sz w:val="20"/>
          <w:szCs w:val="20"/>
          <w:color w:val="auto"/>
        </w:rPr>
      </w:pPr>
      <w:r>
        <w:rPr>
          <w:rFonts w:ascii="Arial" w:cs="Arial" w:eastAsia="Arial" w:hAnsi="Arial"/>
          <w:sz w:val="50"/>
          <w:szCs w:val="50"/>
          <w:b w:val="1"/>
          <w:bCs w:val="1"/>
          <w:color w:val="032E5C"/>
        </w:rPr>
        <w:t>INFORMATION AS TO CERTAIN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975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29292B"/>
        </w:rPr>
        <w:t>Set forth below is certain information with respect to the only persons known to the Company to be the beneficial owners of more than five percent of the Company’s voting securities at the close of business on October 8, 2024 (except as otherwise indicated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tcPr>
          <w:p>
            <w:pPr>
              <w:spacing w:after="0"/>
              <w:rPr>
                <w:sz w:val="19"/>
                <w:szCs w:val="19"/>
                <w:color w:val="auto"/>
              </w:rPr>
            </w:pPr>
          </w:p>
        </w:tc>
        <w:tc>
          <w:tcPr>
            <w:tcW w:w="3960" w:type="dxa"/>
            <w:vAlign w:val="bottom"/>
            <w:gridSpan w:val="2"/>
            <w:shd w:val="clear" w:color="auto" w:fill="3E5C7C"/>
          </w:tcPr>
          <w:p>
            <w:pPr>
              <w:jc w:val="right"/>
              <w:ind w:right="748"/>
              <w:spacing w:after="0"/>
              <w:rPr>
                <w:sz w:val="20"/>
                <w:szCs w:val="20"/>
                <w:color w:val="auto"/>
              </w:rPr>
            </w:pPr>
            <w:r>
              <w:rPr>
                <w:rFonts w:ascii="Arial" w:cs="Arial" w:eastAsia="Arial" w:hAnsi="Arial"/>
                <w:sz w:val="14"/>
                <w:szCs w:val="14"/>
                <w:b w:val="1"/>
                <w:bCs w:val="1"/>
                <w:color w:val="FFFFFF"/>
              </w:rPr>
              <w:t>Common Stock Beneficially Owned</w:t>
            </w:r>
          </w:p>
        </w:tc>
      </w:tr>
      <w:tr>
        <w:trPr>
          <w:trHeight w:val="191"/>
        </w:trPr>
        <w:tc>
          <w:tcPr>
            <w:tcW w:w="7280" w:type="dxa"/>
            <w:vAlign w:val="bottom"/>
            <w:shd w:val="clear" w:color="auto" w:fill="98BDE2"/>
          </w:tcPr>
          <w:p>
            <w:pPr>
              <w:spacing w:after="0"/>
              <w:rPr>
                <w:sz w:val="16"/>
                <w:szCs w:val="16"/>
                <w:color w:val="auto"/>
              </w:rPr>
            </w:pPr>
          </w:p>
        </w:tc>
        <w:tc>
          <w:tcPr>
            <w:tcW w:w="2320" w:type="dxa"/>
            <w:vAlign w:val="bottom"/>
            <w:shd w:val="clear" w:color="auto" w:fill="98BDE2"/>
          </w:tcPr>
          <w:p>
            <w:pPr>
              <w:jc w:val="right"/>
              <w:ind w:right="328"/>
              <w:spacing w:after="0"/>
              <w:rPr>
                <w:sz w:val="20"/>
                <w:szCs w:val="20"/>
                <w:color w:val="auto"/>
              </w:rPr>
            </w:pPr>
            <w:r>
              <w:rPr>
                <w:rFonts w:ascii="Arial" w:cs="Arial" w:eastAsia="Arial" w:hAnsi="Arial"/>
                <w:sz w:val="14"/>
                <w:szCs w:val="14"/>
                <w:b w:val="1"/>
                <w:bCs w:val="1"/>
                <w:color w:val="032E5C"/>
              </w:rPr>
              <w:t>Shares</w:t>
            </w:r>
          </w:p>
        </w:tc>
        <w:tc>
          <w:tcPr>
            <w:tcW w:w="16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Percent of Class</w:t>
            </w:r>
          </w:p>
        </w:tc>
      </w:tr>
      <w:tr>
        <w:trPr>
          <w:trHeight w:val="248"/>
        </w:trPr>
        <w:tc>
          <w:tcPr>
            <w:tcW w:w="7280" w:type="dxa"/>
            <w:vAlign w:val="bottom"/>
            <w:tcBorders>
              <w:bottom w:val="single" w:sz="8" w:color="98BDE2"/>
            </w:tcBorders>
            <w:shd w:val="clear" w:color="auto" w:fill="98BDE2"/>
          </w:tcPr>
          <w:p>
            <w:pPr>
              <w:ind w:left="180"/>
              <w:spacing w:after="0"/>
              <w:rPr>
                <w:sz w:val="20"/>
                <w:szCs w:val="20"/>
                <w:color w:val="auto"/>
              </w:rPr>
            </w:pPr>
            <w:r>
              <w:rPr>
                <w:rFonts w:ascii="Arial" w:cs="Arial" w:eastAsia="Arial" w:hAnsi="Arial"/>
                <w:sz w:val="14"/>
                <w:szCs w:val="14"/>
                <w:b w:val="1"/>
                <w:bCs w:val="1"/>
                <w:color w:val="032E5C"/>
              </w:rPr>
              <w:t>Name of Beneficial Owner</w:t>
            </w:r>
          </w:p>
        </w:tc>
        <w:tc>
          <w:tcPr>
            <w:tcW w:w="2320" w:type="dxa"/>
            <w:vAlign w:val="bottom"/>
            <w:tcBorders>
              <w:bottom w:val="single" w:sz="8" w:color="98BDE2"/>
            </w:tcBorders>
            <w:shd w:val="clear" w:color="auto" w:fill="98BDE2"/>
          </w:tcPr>
          <w:p>
            <w:pPr>
              <w:jc w:val="right"/>
              <w:ind w:right="328"/>
              <w:spacing w:after="0"/>
              <w:rPr>
                <w:sz w:val="20"/>
                <w:szCs w:val="20"/>
                <w:color w:val="auto"/>
              </w:rPr>
            </w:pPr>
            <w:r>
              <w:rPr>
                <w:rFonts w:ascii="Arial" w:cs="Arial" w:eastAsia="Arial" w:hAnsi="Arial"/>
                <w:sz w:val="14"/>
                <w:szCs w:val="14"/>
                <w:b w:val="1"/>
                <w:bCs w:val="1"/>
                <w:color w:val="032E5C"/>
              </w:rPr>
              <w:t>(#)</w:t>
            </w:r>
          </w:p>
        </w:tc>
        <w:tc>
          <w:tcPr>
            <w:tcW w:w="164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(1)</w:t>
            </w:r>
          </w:p>
        </w:tc>
      </w:tr>
      <w:tr>
        <w:trPr>
          <w:trHeight w:val="229"/>
        </w:trPr>
        <w:tc>
          <w:tcPr>
            <w:tcW w:w="7280" w:type="dxa"/>
            <w:vAlign w:val="bottom"/>
            <w:tcBorders>
              <w:bottom w:val="single" w:sz="8" w:color="98BDE2"/>
            </w:tcBorders>
            <w:shd w:val="clear" w:color="auto" w:fill="F3EFE9"/>
          </w:tcPr>
          <w:p>
            <w:pPr>
              <w:ind w:left="180"/>
              <w:spacing w:after="0"/>
              <w:rPr>
                <w:sz w:val="20"/>
                <w:szCs w:val="20"/>
                <w:color w:val="auto"/>
              </w:rPr>
            </w:pPr>
            <w:r>
              <w:rPr>
                <w:rFonts w:ascii="Arial" w:cs="Arial" w:eastAsia="Arial" w:hAnsi="Arial"/>
                <w:sz w:val="14"/>
                <w:szCs w:val="14"/>
                <w:b w:val="1"/>
                <w:bCs w:val="1"/>
                <w:color w:val="032E5C"/>
              </w:rPr>
              <w:t>Ronald Baron/Baron Capital Management, Inc.</w:t>
            </w:r>
            <w:r>
              <w:rPr>
                <w:rFonts w:ascii="Arial" w:cs="Arial" w:eastAsia="Arial" w:hAnsi="Arial"/>
                <w:sz w:val="18"/>
                <w:szCs w:val="18"/>
                <w:b w:val="1"/>
                <w:bCs w:val="1"/>
                <w:color w:val="032E5C"/>
                <w:vertAlign w:val="superscript"/>
              </w:rPr>
              <w:t>(2)</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4,920,015</w:t>
            </w:r>
          </w:p>
        </w:tc>
        <w:tc>
          <w:tcPr>
            <w:tcW w:w="16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13.1</w:t>
            </w:r>
          </w:p>
        </w:tc>
      </w:tr>
      <w:tr>
        <w:trPr>
          <w:trHeight w:val="223"/>
        </w:trPr>
        <w:tc>
          <w:tcPr>
            <w:tcW w:w="7280" w:type="dxa"/>
            <w:vAlign w:val="bottom"/>
            <w:tcBorders>
              <w:bottom w:val="single" w:sz="8" w:color="98BDE2"/>
            </w:tcBorders>
            <w:shd w:val="clear" w:color="auto" w:fill="F3EFE9"/>
          </w:tcPr>
          <w:p>
            <w:pPr>
              <w:ind w:left="180"/>
              <w:spacing w:after="0"/>
              <w:rPr>
                <w:sz w:val="20"/>
                <w:szCs w:val="20"/>
                <w:color w:val="auto"/>
              </w:rPr>
            </w:pPr>
            <w:r>
              <w:rPr>
                <w:rFonts w:ascii="Arial" w:cs="Arial" w:eastAsia="Arial" w:hAnsi="Arial"/>
                <w:sz w:val="14"/>
                <w:szCs w:val="14"/>
                <w:b w:val="1"/>
                <w:bCs w:val="1"/>
                <w:color w:val="032E5C"/>
              </w:rPr>
              <w:t>The Vanguard Group, Inc.</w:t>
            </w:r>
            <w:r>
              <w:rPr>
                <w:rFonts w:ascii="Arial" w:cs="Arial" w:eastAsia="Arial" w:hAnsi="Arial"/>
                <w:sz w:val="18"/>
                <w:szCs w:val="18"/>
                <w:b w:val="1"/>
                <w:bCs w:val="1"/>
                <w:color w:val="032E5C"/>
                <w:vertAlign w:val="superscript"/>
              </w:rPr>
              <w:t>(3)</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3,798,088</w:t>
            </w:r>
          </w:p>
        </w:tc>
        <w:tc>
          <w:tcPr>
            <w:tcW w:w="16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10.1</w:t>
            </w:r>
          </w:p>
        </w:tc>
      </w:tr>
      <w:tr>
        <w:trPr>
          <w:trHeight w:val="223"/>
        </w:trPr>
        <w:tc>
          <w:tcPr>
            <w:tcW w:w="7280" w:type="dxa"/>
            <w:vAlign w:val="bottom"/>
            <w:tcBorders>
              <w:bottom w:val="single" w:sz="8" w:color="98BDE2"/>
            </w:tcBorders>
            <w:shd w:val="clear" w:color="auto" w:fill="F3EFE9"/>
          </w:tcPr>
          <w:p>
            <w:pPr>
              <w:ind w:left="180"/>
              <w:spacing w:after="0"/>
              <w:rPr>
                <w:sz w:val="20"/>
                <w:szCs w:val="20"/>
                <w:color w:val="auto"/>
              </w:rPr>
            </w:pPr>
            <w:r>
              <w:rPr>
                <w:rFonts w:ascii="Arial" w:cs="Arial" w:eastAsia="Arial" w:hAnsi="Arial"/>
                <w:sz w:val="14"/>
                <w:szCs w:val="14"/>
                <w:b w:val="1"/>
                <w:bCs w:val="1"/>
                <w:color w:val="032E5C"/>
              </w:rPr>
              <w:t>BlackRock Inc.</w:t>
            </w:r>
            <w:r>
              <w:rPr>
                <w:rFonts w:ascii="Arial" w:cs="Arial" w:eastAsia="Arial" w:hAnsi="Arial"/>
                <w:sz w:val="18"/>
                <w:szCs w:val="18"/>
                <w:b w:val="1"/>
                <w:bCs w:val="1"/>
                <w:color w:val="032E5C"/>
                <w:vertAlign w:val="superscript"/>
              </w:rPr>
              <w:t>(4)</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3,484,986</w:t>
            </w:r>
          </w:p>
        </w:tc>
        <w:tc>
          <w:tcPr>
            <w:tcW w:w="16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9.3</w:t>
            </w:r>
          </w:p>
        </w:tc>
      </w:tr>
      <w:tr>
        <w:trPr>
          <w:trHeight w:val="223"/>
        </w:trPr>
        <w:tc>
          <w:tcPr>
            <w:tcW w:w="7280" w:type="dxa"/>
            <w:vAlign w:val="bottom"/>
            <w:tcBorders>
              <w:bottom w:val="single" w:sz="8" w:color="98BDE2"/>
            </w:tcBorders>
            <w:shd w:val="clear" w:color="auto" w:fill="F3EFE9"/>
          </w:tcPr>
          <w:p>
            <w:pPr>
              <w:ind w:left="180"/>
              <w:spacing w:after="0"/>
              <w:rPr>
                <w:sz w:val="20"/>
                <w:szCs w:val="20"/>
                <w:color w:val="auto"/>
              </w:rPr>
            </w:pPr>
            <w:r>
              <w:rPr>
                <w:rFonts w:ascii="Arial" w:cs="Arial" w:eastAsia="Arial" w:hAnsi="Arial"/>
                <w:sz w:val="14"/>
                <w:szCs w:val="14"/>
                <w:b w:val="1"/>
                <w:bCs w:val="1"/>
                <w:color w:val="032E5C"/>
              </w:rPr>
              <w:t>Select Equity Group, L.P.</w:t>
            </w:r>
            <w:r>
              <w:rPr>
                <w:rFonts w:ascii="Arial" w:cs="Arial" w:eastAsia="Arial" w:hAnsi="Arial"/>
                <w:sz w:val="18"/>
                <w:szCs w:val="18"/>
                <w:b w:val="1"/>
                <w:bCs w:val="1"/>
                <w:color w:val="032E5C"/>
                <w:vertAlign w:val="superscript"/>
              </w:rPr>
              <w:t>(5)</w:t>
            </w:r>
          </w:p>
        </w:tc>
        <w:tc>
          <w:tcPr>
            <w:tcW w:w="232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2,722,916</w:t>
            </w:r>
          </w:p>
        </w:tc>
        <w:tc>
          <w:tcPr>
            <w:tcW w:w="16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7.3</w:t>
            </w:r>
          </w:p>
        </w:tc>
      </w:tr>
      <w:tr>
        <w:trPr>
          <w:trHeight w:val="230"/>
        </w:trPr>
        <w:tc>
          <w:tcPr>
            <w:tcW w:w="7280" w:type="dxa"/>
            <w:vAlign w:val="bottom"/>
            <w:tcBorders>
              <w:bottom w:val="single" w:sz="8" w:color="3E5C7C"/>
            </w:tcBorders>
            <w:shd w:val="clear" w:color="auto" w:fill="F3EFE9"/>
          </w:tcPr>
          <w:p>
            <w:pPr>
              <w:ind w:left="180"/>
              <w:spacing w:after="0"/>
              <w:rPr>
                <w:sz w:val="20"/>
                <w:szCs w:val="20"/>
                <w:color w:val="auto"/>
              </w:rPr>
            </w:pPr>
            <w:r>
              <w:rPr>
                <w:rFonts w:ascii="Arial" w:cs="Arial" w:eastAsia="Arial" w:hAnsi="Arial"/>
                <w:sz w:val="14"/>
                <w:szCs w:val="14"/>
                <w:b w:val="1"/>
                <w:bCs w:val="1"/>
                <w:color w:val="032E5C"/>
              </w:rPr>
              <w:t>APG Asset Management US Inc.</w:t>
            </w:r>
            <w:r>
              <w:rPr>
                <w:rFonts w:ascii="Arial" w:cs="Arial" w:eastAsia="Arial" w:hAnsi="Arial"/>
                <w:sz w:val="18"/>
                <w:szCs w:val="18"/>
                <w:b w:val="1"/>
                <w:bCs w:val="1"/>
                <w:color w:val="032E5C"/>
                <w:vertAlign w:val="superscript"/>
              </w:rPr>
              <w:t>(6)</w:t>
            </w:r>
          </w:p>
        </w:tc>
        <w:tc>
          <w:tcPr>
            <w:tcW w:w="2320" w:type="dxa"/>
            <w:vAlign w:val="bottom"/>
            <w:tcBorders>
              <w:bottom w:val="single" w:sz="8" w:color="3E5C7C"/>
            </w:tcBorders>
          </w:tcPr>
          <w:p>
            <w:pPr>
              <w:jc w:val="right"/>
              <w:ind w:right="388"/>
              <w:spacing w:after="0"/>
              <w:rPr>
                <w:sz w:val="20"/>
                <w:szCs w:val="20"/>
                <w:color w:val="auto"/>
              </w:rPr>
            </w:pPr>
            <w:r>
              <w:rPr>
                <w:rFonts w:ascii="Arial" w:cs="Arial" w:eastAsia="Arial" w:hAnsi="Arial"/>
                <w:sz w:val="14"/>
                <w:szCs w:val="14"/>
                <w:color w:val="032E5C"/>
              </w:rPr>
              <w:t>1,946,860</w:t>
            </w:r>
          </w:p>
        </w:tc>
        <w:tc>
          <w:tcPr>
            <w:tcW w:w="1640" w:type="dxa"/>
            <w:vAlign w:val="bottom"/>
            <w:tcBorders>
              <w:bottom w:val="single" w:sz="8" w:color="3E5C7C"/>
            </w:tcBorders>
          </w:tcPr>
          <w:p>
            <w:pPr>
              <w:jc w:val="right"/>
              <w:ind w:right="88"/>
              <w:spacing w:after="0"/>
              <w:rPr>
                <w:sz w:val="20"/>
                <w:szCs w:val="20"/>
                <w:color w:val="auto"/>
              </w:rPr>
            </w:pPr>
            <w:r>
              <w:rPr>
                <w:rFonts w:ascii="Arial" w:cs="Arial" w:eastAsia="Arial" w:hAnsi="Arial"/>
                <w:sz w:val="14"/>
                <w:szCs w:val="14"/>
                <w:color w:val="032E5C"/>
              </w:rPr>
              <w:t>5.2</w:t>
            </w:r>
          </w:p>
        </w:tc>
      </w:tr>
    </w:tbl>
    <w:p>
      <w:pPr>
        <w:spacing w:after="0" w:line="15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29292B"/>
        </w:rPr>
      </w:pPr>
      <w:r>
        <w:rPr>
          <w:rFonts w:ascii="Arial" w:cs="Arial" w:eastAsia="Arial" w:hAnsi="Arial"/>
          <w:sz w:val="14"/>
          <w:szCs w:val="14"/>
          <w:color w:val="29292B"/>
        </w:rPr>
        <w:t>Applicable percentages are based on 37,462,464 shares outstanding on October 8, 2024.</w:t>
      </w:r>
    </w:p>
    <w:p>
      <w:pPr>
        <w:spacing w:after="0" w:line="109" w:lineRule="exact"/>
        <w:rPr>
          <w:rFonts w:ascii="Arial" w:cs="Arial" w:eastAsia="Arial" w:hAnsi="Arial"/>
          <w:sz w:val="14"/>
          <w:szCs w:val="14"/>
          <w:color w:val="29292B"/>
        </w:rPr>
      </w:pPr>
    </w:p>
    <w:p>
      <w:pPr>
        <w:jc w:val="both"/>
        <w:ind w:left="340" w:right="100" w:hanging="332"/>
        <w:spacing w:after="0" w:line="273" w:lineRule="auto"/>
        <w:tabs>
          <w:tab w:leader="none" w:pos="340" w:val="left"/>
        </w:tabs>
        <w:numPr>
          <w:ilvl w:val="0"/>
          <w:numId w:val="18"/>
        </w:numPr>
        <w:rPr>
          <w:rFonts w:ascii="Arial" w:cs="Arial" w:eastAsia="Arial" w:hAnsi="Arial"/>
          <w:sz w:val="14"/>
          <w:szCs w:val="14"/>
          <w:color w:val="29292B"/>
        </w:rPr>
      </w:pPr>
      <w:r>
        <w:rPr>
          <w:rFonts w:ascii="Arial" w:cs="Arial" w:eastAsia="Arial" w:hAnsi="Arial"/>
          <w:sz w:val="14"/>
          <w:szCs w:val="14"/>
          <w:color w:val="29292B"/>
        </w:rPr>
        <w:t>As reported by Baron Capital Group, Inc. (“BCG”), BAMCO Inc. (“BAMCO”), Baron Capital Management Inc. (“BCM”), Baron Growth Fund (“BGF”) and Ronald Baron and on a joint Schedule 13G/A filed with the SEC on February 14, 2024. BAMCO and BCM are subsidiaries of BCG. BGF is an advisory client of BAMCO. Ronald Baron owns a controlling interest in BCG. The address for the holders is 767 Fifth Avenue, 49th Floor, New York, NY 10153.</w:t>
      </w:r>
    </w:p>
    <w:p>
      <w:pPr>
        <w:spacing w:after="0" w:line="58" w:lineRule="exact"/>
        <w:rPr>
          <w:rFonts w:ascii="Arial" w:cs="Arial" w:eastAsia="Arial" w:hAnsi="Arial"/>
          <w:sz w:val="14"/>
          <w:szCs w:val="14"/>
          <w:color w:val="29292B"/>
        </w:rPr>
      </w:pPr>
    </w:p>
    <w:p>
      <w:pPr>
        <w:ind w:left="340" w:hanging="332"/>
        <w:spacing w:after="0"/>
        <w:tabs>
          <w:tab w:leader="none" w:pos="340" w:val="left"/>
        </w:tabs>
        <w:numPr>
          <w:ilvl w:val="0"/>
          <w:numId w:val="18"/>
        </w:numPr>
        <w:rPr>
          <w:rFonts w:ascii="Arial" w:cs="Arial" w:eastAsia="Arial" w:hAnsi="Arial"/>
          <w:sz w:val="14"/>
          <w:szCs w:val="14"/>
          <w:color w:val="29292B"/>
        </w:rPr>
      </w:pPr>
      <w:r>
        <w:rPr>
          <w:rFonts w:ascii="Arial" w:cs="Arial" w:eastAsia="Arial" w:hAnsi="Arial"/>
          <w:sz w:val="14"/>
          <w:szCs w:val="14"/>
          <w:color w:val="29292B"/>
        </w:rPr>
        <w:t>As reported by The Vanguard Group on a Schedule 13G/A filed with the SEC on February 12, 2024. The address for the holder is 100 Vanguard Blvd, Malvern, PA 19355.</w:t>
      </w:r>
    </w:p>
    <w:p>
      <w:pPr>
        <w:spacing w:after="0" w:line="95" w:lineRule="exact"/>
        <w:rPr>
          <w:rFonts w:ascii="Arial" w:cs="Arial" w:eastAsia="Arial" w:hAnsi="Arial"/>
          <w:sz w:val="14"/>
          <w:szCs w:val="14"/>
          <w:color w:val="29292B"/>
        </w:rPr>
      </w:pPr>
    </w:p>
    <w:p>
      <w:pPr>
        <w:ind w:left="340" w:hanging="332"/>
        <w:spacing w:after="0"/>
        <w:tabs>
          <w:tab w:leader="none" w:pos="340" w:val="left"/>
        </w:tabs>
        <w:numPr>
          <w:ilvl w:val="0"/>
          <w:numId w:val="18"/>
        </w:numPr>
        <w:rPr>
          <w:rFonts w:ascii="Arial" w:cs="Arial" w:eastAsia="Arial" w:hAnsi="Arial"/>
          <w:sz w:val="14"/>
          <w:szCs w:val="14"/>
          <w:color w:val="29292B"/>
        </w:rPr>
      </w:pPr>
      <w:r>
        <w:rPr>
          <w:rFonts w:ascii="Arial" w:cs="Arial" w:eastAsia="Arial" w:hAnsi="Arial"/>
          <w:sz w:val="14"/>
          <w:szCs w:val="14"/>
          <w:color w:val="29292B"/>
        </w:rPr>
        <w:t>As reported by BlackRock, Inc. on a Schedule 13G/A filed with the SEC on October 21, 2024. The address for the holder is 50 Hudson Yards, New York, NY 10001.</w:t>
      </w:r>
    </w:p>
    <w:p>
      <w:pPr>
        <w:spacing w:after="0" w:line="109" w:lineRule="exact"/>
        <w:rPr>
          <w:rFonts w:ascii="Arial" w:cs="Arial" w:eastAsia="Arial" w:hAnsi="Arial"/>
          <w:sz w:val="14"/>
          <w:szCs w:val="14"/>
          <w:color w:val="29292B"/>
        </w:rPr>
      </w:pPr>
    </w:p>
    <w:p>
      <w:pPr>
        <w:ind w:left="340" w:right="220" w:hanging="332"/>
        <w:spacing w:after="0" w:line="285" w:lineRule="auto"/>
        <w:tabs>
          <w:tab w:leader="none" w:pos="340" w:val="left"/>
        </w:tabs>
        <w:numPr>
          <w:ilvl w:val="0"/>
          <w:numId w:val="18"/>
        </w:numPr>
        <w:rPr>
          <w:rFonts w:ascii="Arial" w:cs="Arial" w:eastAsia="Arial" w:hAnsi="Arial"/>
          <w:sz w:val="14"/>
          <w:szCs w:val="14"/>
          <w:color w:val="29292B"/>
        </w:rPr>
      </w:pPr>
      <w:r>
        <w:rPr>
          <w:rFonts w:ascii="Arial" w:cs="Arial" w:eastAsia="Arial" w:hAnsi="Arial"/>
          <w:sz w:val="14"/>
          <w:szCs w:val="14"/>
          <w:color w:val="29292B"/>
        </w:rPr>
        <w:t>As reported by Select Equity Group, L.P. (“Select LP”) and George S. Loening, who is the majority owner of Select LP and managing member of its general partner, on a joint Schedule 13G filed with the SEC on February 14, 2024. The address for the holders is 380 Lafayette Street, New York, New York 10003.</w:t>
      </w:r>
    </w:p>
    <w:p>
      <w:pPr>
        <w:spacing w:after="0" w:line="49" w:lineRule="exact"/>
        <w:rPr>
          <w:rFonts w:ascii="Arial" w:cs="Arial" w:eastAsia="Arial" w:hAnsi="Arial"/>
          <w:sz w:val="14"/>
          <w:szCs w:val="14"/>
          <w:color w:val="29292B"/>
        </w:rPr>
      </w:pPr>
    </w:p>
    <w:p>
      <w:pPr>
        <w:ind w:left="340" w:right="20" w:hanging="332"/>
        <w:spacing w:after="0" w:line="269" w:lineRule="auto"/>
        <w:tabs>
          <w:tab w:leader="none" w:pos="340" w:val="left"/>
        </w:tabs>
        <w:numPr>
          <w:ilvl w:val="0"/>
          <w:numId w:val="18"/>
        </w:numPr>
        <w:rPr>
          <w:rFonts w:ascii="Arial" w:cs="Arial" w:eastAsia="Arial" w:hAnsi="Arial"/>
          <w:sz w:val="14"/>
          <w:szCs w:val="14"/>
          <w:color w:val="29292B"/>
        </w:rPr>
      </w:pPr>
      <w:r>
        <w:rPr>
          <w:rFonts w:ascii="Arial" w:cs="Arial" w:eastAsia="Arial" w:hAnsi="Arial"/>
          <w:sz w:val="14"/>
          <w:szCs w:val="14"/>
          <w:color w:val="29292B"/>
        </w:rPr>
        <w:t>As reported by APG Asset Management US Inc. (“APG US”) on a Schedule 13G/A filed with the SEC on February 7, 2024. APG Asset Management, N.V. (“APG NL”) is wholly-owned by APG Groep, N.V. (“APG Groep”) and is the investment manager with respect to the securities to which this statement relates. Pursuant to an Investment Management Agreement, APG NL has delegated its investment and voting power with respect to such securities to APG US, which is its wholly-owned subsidiary. Stichting Pensioenfonds ABP is the majority owner of APG Groep. The address for the holder is 666 3rd Ave, New York, NY 10017.</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29</w:t>
            </w:r>
          </w:p>
        </w:tc>
        <w:tc>
          <w:tcPr>
            <w:tcW w:w="0" w:type="dxa"/>
            <w:vAlign w:val="bottom"/>
          </w:tcPr>
          <w:p>
            <w:pPr>
              <w:spacing w:after="0"/>
              <w:rPr>
                <w:sz w:val="1"/>
                <w:szCs w:val="1"/>
                <w:color w:val="auto"/>
              </w:rPr>
            </w:pPr>
          </w:p>
        </w:tc>
      </w:tr>
      <w:tr>
        <w:trPr>
          <w:trHeight w:val="59"/>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4" w:name="page35"/>
    <w:bookmarkEnd w:id="34"/>
    <w:p>
      <w:pPr>
        <w:spacing w:after="0"/>
        <w:rPr>
          <w:sz w:val="20"/>
          <w:szCs w:val="20"/>
          <w:color w:val="auto"/>
        </w:rPr>
      </w:pPr>
      <w:r>
        <w:rPr>
          <w:rFonts w:ascii="Arial" w:cs="Arial" w:eastAsia="Arial" w:hAnsi="Arial"/>
          <w:sz w:val="50"/>
          <w:szCs w:val="50"/>
          <w:b w:val="1"/>
          <w:bCs w:val="1"/>
          <w:color w:val="032E5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Corporate Governance Guidelines</w:t>
      </w:r>
    </w:p>
    <w:p>
      <w:pPr>
        <w:spacing w:after="0" w:line="195" w:lineRule="exact"/>
        <w:rPr>
          <w:sz w:val="20"/>
          <w:szCs w:val="20"/>
          <w:color w:val="auto"/>
        </w:rPr>
      </w:pPr>
    </w:p>
    <w:p>
      <w:pPr>
        <w:spacing w:after="0" w:line="302" w:lineRule="auto"/>
        <w:rPr>
          <w:sz w:val="20"/>
          <w:szCs w:val="20"/>
          <w:color w:val="auto"/>
        </w:rPr>
      </w:pPr>
      <w:r>
        <w:rPr>
          <w:rFonts w:ascii="Arial" w:cs="Arial" w:eastAsia="Arial" w:hAnsi="Arial"/>
          <w:sz w:val="16"/>
          <w:szCs w:val="16"/>
          <w:color w:val="29292B"/>
        </w:rPr>
        <w:t xml:space="preserve">The Board acts as the ultimate decision-making body of the Company, except for those matters reserved to or shared with the Company’s stockholders. The Board is committed to a long-term strategy that drives growth and enhances shareholder value by focusing on areas with significant growth potential and leveraging our capabilities and scale to deliver exceptional experiences for our guests. The Board selects, advises, and oversees our management, who are responsible for the day-to-day operations and administration of the Company. The Board has adopted Corporate Governance Guidelines which, along with the charters of each of the committees of the Board and the Company’s Code of Ethics and Business Conduct, which we refer to as the Code of Ethics, provide the framework for the governance of the Company. A complete copy of the Company’s Corporate Governance Guidelines, the charters of the Board committees and the Code of Ethics for directors, officers, and employees may be found in the “Governance” section of the Company’s website at </w:t>
      </w:r>
      <w:r>
        <w:rPr>
          <w:rFonts w:ascii="Arial" w:cs="Arial" w:eastAsia="Arial" w:hAnsi="Arial"/>
          <w:sz w:val="16"/>
          <w:szCs w:val="16"/>
          <w:i w:val="1"/>
          <w:iCs w:val="1"/>
          <w:color w:val="29292B"/>
        </w:rPr>
        <w:t>investors.vailresorts.com</w:t>
      </w:r>
      <w:r>
        <w:rPr>
          <w:rFonts w:ascii="Arial" w:cs="Arial" w:eastAsia="Arial" w:hAnsi="Arial"/>
          <w:sz w:val="16"/>
          <w:szCs w:val="16"/>
          <w:color w:val="29292B"/>
        </w:rPr>
        <w:t>.</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Board Leadership and Lead Independent Director</w:t>
      </w:r>
    </w:p>
    <w:p>
      <w:pPr>
        <w:spacing w:after="0" w:line="19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29292B"/>
        </w:rPr>
        <w:t>Currently, the positions of Chairperson of the Board and Chief Executive Officer of the Company are held by separate persons, with Mr. Katz serving as our Executive Chairperson of the Board and Ms. Lynch serving as Chief Executive Officer. Both Mr. Katz and Ms. Lynch are considered non-independent directors. When the Chairperson of the Board is a non-independent director, the independent directors elect an independent director to serve in a lead capacity. Accordingly, Mr. Sewell serves as our Lead Independent Director, or Lead Director.</w:t>
      </w:r>
    </w:p>
    <w:p>
      <w:pPr>
        <w:spacing w:after="0" w:line="101"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29292B"/>
        </w:rPr>
        <w:t>The Board believes that two leaders serving as Executive Chairperson and Chief Executive Officer, together with an experienced and engaged Lead Director, is the most appropriate leadership structure for the Board at this time. This structure results in two leaders being directly accountable to the Board and, through the Board, to stockholders.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30</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-143510</wp:posOffset>
            </wp:positionV>
            <wp:extent cx="92583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180"/>
          </w:cols>
          <w:pgMar w:left="320" w:top="1170" w:right="39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20"/>
                <w:szCs w:val="20"/>
                <w:color w:val="auto"/>
              </w:rPr>
            </w:pPr>
            <w:r>
              <w:rPr>
                <w:rFonts w:ascii="Arial" w:cs="Arial" w:eastAsia="Arial" w:hAnsi="Arial"/>
                <w:sz w:val="14"/>
                <w:szCs w:val="14"/>
                <w:color w:val="032E5C"/>
              </w:rPr>
              <w:t>Table of Contents</w:t>
            </w:r>
          </w:p>
        </w:tc>
        <w:tc>
          <w:tcPr>
            <w:tcW w:w="5800" w:type="dxa"/>
            <w:vAlign w:val="bottom"/>
            <w:vMerge w:val="restart"/>
          </w:tcPr>
          <w:p>
            <w:pPr>
              <w:ind w:left="4060"/>
              <w:spacing w:after="0"/>
              <w:rPr>
                <w:sz w:val="20"/>
                <w:szCs w:val="20"/>
                <w:color w:val="auto"/>
              </w:rPr>
            </w:pPr>
            <w:r>
              <w:rPr>
                <w:rFonts w:ascii="Arial" w:cs="Arial" w:eastAsia="Arial" w:hAnsi="Arial"/>
                <w:sz w:val="13"/>
                <w:szCs w:val="13"/>
                <w:b w:val="1"/>
                <w:bCs w:val="1"/>
                <w:color w:val="032E5C"/>
                <w:w w:val="95"/>
              </w:rPr>
              <w:t>CORPORATE GOVERNANCE</w:t>
            </w: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5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5951855</wp:posOffset>
            </wp:positionH>
            <wp:positionV relativeFrom="page">
              <wp:posOffset>106045</wp:posOffset>
            </wp:positionV>
            <wp:extent cx="1388745"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8874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29292B"/>
        </w:rPr>
        <w:t>Specific duties of the Executive Chairperson and the Leader Director 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shd w:val="clear" w:color="auto" w:fill="98BDE2"/>
          </w:tcPr>
          <w:p>
            <w:pPr>
              <w:spacing w:after="0"/>
              <w:rPr>
                <w:sz w:val="18"/>
                <w:szCs w:val="18"/>
                <w:color w:val="auto"/>
              </w:rPr>
            </w:pPr>
          </w:p>
        </w:tc>
        <w:tc>
          <w:tcPr>
            <w:tcW w:w="5460" w:type="dxa"/>
            <w:vAlign w:val="bottom"/>
            <w:shd w:val="clear" w:color="auto" w:fill="98BDE2"/>
          </w:tcPr>
          <w:p>
            <w:pPr>
              <w:ind w:left="1460"/>
              <w:spacing w:after="0"/>
              <w:rPr>
                <w:sz w:val="20"/>
                <w:szCs w:val="20"/>
                <w:color w:val="auto"/>
              </w:rPr>
            </w:pPr>
            <w:r>
              <w:rPr>
                <w:rFonts w:ascii="Arial" w:cs="Arial" w:eastAsia="Arial" w:hAnsi="Arial"/>
                <w:sz w:val="14"/>
                <w:szCs w:val="14"/>
                <w:b w:val="1"/>
                <w:bCs w:val="1"/>
                <w:color w:val="032E5C"/>
              </w:rPr>
              <w:t>Executive Chairperson of the Board</w:t>
            </w:r>
          </w:p>
        </w:tc>
        <w:tc>
          <w:tcPr>
            <w:tcW w:w="5660" w:type="dxa"/>
            <w:vAlign w:val="bottom"/>
            <w:shd w:val="clear" w:color="auto" w:fill="3E5C7C"/>
          </w:tcPr>
          <w:p>
            <w:pPr>
              <w:ind w:left="2320"/>
              <w:spacing w:after="0"/>
              <w:rPr>
                <w:sz w:val="20"/>
                <w:szCs w:val="20"/>
                <w:color w:val="auto"/>
              </w:rPr>
            </w:pPr>
            <w:r>
              <w:rPr>
                <w:rFonts w:ascii="Arial" w:cs="Arial" w:eastAsia="Arial" w:hAnsi="Arial"/>
                <w:sz w:val="14"/>
                <w:szCs w:val="14"/>
                <w:b w:val="1"/>
                <w:bCs w:val="1"/>
                <w:color w:val="FFFFFF"/>
              </w:rPr>
              <w:t>Lead Director</w:t>
            </w:r>
          </w:p>
        </w:tc>
        <w:tc>
          <w:tcPr>
            <w:tcW w:w="0" w:type="dxa"/>
            <w:vAlign w:val="bottom"/>
          </w:tcPr>
          <w:p>
            <w:pPr>
              <w:spacing w:after="0"/>
              <w:rPr>
                <w:sz w:val="1"/>
                <w:szCs w:val="1"/>
                <w:color w:val="auto"/>
              </w:rPr>
            </w:pPr>
          </w:p>
        </w:tc>
      </w:tr>
      <w:tr>
        <w:trPr>
          <w:trHeight w:val="67"/>
        </w:trPr>
        <w:tc>
          <w:tcPr>
            <w:tcW w:w="120" w:type="dxa"/>
            <w:vAlign w:val="bottom"/>
            <w:shd w:val="clear" w:color="auto" w:fill="98BDE2"/>
          </w:tcPr>
          <w:p>
            <w:pPr>
              <w:spacing w:after="0"/>
              <w:rPr>
                <w:sz w:val="5"/>
                <w:szCs w:val="5"/>
                <w:color w:val="auto"/>
              </w:rPr>
            </w:pPr>
          </w:p>
        </w:tc>
        <w:tc>
          <w:tcPr>
            <w:tcW w:w="5460" w:type="dxa"/>
            <w:vAlign w:val="bottom"/>
            <w:shd w:val="clear" w:color="auto" w:fill="98BDE2"/>
          </w:tcPr>
          <w:p>
            <w:pPr>
              <w:spacing w:after="0"/>
              <w:rPr>
                <w:sz w:val="5"/>
                <w:szCs w:val="5"/>
                <w:color w:val="auto"/>
              </w:rPr>
            </w:pPr>
          </w:p>
        </w:tc>
        <w:tc>
          <w:tcPr>
            <w:tcW w:w="5660" w:type="dxa"/>
            <w:vAlign w:val="bottom"/>
            <w:shd w:val="clear" w:color="auto" w:fill="3E5C7C"/>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20" w:type="dxa"/>
            <w:vAlign w:val="bottom"/>
            <w:shd w:val="clear" w:color="auto" w:fill="F3EFE9"/>
          </w:tcPr>
          <w:p>
            <w:pPr>
              <w:spacing w:after="0"/>
              <w:rPr>
                <w:sz w:val="16"/>
                <w:szCs w:val="16"/>
                <w:color w:val="auto"/>
              </w:rPr>
            </w:pPr>
          </w:p>
        </w:tc>
        <w:tc>
          <w:tcPr>
            <w:tcW w:w="5460" w:type="dxa"/>
            <w:vAlign w:val="bottom"/>
            <w:shd w:val="clear" w:color="auto" w:fill="F3EFE9"/>
          </w:tcPr>
          <w:p>
            <w:pPr>
              <w:ind w:left="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Advising and supporting the CEO and other executives on long-term strategy</w:t>
            </w:r>
          </w:p>
        </w:tc>
        <w:tc>
          <w:tcPr>
            <w:tcW w:w="5660" w:type="dxa"/>
            <w:vAlign w:val="bottom"/>
          </w:tcPr>
          <w:p>
            <w:pPr>
              <w:ind w:left="1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Presiding over meetings of the Board at which the Executive Chairperson is not</w:t>
            </w:r>
          </w:p>
        </w:tc>
        <w:tc>
          <w:tcPr>
            <w:tcW w:w="0" w:type="dxa"/>
            <w:vAlign w:val="bottom"/>
          </w:tcPr>
          <w:p>
            <w:pPr>
              <w:spacing w:after="0"/>
              <w:rPr>
                <w:sz w:val="1"/>
                <w:szCs w:val="1"/>
                <w:color w:val="auto"/>
              </w:rPr>
            </w:pPr>
          </w:p>
        </w:tc>
      </w:tr>
      <w:tr>
        <w:trPr>
          <w:trHeight w:val="190"/>
        </w:trPr>
        <w:tc>
          <w:tcPr>
            <w:tcW w:w="120" w:type="dxa"/>
            <w:vAlign w:val="bottom"/>
            <w:shd w:val="clear" w:color="auto" w:fill="F3EFE9"/>
          </w:tcPr>
          <w:p>
            <w:pPr>
              <w:spacing w:after="0"/>
              <w:rPr>
                <w:sz w:val="16"/>
                <w:szCs w:val="16"/>
                <w:color w:val="auto"/>
              </w:rPr>
            </w:pPr>
          </w:p>
        </w:tc>
        <w:tc>
          <w:tcPr>
            <w:tcW w:w="5460" w:type="dxa"/>
            <w:vAlign w:val="bottom"/>
            <w:shd w:val="clear" w:color="auto" w:fill="F3EFE9"/>
          </w:tcPr>
          <w:p>
            <w:pPr>
              <w:ind w:left="340"/>
              <w:spacing w:after="0"/>
              <w:rPr>
                <w:sz w:val="20"/>
                <w:szCs w:val="20"/>
                <w:color w:val="auto"/>
              </w:rPr>
            </w:pPr>
            <w:r>
              <w:rPr>
                <w:rFonts w:ascii="Arial" w:cs="Arial" w:eastAsia="Arial" w:hAnsi="Arial"/>
                <w:sz w:val="14"/>
                <w:szCs w:val="14"/>
                <w:color w:val="032E5C"/>
              </w:rPr>
              <w:t>and key strategic decisions</w:t>
            </w:r>
          </w:p>
        </w:tc>
        <w:tc>
          <w:tcPr>
            <w:tcW w:w="5660" w:type="dxa"/>
            <w:vAlign w:val="bottom"/>
          </w:tcPr>
          <w:p>
            <w:pPr>
              <w:ind w:left="440"/>
              <w:spacing w:after="0"/>
              <w:rPr>
                <w:sz w:val="20"/>
                <w:szCs w:val="20"/>
                <w:color w:val="auto"/>
              </w:rPr>
            </w:pPr>
            <w:r>
              <w:rPr>
                <w:rFonts w:ascii="Arial" w:cs="Arial" w:eastAsia="Arial" w:hAnsi="Arial"/>
                <w:sz w:val="14"/>
                <w:szCs w:val="14"/>
                <w:color w:val="032E5C"/>
              </w:rPr>
              <w:t>present, including executive sessions of independent directors</w:t>
            </w:r>
          </w:p>
        </w:tc>
        <w:tc>
          <w:tcPr>
            <w:tcW w:w="0" w:type="dxa"/>
            <w:vAlign w:val="bottom"/>
          </w:tcPr>
          <w:p>
            <w:pPr>
              <w:spacing w:after="0"/>
              <w:rPr>
                <w:sz w:val="1"/>
                <w:szCs w:val="1"/>
                <w:color w:val="auto"/>
              </w:rPr>
            </w:pPr>
          </w:p>
        </w:tc>
      </w:tr>
      <w:tr>
        <w:trPr>
          <w:trHeight w:val="76"/>
        </w:trPr>
        <w:tc>
          <w:tcPr>
            <w:tcW w:w="120" w:type="dxa"/>
            <w:vAlign w:val="bottom"/>
            <w:tcBorders>
              <w:bottom w:val="single" w:sz="8" w:color="98BDE2"/>
            </w:tcBorders>
            <w:shd w:val="clear" w:color="auto" w:fill="F3EFE9"/>
          </w:tcPr>
          <w:p>
            <w:pPr>
              <w:spacing w:after="0"/>
              <w:rPr>
                <w:sz w:val="6"/>
                <w:szCs w:val="6"/>
                <w:color w:val="auto"/>
              </w:rPr>
            </w:pPr>
          </w:p>
        </w:tc>
        <w:tc>
          <w:tcPr>
            <w:tcW w:w="5460" w:type="dxa"/>
            <w:vAlign w:val="bottom"/>
            <w:tcBorders>
              <w:bottom w:val="single" w:sz="8" w:color="98BDE2"/>
            </w:tcBorders>
            <w:shd w:val="clear" w:color="auto" w:fill="F3EFE9"/>
          </w:tcPr>
          <w:p>
            <w:pPr>
              <w:spacing w:after="0"/>
              <w:rPr>
                <w:sz w:val="6"/>
                <w:szCs w:val="6"/>
                <w:color w:val="auto"/>
              </w:rPr>
            </w:pPr>
          </w:p>
        </w:tc>
        <w:tc>
          <w:tcPr>
            <w:tcW w:w="56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F3EFE9"/>
          </w:tcPr>
          <w:p>
            <w:pPr>
              <w:spacing w:after="0"/>
              <w:rPr>
                <w:sz w:val="17"/>
                <w:szCs w:val="17"/>
                <w:color w:val="auto"/>
              </w:rPr>
            </w:pPr>
          </w:p>
        </w:tc>
        <w:tc>
          <w:tcPr>
            <w:tcW w:w="5460" w:type="dxa"/>
            <w:vAlign w:val="bottom"/>
            <w:shd w:val="clear" w:color="auto" w:fill="F3EFE9"/>
          </w:tcPr>
          <w:p>
            <w:pPr>
              <w:ind w:left="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Providing regular feedback to the CEO on their performance</w:t>
            </w:r>
          </w:p>
        </w:tc>
        <w:tc>
          <w:tcPr>
            <w:tcW w:w="5660" w:type="dxa"/>
            <w:vAlign w:val="bottom"/>
          </w:tcPr>
          <w:p>
            <w:pPr>
              <w:ind w:left="1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Having the authority to call meetings of the independent directors</w:t>
            </w:r>
          </w:p>
        </w:tc>
        <w:tc>
          <w:tcPr>
            <w:tcW w:w="0" w:type="dxa"/>
            <w:vAlign w:val="bottom"/>
          </w:tcPr>
          <w:p>
            <w:pPr>
              <w:spacing w:after="0"/>
              <w:rPr>
                <w:sz w:val="1"/>
                <w:szCs w:val="1"/>
                <w:color w:val="auto"/>
              </w:rPr>
            </w:pPr>
          </w:p>
        </w:tc>
      </w:tr>
      <w:tr>
        <w:trPr>
          <w:trHeight w:val="76"/>
        </w:trPr>
        <w:tc>
          <w:tcPr>
            <w:tcW w:w="120" w:type="dxa"/>
            <w:vAlign w:val="bottom"/>
            <w:tcBorders>
              <w:bottom w:val="single" w:sz="8" w:color="98BDE2"/>
            </w:tcBorders>
            <w:shd w:val="clear" w:color="auto" w:fill="F3EFE9"/>
          </w:tcPr>
          <w:p>
            <w:pPr>
              <w:spacing w:after="0"/>
              <w:rPr>
                <w:sz w:val="6"/>
                <w:szCs w:val="6"/>
                <w:color w:val="auto"/>
              </w:rPr>
            </w:pPr>
          </w:p>
        </w:tc>
        <w:tc>
          <w:tcPr>
            <w:tcW w:w="5460" w:type="dxa"/>
            <w:vAlign w:val="bottom"/>
            <w:tcBorders>
              <w:bottom w:val="single" w:sz="8" w:color="98BDE2"/>
            </w:tcBorders>
            <w:shd w:val="clear" w:color="auto" w:fill="F3EFE9"/>
          </w:tcPr>
          <w:p>
            <w:pPr>
              <w:spacing w:after="0"/>
              <w:rPr>
                <w:sz w:val="6"/>
                <w:szCs w:val="6"/>
                <w:color w:val="auto"/>
              </w:rPr>
            </w:pPr>
          </w:p>
        </w:tc>
        <w:tc>
          <w:tcPr>
            <w:tcW w:w="56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20" w:type="dxa"/>
            <w:vAlign w:val="bottom"/>
            <w:shd w:val="clear" w:color="auto" w:fill="F3EFE9"/>
          </w:tcPr>
          <w:p>
            <w:pPr>
              <w:spacing w:after="0"/>
              <w:rPr>
                <w:sz w:val="16"/>
                <w:szCs w:val="16"/>
                <w:color w:val="auto"/>
              </w:rPr>
            </w:pPr>
          </w:p>
        </w:tc>
        <w:tc>
          <w:tcPr>
            <w:tcW w:w="5460" w:type="dxa"/>
            <w:vAlign w:val="bottom"/>
            <w:vMerge w:val="restart"/>
            <w:shd w:val="clear" w:color="auto" w:fill="F3EFE9"/>
          </w:tcPr>
          <w:p>
            <w:pPr>
              <w:ind w:left="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Engaging in select key strategic projects and initiatives</w:t>
            </w:r>
          </w:p>
        </w:tc>
        <w:tc>
          <w:tcPr>
            <w:tcW w:w="5660" w:type="dxa"/>
            <w:vAlign w:val="bottom"/>
          </w:tcPr>
          <w:p>
            <w:pPr>
              <w:ind w:left="1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Serving as the presiding director for purposes of all rights and duties assigned</w:t>
            </w:r>
          </w:p>
        </w:tc>
        <w:tc>
          <w:tcPr>
            <w:tcW w:w="0" w:type="dxa"/>
            <w:vAlign w:val="bottom"/>
          </w:tcPr>
          <w:p>
            <w:pPr>
              <w:spacing w:after="0"/>
              <w:rPr>
                <w:sz w:val="1"/>
                <w:szCs w:val="1"/>
                <w:color w:val="auto"/>
              </w:rPr>
            </w:pPr>
          </w:p>
        </w:tc>
      </w:tr>
      <w:tr>
        <w:trPr>
          <w:trHeight w:val="175"/>
        </w:trPr>
        <w:tc>
          <w:tcPr>
            <w:tcW w:w="120" w:type="dxa"/>
            <w:vAlign w:val="bottom"/>
            <w:shd w:val="clear" w:color="auto" w:fill="F3EFE9"/>
          </w:tcPr>
          <w:p>
            <w:pPr>
              <w:spacing w:after="0"/>
              <w:rPr>
                <w:sz w:val="15"/>
                <w:szCs w:val="15"/>
                <w:color w:val="auto"/>
              </w:rPr>
            </w:pPr>
          </w:p>
        </w:tc>
        <w:tc>
          <w:tcPr>
            <w:tcW w:w="5460" w:type="dxa"/>
            <w:vAlign w:val="bottom"/>
            <w:vMerge w:val="continue"/>
            <w:shd w:val="clear" w:color="auto" w:fill="F3EFE9"/>
          </w:tcPr>
          <w:p>
            <w:pPr>
              <w:spacing w:after="0"/>
              <w:rPr>
                <w:sz w:val="15"/>
                <w:szCs w:val="15"/>
                <w:color w:val="auto"/>
              </w:rPr>
            </w:pPr>
          </w:p>
        </w:tc>
        <w:tc>
          <w:tcPr>
            <w:tcW w:w="5660" w:type="dxa"/>
            <w:vAlign w:val="bottom"/>
          </w:tcPr>
          <w:p>
            <w:pPr>
              <w:ind w:left="440"/>
              <w:spacing w:after="0"/>
              <w:rPr>
                <w:sz w:val="20"/>
                <w:szCs w:val="20"/>
                <w:color w:val="auto"/>
              </w:rPr>
            </w:pPr>
            <w:r>
              <w:rPr>
                <w:rFonts w:ascii="Arial" w:cs="Arial" w:eastAsia="Arial" w:hAnsi="Arial"/>
                <w:sz w:val="14"/>
                <w:szCs w:val="14"/>
                <w:color w:val="032E5C"/>
              </w:rPr>
              <w:t>to the presiding director under the Company’s Bylaws, including the right to call</w:t>
            </w:r>
          </w:p>
        </w:tc>
        <w:tc>
          <w:tcPr>
            <w:tcW w:w="0" w:type="dxa"/>
            <w:vAlign w:val="bottom"/>
          </w:tcPr>
          <w:p>
            <w:pPr>
              <w:spacing w:after="0"/>
              <w:rPr>
                <w:sz w:val="1"/>
                <w:szCs w:val="1"/>
                <w:color w:val="auto"/>
              </w:rPr>
            </w:pPr>
          </w:p>
        </w:tc>
      </w:tr>
      <w:tr>
        <w:trPr>
          <w:trHeight w:val="190"/>
        </w:trPr>
        <w:tc>
          <w:tcPr>
            <w:tcW w:w="120" w:type="dxa"/>
            <w:vAlign w:val="bottom"/>
            <w:shd w:val="clear" w:color="auto" w:fill="F3EFE9"/>
          </w:tcPr>
          <w:p>
            <w:pPr>
              <w:spacing w:after="0"/>
              <w:rPr>
                <w:sz w:val="16"/>
                <w:szCs w:val="16"/>
                <w:color w:val="auto"/>
              </w:rPr>
            </w:pPr>
          </w:p>
        </w:tc>
        <w:tc>
          <w:tcPr>
            <w:tcW w:w="5460" w:type="dxa"/>
            <w:vAlign w:val="bottom"/>
            <w:shd w:val="clear" w:color="auto" w:fill="F3EFE9"/>
          </w:tcPr>
          <w:p>
            <w:pPr>
              <w:spacing w:after="0"/>
              <w:rPr>
                <w:sz w:val="16"/>
                <w:szCs w:val="16"/>
                <w:color w:val="auto"/>
              </w:rPr>
            </w:pPr>
          </w:p>
        </w:tc>
        <w:tc>
          <w:tcPr>
            <w:tcW w:w="5660" w:type="dxa"/>
            <w:vAlign w:val="bottom"/>
          </w:tcPr>
          <w:p>
            <w:pPr>
              <w:ind w:left="440"/>
              <w:spacing w:after="0"/>
              <w:rPr>
                <w:sz w:val="20"/>
                <w:szCs w:val="20"/>
                <w:color w:val="auto"/>
              </w:rPr>
            </w:pPr>
            <w:r>
              <w:rPr>
                <w:rFonts w:ascii="Arial" w:cs="Arial" w:eastAsia="Arial" w:hAnsi="Arial"/>
                <w:sz w:val="14"/>
                <w:szCs w:val="14"/>
                <w:color w:val="032E5C"/>
              </w:rPr>
              <w:t>special meetings of the Board</w:t>
            </w:r>
          </w:p>
        </w:tc>
        <w:tc>
          <w:tcPr>
            <w:tcW w:w="0" w:type="dxa"/>
            <w:vAlign w:val="bottom"/>
          </w:tcPr>
          <w:p>
            <w:pPr>
              <w:spacing w:after="0"/>
              <w:rPr>
                <w:sz w:val="1"/>
                <w:szCs w:val="1"/>
                <w:color w:val="auto"/>
              </w:rPr>
            </w:pPr>
          </w:p>
        </w:tc>
      </w:tr>
      <w:tr>
        <w:trPr>
          <w:trHeight w:val="62"/>
        </w:trPr>
        <w:tc>
          <w:tcPr>
            <w:tcW w:w="120" w:type="dxa"/>
            <w:vAlign w:val="bottom"/>
            <w:tcBorders>
              <w:bottom w:val="single" w:sz="8" w:color="98BDE2"/>
            </w:tcBorders>
            <w:shd w:val="clear" w:color="auto" w:fill="F3EFE9"/>
          </w:tcPr>
          <w:p>
            <w:pPr>
              <w:spacing w:after="0"/>
              <w:rPr>
                <w:sz w:val="5"/>
                <w:szCs w:val="5"/>
                <w:color w:val="auto"/>
              </w:rPr>
            </w:pPr>
          </w:p>
        </w:tc>
        <w:tc>
          <w:tcPr>
            <w:tcW w:w="5460" w:type="dxa"/>
            <w:vAlign w:val="bottom"/>
            <w:tcBorders>
              <w:bottom w:val="single" w:sz="8" w:color="98BDE2"/>
            </w:tcBorders>
            <w:shd w:val="clear" w:color="auto" w:fill="F3EFE9"/>
          </w:tcPr>
          <w:p>
            <w:pPr>
              <w:spacing w:after="0"/>
              <w:rPr>
                <w:sz w:val="5"/>
                <w:szCs w:val="5"/>
                <w:color w:val="auto"/>
              </w:rPr>
            </w:pPr>
          </w:p>
        </w:tc>
        <w:tc>
          <w:tcPr>
            <w:tcW w:w="566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20" w:type="dxa"/>
            <w:vAlign w:val="bottom"/>
            <w:shd w:val="clear" w:color="auto" w:fill="F3EFE9"/>
          </w:tcPr>
          <w:p>
            <w:pPr>
              <w:spacing w:after="0"/>
              <w:rPr>
                <w:sz w:val="16"/>
                <w:szCs w:val="16"/>
                <w:color w:val="auto"/>
              </w:rPr>
            </w:pPr>
          </w:p>
        </w:tc>
        <w:tc>
          <w:tcPr>
            <w:tcW w:w="5460" w:type="dxa"/>
            <w:vAlign w:val="bottom"/>
            <w:vMerge w:val="restart"/>
            <w:shd w:val="clear" w:color="auto" w:fill="F3EFE9"/>
          </w:tcPr>
          <w:p>
            <w:pPr>
              <w:ind w:left="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Setting the agenda for Board meetings with the Lead Director and the CEO</w:t>
            </w:r>
          </w:p>
        </w:tc>
        <w:tc>
          <w:tcPr>
            <w:tcW w:w="5660" w:type="dxa"/>
            <w:vAlign w:val="bottom"/>
          </w:tcPr>
          <w:p>
            <w:pPr>
              <w:ind w:left="1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Serving as principal liaison on Board-wide issues between the independent</w:t>
            </w:r>
          </w:p>
        </w:tc>
        <w:tc>
          <w:tcPr>
            <w:tcW w:w="0" w:type="dxa"/>
            <w:vAlign w:val="bottom"/>
          </w:tcPr>
          <w:p>
            <w:pPr>
              <w:spacing w:after="0"/>
              <w:rPr>
                <w:sz w:val="1"/>
                <w:szCs w:val="1"/>
                <w:color w:val="auto"/>
              </w:rPr>
            </w:pPr>
          </w:p>
        </w:tc>
      </w:tr>
      <w:tr>
        <w:trPr>
          <w:trHeight w:val="96"/>
        </w:trPr>
        <w:tc>
          <w:tcPr>
            <w:tcW w:w="120" w:type="dxa"/>
            <w:vAlign w:val="bottom"/>
            <w:shd w:val="clear" w:color="auto" w:fill="F3EFE9"/>
          </w:tcPr>
          <w:p>
            <w:pPr>
              <w:spacing w:after="0"/>
              <w:rPr>
                <w:sz w:val="8"/>
                <w:szCs w:val="8"/>
                <w:color w:val="auto"/>
              </w:rPr>
            </w:pPr>
          </w:p>
        </w:tc>
        <w:tc>
          <w:tcPr>
            <w:tcW w:w="5460" w:type="dxa"/>
            <w:vAlign w:val="bottom"/>
            <w:vMerge w:val="continue"/>
            <w:shd w:val="clear" w:color="auto" w:fill="F3EFE9"/>
          </w:tcPr>
          <w:p>
            <w:pPr>
              <w:spacing w:after="0"/>
              <w:rPr>
                <w:sz w:val="8"/>
                <w:szCs w:val="8"/>
                <w:color w:val="auto"/>
              </w:rPr>
            </w:pPr>
          </w:p>
        </w:tc>
        <w:tc>
          <w:tcPr>
            <w:tcW w:w="5660" w:type="dxa"/>
            <w:vAlign w:val="bottom"/>
            <w:vMerge w:val="restart"/>
          </w:tcPr>
          <w:p>
            <w:pPr>
              <w:ind w:left="440"/>
              <w:spacing w:after="0"/>
              <w:rPr>
                <w:sz w:val="20"/>
                <w:szCs w:val="20"/>
                <w:color w:val="auto"/>
              </w:rPr>
            </w:pPr>
            <w:r>
              <w:rPr>
                <w:rFonts w:ascii="Arial" w:cs="Arial" w:eastAsia="Arial" w:hAnsi="Arial"/>
                <w:sz w:val="14"/>
                <w:szCs w:val="14"/>
                <w:color w:val="032E5C"/>
              </w:rPr>
              <w:t>directors and the Executive Chairperson</w:t>
            </w:r>
          </w:p>
        </w:tc>
        <w:tc>
          <w:tcPr>
            <w:tcW w:w="0" w:type="dxa"/>
            <w:vAlign w:val="bottom"/>
          </w:tcPr>
          <w:p>
            <w:pPr>
              <w:spacing w:after="0"/>
              <w:rPr>
                <w:sz w:val="1"/>
                <w:szCs w:val="1"/>
                <w:color w:val="auto"/>
              </w:rPr>
            </w:pPr>
          </w:p>
        </w:tc>
      </w:tr>
      <w:tr>
        <w:trPr>
          <w:trHeight w:val="94"/>
        </w:trPr>
        <w:tc>
          <w:tcPr>
            <w:tcW w:w="120" w:type="dxa"/>
            <w:vAlign w:val="bottom"/>
            <w:shd w:val="clear" w:color="auto" w:fill="F3EFE9"/>
          </w:tcPr>
          <w:p>
            <w:pPr>
              <w:spacing w:after="0"/>
              <w:rPr>
                <w:sz w:val="8"/>
                <w:szCs w:val="8"/>
                <w:color w:val="auto"/>
              </w:rPr>
            </w:pPr>
          </w:p>
        </w:tc>
        <w:tc>
          <w:tcPr>
            <w:tcW w:w="5460" w:type="dxa"/>
            <w:vAlign w:val="bottom"/>
            <w:shd w:val="clear" w:color="auto" w:fill="F3EFE9"/>
          </w:tcPr>
          <w:p>
            <w:pPr>
              <w:spacing w:after="0"/>
              <w:rPr>
                <w:sz w:val="8"/>
                <w:szCs w:val="8"/>
                <w:color w:val="auto"/>
              </w:rPr>
            </w:pP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98BDE2"/>
            </w:tcBorders>
            <w:shd w:val="clear" w:color="auto" w:fill="F3EFE9"/>
          </w:tcPr>
          <w:p>
            <w:pPr>
              <w:spacing w:after="0"/>
              <w:rPr>
                <w:sz w:val="6"/>
                <w:szCs w:val="6"/>
                <w:color w:val="auto"/>
              </w:rPr>
            </w:pPr>
          </w:p>
        </w:tc>
        <w:tc>
          <w:tcPr>
            <w:tcW w:w="5460" w:type="dxa"/>
            <w:vAlign w:val="bottom"/>
            <w:tcBorders>
              <w:bottom w:val="single" w:sz="8" w:color="98BDE2"/>
            </w:tcBorders>
            <w:shd w:val="clear" w:color="auto" w:fill="F3EFE9"/>
          </w:tcPr>
          <w:p>
            <w:pPr>
              <w:spacing w:after="0"/>
              <w:rPr>
                <w:sz w:val="6"/>
                <w:szCs w:val="6"/>
                <w:color w:val="auto"/>
              </w:rPr>
            </w:pPr>
          </w:p>
        </w:tc>
        <w:tc>
          <w:tcPr>
            <w:tcW w:w="56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20" w:type="dxa"/>
            <w:vAlign w:val="bottom"/>
            <w:shd w:val="clear" w:color="auto" w:fill="F3EFE9"/>
          </w:tcPr>
          <w:p>
            <w:pPr>
              <w:spacing w:after="0"/>
              <w:rPr>
                <w:sz w:val="20"/>
                <w:szCs w:val="20"/>
                <w:color w:val="auto"/>
              </w:rPr>
            </w:pPr>
          </w:p>
        </w:tc>
        <w:tc>
          <w:tcPr>
            <w:tcW w:w="5460" w:type="dxa"/>
            <w:vAlign w:val="bottom"/>
            <w:shd w:val="clear" w:color="auto" w:fill="F3EFE9"/>
          </w:tcPr>
          <w:p>
            <w:pPr>
              <w:ind w:left="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Having the authority to call special meetings of the Board and such other duties</w:t>
            </w:r>
          </w:p>
        </w:tc>
        <w:tc>
          <w:tcPr>
            <w:tcW w:w="5660" w:type="dxa"/>
            <w:vAlign w:val="bottom"/>
          </w:tcPr>
          <w:p>
            <w:pPr>
              <w:ind w:left="1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Approving meeting agendas and meeting schedules for the Board</w:t>
            </w:r>
          </w:p>
        </w:tc>
        <w:tc>
          <w:tcPr>
            <w:tcW w:w="0" w:type="dxa"/>
            <w:vAlign w:val="bottom"/>
          </w:tcPr>
          <w:p>
            <w:pPr>
              <w:spacing w:after="0"/>
              <w:rPr>
                <w:sz w:val="1"/>
                <w:szCs w:val="1"/>
                <w:color w:val="auto"/>
              </w:rPr>
            </w:pPr>
          </w:p>
        </w:tc>
      </w:tr>
      <w:tr>
        <w:trPr>
          <w:trHeight w:val="216"/>
        </w:trPr>
        <w:tc>
          <w:tcPr>
            <w:tcW w:w="120" w:type="dxa"/>
            <w:vAlign w:val="bottom"/>
            <w:tcBorders>
              <w:bottom w:val="single" w:sz="8" w:color="F3EFE9"/>
            </w:tcBorders>
            <w:shd w:val="clear" w:color="auto" w:fill="F3EFE9"/>
          </w:tcPr>
          <w:p>
            <w:pPr>
              <w:spacing w:after="0"/>
              <w:rPr>
                <w:sz w:val="18"/>
                <w:szCs w:val="18"/>
                <w:color w:val="auto"/>
              </w:rPr>
            </w:pPr>
          </w:p>
        </w:tc>
        <w:tc>
          <w:tcPr>
            <w:tcW w:w="5460" w:type="dxa"/>
            <w:vAlign w:val="bottom"/>
            <w:tcBorders>
              <w:bottom w:val="single" w:sz="8" w:color="F3EFE9"/>
            </w:tcBorders>
            <w:shd w:val="clear" w:color="auto" w:fill="F3EFE9"/>
          </w:tcPr>
          <w:p>
            <w:pPr>
              <w:ind w:left="340"/>
              <w:spacing w:after="0"/>
              <w:rPr>
                <w:sz w:val="20"/>
                <w:szCs w:val="20"/>
                <w:color w:val="auto"/>
              </w:rPr>
            </w:pPr>
            <w:r>
              <w:rPr>
                <w:rFonts w:ascii="Arial" w:cs="Arial" w:eastAsia="Arial" w:hAnsi="Arial"/>
                <w:sz w:val="14"/>
                <w:szCs w:val="14"/>
                <w:color w:val="032E5C"/>
              </w:rPr>
              <w:t>assigned to the Chairperson under the Company’s Bylaws</w:t>
            </w:r>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0" w:type="dxa"/>
            <w:vAlign w:val="bottom"/>
            <w:tcBorders>
              <w:top w:val="single" w:sz="8" w:color="98BDE2"/>
            </w:tcBorders>
            <w:shd w:val="clear" w:color="auto" w:fill="F3EFE9"/>
          </w:tcPr>
          <w:p>
            <w:pPr>
              <w:spacing w:after="0"/>
              <w:rPr>
                <w:sz w:val="16"/>
                <w:szCs w:val="16"/>
                <w:color w:val="auto"/>
              </w:rPr>
            </w:pPr>
          </w:p>
        </w:tc>
        <w:tc>
          <w:tcPr>
            <w:tcW w:w="5460" w:type="dxa"/>
            <w:vAlign w:val="bottom"/>
            <w:tcBorders>
              <w:top w:val="single" w:sz="8" w:color="98BDE2"/>
            </w:tcBorders>
            <w:vMerge w:val="restart"/>
            <w:shd w:val="clear" w:color="auto" w:fill="F3EFE9"/>
          </w:tcPr>
          <w:p>
            <w:pPr>
              <w:ind w:left="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Serving as a liaison between the Board and Senior Management</w:t>
            </w:r>
          </w:p>
        </w:tc>
        <w:tc>
          <w:tcPr>
            <w:tcW w:w="5660" w:type="dxa"/>
            <w:vAlign w:val="bottom"/>
            <w:tcBorders>
              <w:top w:val="single" w:sz="8" w:color="98BDE2"/>
            </w:tcBorders>
          </w:tcPr>
          <w:p>
            <w:pPr>
              <w:ind w:left="1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Serving as the point of contact for communications from stockholders or other</w:t>
            </w:r>
          </w:p>
        </w:tc>
        <w:tc>
          <w:tcPr>
            <w:tcW w:w="0" w:type="dxa"/>
            <w:vAlign w:val="bottom"/>
          </w:tcPr>
          <w:p>
            <w:pPr>
              <w:spacing w:after="0"/>
              <w:rPr>
                <w:sz w:val="1"/>
                <w:szCs w:val="1"/>
                <w:color w:val="auto"/>
              </w:rPr>
            </w:pPr>
          </w:p>
        </w:tc>
      </w:tr>
      <w:tr>
        <w:trPr>
          <w:trHeight w:val="176"/>
        </w:trPr>
        <w:tc>
          <w:tcPr>
            <w:tcW w:w="120" w:type="dxa"/>
            <w:vAlign w:val="bottom"/>
            <w:shd w:val="clear" w:color="auto" w:fill="F3EFE9"/>
          </w:tcPr>
          <w:p>
            <w:pPr>
              <w:spacing w:after="0"/>
              <w:rPr>
                <w:sz w:val="15"/>
                <w:szCs w:val="15"/>
                <w:color w:val="auto"/>
              </w:rPr>
            </w:pPr>
          </w:p>
        </w:tc>
        <w:tc>
          <w:tcPr>
            <w:tcW w:w="5460" w:type="dxa"/>
            <w:vAlign w:val="bottom"/>
            <w:vMerge w:val="continue"/>
            <w:shd w:val="clear" w:color="auto" w:fill="F3EFE9"/>
          </w:tcPr>
          <w:p>
            <w:pPr>
              <w:spacing w:after="0"/>
              <w:rPr>
                <w:sz w:val="15"/>
                <w:szCs w:val="15"/>
                <w:color w:val="auto"/>
              </w:rPr>
            </w:pPr>
          </w:p>
        </w:tc>
        <w:tc>
          <w:tcPr>
            <w:tcW w:w="5660" w:type="dxa"/>
            <w:vAlign w:val="bottom"/>
          </w:tcPr>
          <w:p>
            <w:pPr>
              <w:ind w:left="440"/>
              <w:spacing w:after="0"/>
              <w:rPr>
                <w:sz w:val="20"/>
                <w:szCs w:val="20"/>
                <w:color w:val="auto"/>
              </w:rPr>
            </w:pPr>
            <w:r>
              <w:rPr>
                <w:rFonts w:ascii="Arial" w:cs="Arial" w:eastAsia="Arial" w:hAnsi="Arial"/>
                <w:sz w:val="14"/>
                <w:szCs w:val="14"/>
                <w:color w:val="032E5C"/>
              </w:rPr>
              <w:t>interested parties directed to the Lead Director or the non-management</w:t>
            </w:r>
          </w:p>
        </w:tc>
        <w:tc>
          <w:tcPr>
            <w:tcW w:w="0" w:type="dxa"/>
            <w:vAlign w:val="bottom"/>
          </w:tcPr>
          <w:p>
            <w:pPr>
              <w:spacing w:after="0"/>
              <w:rPr>
                <w:sz w:val="1"/>
                <w:szCs w:val="1"/>
                <w:color w:val="auto"/>
              </w:rPr>
            </w:pPr>
          </w:p>
        </w:tc>
      </w:tr>
      <w:tr>
        <w:trPr>
          <w:trHeight w:val="190"/>
        </w:trPr>
        <w:tc>
          <w:tcPr>
            <w:tcW w:w="120" w:type="dxa"/>
            <w:vAlign w:val="bottom"/>
            <w:shd w:val="clear" w:color="auto" w:fill="F3EFE9"/>
          </w:tcPr>
          <w:p>
            <w:pPr>
              <w:spacing w:after="0"/>
              <w:rPr>
                <w:sz w:val="16"/>
                <w:szCs w:val="16"/>
                <w:color w:val="auto"/>
              </w:rPr>
            </w:pPr>
          </w:p>
        </w:tc>
        <w:tc>
          <w:tcPr>
            <w:tcW w:w="5460" w:type="dxa"/>
            <w:vAlign w:val="bottom"/>
            <w:shd w:val="clear" w:color="auto" w:fill="F3EFE9"/>
          </w:tcPr>
          <w:p>
            <w:pPr>
              <w:spacing w:after="0"/>
              <w:rPr>
                <w:sz w:val="16"/>
                <w:szCs w:val="16"/>
                <w:color w:val="auto"/>
              </w:rPr>
            </w:pPr>
          </w:p>
        </w:tc>
        <w:tc>
          <w:tcPr>
            <w:tcW w:w="5660" w:type="dxa"/>
            <w:vAlign w:val="bottom"/>
          </w:tcPr>
          <w:p>
            <w:pPr>
              <w:ind w:left="440"/>
              <w:spacing w:after="0"/>
              <w:rPr>
                <w:sz w:val="20"/>
                <w:szCs w:val="20"/>
                <w:color w:val="auto"/>
              </w:rPr>
            </w:pPr>
            <w:r>
              <w:rPr>
                <w:rFonts w:ascii="Arial" w:cs="Arial" w:eastAsia="Arial" w:hAnsi="Arial"/>
                <w:sz w:val="14"/>
                <w:szCs w:val="14"/>
                <w:color w:val="032E5C"/>
              </w:rPr>
              <w:t>directors or the Board as a group</w:t>
            </w:r>
          </w:p>
        </w:tc>
        <w:tc>
          <w:tcPr>
            <w:tcW w:w="0" w:type="dxa"/>
            <w:vAlign w:val="bottom"/>
          </w:tcPr>
          <w:p>
            <w:pPr>
              <w:spacing w:after="0"/>
              <w:rPr>
                <w:sz w:val="1"/>
                <w:szCs w:val="1"/>
                <w:color w:val="auto"/>
              </w:rPr>
            </w:pPr>
          </w:p>
        </w:tc>
      </w:tr>
      <w:tr>
        <w:trPr>
          <w:trHeight w:val="62"/>
        </w:trPr>
        <w:tc>
          <w:tcPr>
            <w:tcW w:w="120" w:type="dxa"/>
            <w:vAlign w:val="bottom"/>
            <w:tcBorders>
              <w:bottom w:val="single" w:sz="8" w:color="98BDE2"/>
            </w:tcBorders>
            <w:shd w:val="clear" w:color="auto" w:fill="F3EFE9"/>
          </w:tcPr>
          <w:p>
            <w:pPr>
              <w:spacing w:after="0"/>
              <w:rPr>
                <w:sz w:val="5"/>
                <w:szCs w:val="5"/>
                <w:color w:val="auto"/>
              </w:rPr>
            </w:pPr>
          </w:p>
        </w:tc>
        <w:tc>
          <w:tcPr>
            <w:tcW w:w="5460" w:type="dxa"/>
            <w:vAlign w:val="bottom"/>
            <w:tcBorders>
              <w:bottom w:val="single" w:sz="8" w:color="98BDE2"/>
            </w:tcBorders>
            <w:shd w:val="clear" w:color="auto" w:fill="F3EFE9"/>
          </w:tcPr>
          <w:p>
            <w:pPr>
              <w:spacing w:after="0"/>
              <w:rPr>
                <w:sz w:val="5"/>
                <w:szCs w:val="5"/>
                <w:color w:val="auto"/>
              </w:rPr>
            </w:pPr>
          </w:p>
        </w:tc>
        <w:tc>
          <w:tcPr>
            <w:tcW w:w="566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20" w:type="dxa"/>
            <w:vAlign w:val="bottom"/>
            <w:shd w:val="clear" w:color="auto" w:fill="F3EFE9"/>
          </w:tcPr>
          <w:p>
            <w:pPr>
              <w:spacing w:after="0"/>
              <w:rPr>
                <w:sz w:val="16"/>
                <w:szCs w:val="16"/>
                <w:color w:val="auto"/>
              </w:rPr>
            </w:pPr>
          </w:p>
        </w:tc>
        <w:tc>
          <w:tcPr>
            <w:tcW w:w="5460" w:type="dxa"/>
            <w:vAlign w:val="bottom"/>
            <w:vMerge w:val="restart"/>
            <w:shd w:val="clear" w:color="auto" w:fill="F3EFE9"/>
          </w:tcPr>
          <w:p>
            <w:pPr>
              <w:ind w:left="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Monitor the content, quality, and timeliness of information sent to the Board</w:t>
            </w:r>
          </w:p>
        </w:tc>
        <w:tc>
          <w:tcPr>
            <w:tcW w:w="5660" w:type="dxa"/>
            <w:vAlign w:val="bottom"/>
          </w:tcPr>
          <w:p>
            <w:pPr>
              <w:ind w:left="1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Such other duties as set forth in the Charter of the Lead Independent Director</w:t>
            </w:r>
          </w:p>
        </w:tc>
        <w:tc>
          <w:tcPr>
            <w:tcW w:w="0" w:type="dxa"/>
            <w:vAlign w:val="bottom"/>
          </w:tcPr>
          <w:p>
            <w:pPr>
              <w:spacing w:after="0"/>
              <w:rPr>
                <w:sz w:val="1"/>
                <w:szCs w:val="1"/>
                <w:color w:val="auto"/>
              </w:rPr>
            </w:pPr>
          </w:p>
        </w:tc>
      </w:tr>
      <w:tr>
        <w:trPr>
          <w:trHeight w:val="96"/>
        </w:trPr>
        <w:tc>
          <w:tcPr>
            <w:tcW w:w="120" w:type="dxa"/>
            <w:vAlign w:val="bottom"/>
            <w:shd w:val="clear" w:color="auto" w:fill="F3EFE9"/>
          </w:tcPr>
          <w:p>
            <w:pPr>
              <w:spacing w:after="0"/>
              <w:rPr>
                <w:sz w:val="8"/>
                <w:szCs w:val="8"/>
                <w:color w:val="auto"/>
              </w:rPr>
            </w:pPr>
          </w:p>
        </w:tc>
        <w:tc>
          <w:tcPr>
            <w:tcW w:w="5460" w:type="dxa"/>
            <w:vAlign w:val="bottom"/>
            <w:vMerge w:val="continue"/>
            <w:shd w:val="clear" w:color="auto" w:fill="F3EFE9"/>
          </w:tcPr>
          <w:p>
            <w:pPr>
              <w:spacing w:after="0"/>
              <w:rPr>
                <w:sz w:val="8"/>
                <w:szCs w:val="8"/>
                <w:color w:val="auto"/>
              </w:rPr>
            </w:pPr>
          </w:p>
        </w:tc>
        <w:tc>
          <w:tcPr>
            <w:tcW w:w="5660" w:type="dxa"/>
            <w:vAlign w:val="bottom"/>
            <w:vMerge w:val="restart"/>
          </w:tcPr>
          <w:p>
            <w:pPr>
              <w:ind w:left="440"/>
              <w:spacing w:after="0"/>
              <w:rPr>
                <w:sz w:val="20"/>
                <w:szCs w:val="20"/>
                <w:color w:val="auto"/>
              </w:rPr>
            </w:pPr>
            <w:r>
              <w:rPr>
                <w:rFonts w:ascii="Arial" w:cs="Arial" w:eastAsia="Arial" w:hAnsi="Arial"/>
                <w:sz w:val="14"/>
                <w:szCs w:val="14"/>
                <w:color w:val="032E5C"/>
              </w:rPr>
              <w:t>(attached as Appendix A to the Corporate Governance Guidelines)</w:t>
            </w:r>
          </w:p>
        </w:tc>
        <w:tc>
          <w:tcPr>
            <w:tcW w:w="0" w:type="dxa"/>
            <w:vAlign w:val="bottom"/>
          </w:tcPr>
          <w:p>
            <w:pPr>
              <w:spacing w:after="0"/>
              <w:rPr>
                <w:sz w:val="1"/>
                <w:szCs w:val="1"/>
                <w:color w:val="auto"/>
              </w:rPr>
            </w:pPr>
          </w:p>
        </w:tc>
      </w:tr>
      <w:tr>
        <w:trPr>
          <w:trHeight w:val="95"/>
        </w:trPr>
        <w:tc>
          <w:tcPr>
            <w:tcW w:w="120" w:type="dxa"/>
            <w:vAlign w:val="bottom"/>
            <w:shd w:val="clear" w:color="auto" w:fill="F3EFE9"/>
          </w:tcPr>
          <w:p>
            <w:pPr>
              <w:spacing w:after="0"/>
              <w:rPr>
                <w:sz w:val="8"/>
                <w:szCs w:val="8"/>
                <w:color w:val="auto"/>
              </w:rPr>
            </w:pPr>
          </w:p>
        </w:tc>
        <w:tc>
          <w:tcPr>
            <w:tcW w:w="5460" w:type="dxa"/>
            <w:vAlign w:val="bottom"/>
            <w:shd w:val="clear" w:color="auto" w:fill="F3EFE9"/>
          </w:tcPr>
          <w:p>
            <w:pPr>
              <w:spacing w:after="0"/>
              <w:rPr>
                <w:sz w:val="8"/>
                <w:szCs w:val="8"/>
                <w:color w:val="auto"/>
              </w:rPr>
            </w:pP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98BDE2"/>
            </w:tcBorders>
            <w:shd w:val="clear" w:color="auto" w:fill="F3EFE9"/>
          </w:tcPr>
          <w:p>
            <w:pPr>
              <w:spacing w:after="0"/>
              <w:rPr>
                <w:sz w:val="6"/>
                <w:szCs w:val="6"/>
                <w:color w:val="auto"/>
              </w:rPr>
            </w:pPr>
          </w:p>
        </w:tc>
        <w:tc>
          <w:tcPr>
            <w:tcW w:w="5460" w:type="dxa"/>
            <w:vAlign w:val="bottom"/>
            <w:tcBorders>
              <w:bottom w:val="single" w:sz="8" w:color="98BDE2"/>
            </w:tcBorders>
            <w:shd w:val="clear" w:color="auto" w:fill="F3EFE9"/>
          </w:tcPr>
          <w:p>
            <w:pPr>
              <w:spacing w:after="0"/>
              <w:rPr>
                <w:sz w:val="6"/>
                <w:szCs w:val="6"/>
                <w:color w:val="auto"/>
              </w:rPr>
            </w:pPr>
          </w:p>
        </w:tc>
        <w:tc>
          <w:tcPr>
            <w:tcW w:w="56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F3EFE9"/>
          </w:tcPr>
          <w:p>
            <w:pPr>
              <w:spacing w:after="0"/>
              <w:rPr>
                <w:sz w:val="17"/>
                <w:szCs w:val="17"/>
                <w:color w:val="auto"/>
              </w:rPr>
            </w:pPr>
          </w:p>
        </w:tc>
        <w:tc>
          <w:tcPr>
            <w:tcW w:w="5460" w:type="dxa"/>
            <w:vAlign w:val="bottom"/>
            <w:shd w:val="clear" w:color="auto" w:fill="F3EFE9"/>
          </w:tcPr>
          <w:p>
            <w:pPr>
              <w:ind w:left="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Acting as a source of institutional knowledge</w:t>
            </w:r>
          </w:p>
        </w:tc>
        <w:tc>
          <w:tcPr>
            <w:tcW w:w="5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98BDE2"/>
            </w:tcBorders>
            <w:shd w:val="clear" w:color="auto" w:fill="F3EFE9"/>
          </w:tcPr>
          <w:p>
            <w:pPr>
              <w:spacing w:after="0"/>
              <w:rPr>
                <w:sz w:val="6"/>
                <w:szCs w:val="6"/>
                <w:color w:val="auto"/>
              </w:rPr>
            </w:pPr>
          </w:p>
        </w:tc>
        <w:tc>
          <w:tcPr>
            <w:tcW w:w="5460" w:type="dxa"/>
            <w:vAlign w:val="bottom"/>
            <w:tcBorders>
              <w:bottom w:val="single" w:sz="8" w:color="98BDE2"/>
            </w:tcBorders>
            <w:shd w:val="clear" w:color="auto" w:fill="F3EFE9"/>
          </w:tcPr>
          <w:p>
            <w:pPr>
              <w:spacing w:after="0"/>
              <w:rPr>
                <w:sz w:val="6"/>
                <w:szCs w:val="6"/>
                <w:color w:val="auto"/>
              </w:rPr>
            </w:pPr>
          </w:p>
        </w:tc>
        <w:tc>
          <w:tcPr>
            <w:tcW w:w="56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20" w:type="dxa"/>
            <w:vAlign w:val="bottom"/>
            <w:shd w:val="clear" w:color="auto" w:fill="F3EFE9"/>
          </w:tcPr>
          <w:p>
            <w:pPr>
              <w:spacing w:after="0"/>
              <w:rPr>
                <w:sz w:val="16"/>
                <w:szCs w:val="16"/>
                <w:color w:val="auto"/>
              </w:rPr>
            </w:pPr>
          </w:p>
        </w:tc>
        <w:tc>
          <w:tcPr>
            <w:tcW w:w="5460" w:type="dxa"/>
            <w:vAlign w:val="bottom"/>
            <w:shd w:val="clear" w:color="auto" w:fill="F3EFE9"/>
          </w:tcPr>
          <w:p>
            <w:pPr>
              <w:ind w:left="20"/>
              <w:spacing w:after="0"/>
              <w:rPr>
                <w:sz w:val="20"/>
                <w:szCs w:val="20"/>
                <w:color w:val="auto"/>
              </w:rPr>
            </w:pPr>
            <w:r>
              <w:rPr>
                <w:rFonts w:ascii="Wingdings" w:cs="Wingdings" w:eastAsia="Wingdings" w:hAnsi="Wingdings"/>
                <w:sz w:val="14"/>
                <w:szCs w:val="14"/>
                <w:b w:val="1"/>
                <w:bCs w:val="1"/>
                <w:color w:val="auto"/>
                <w:shd w:val="clear" w:color="auto" w:fill="3E5C7C"/>
              </w:rPr>
              <w:t xml:space="preserve">à  </w:t>
            </w:r>
            <w:r>
              <w:rPr>
                <w:rFonts w:ascii="Arial" w:cs="Arial" w:eastAsia="Arial" w:hAnsi="Arial"/>
                <w:sz w:val="14"/>
                <w:szCs w:val="14"/>
                <w:color w:val="032E5C"/>
              </w:rPr>
              <w:t>Being available to the Board and the CEO for additional responsibilities as may</w:t>
            </w:r>
          </w:p>
        </w:tc>
        <w:tc>
          <w:tcPr>
            <w:tcW w:w="5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F3EFE9"/>
          </w:tcPr>
          <w:p>
            <w:pPr>
              <w:spacing w:after="0"/>
              <w:rPr>
                <w:sz w:val="16"/>
                <w:szCs w:val="16"/>
                <w:color w:val="auto"/>
              </w:rPr>
            </w:pPr>
          </w:p>
        </w:tc>
        <w:tc>
          <w:tcPr>
            <w:tcW w:w="5460" w:type="dxa"/>
            <w:vAlign w:val="bottom"/>
            <w:shd w:val="clear" w:color="auto" w:fill="F3EFE9"/>
          </w:tcPr>
          <w:p>
            <w:pPr>
              <w:ind w:left="340"/>
              <w:spacing w:after="0"/>
              <w:rPr>
                <w:sz w:val="20"/>
                <w:szCs w:val="20"/>
                <w:color w:val="auto"/>
              </w:rPr>
            </w:pPr>
            <w:r>
              <w:rPr>
                <w:rFonts w:ascii="Arial" w:cs="Arial" w:eastAsia="Arial" w:hAnsi="Arial"/>
                <w:sz w:val="14"/>
                <w:szCs w:val="14"/>
                <w:color w:val="032E5C"/>
              </w:rPr>
              <w:t>be needed</w:t>
            </w:r>
          </w:p>
        </w:tc>
        <w:tc>
          <w:tcPr>
            <w:tcW w:w="5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120" w:type="dxa"/>
            <w:vAlign w:val="bottom"/>
            <w:tcBorders>
              <w:bottom w:val="single" w:sz="8" w:color="3E5C7C"/>
            </w:tcBorders>
            <w:shd w:val="clear" w:color="auto" w:fill="F3EFE9"/>
          </w:tcPr>
          <w:p>
            <w:pPr>
              <w:spacing w:after="0"/>
              <w:rPr>
                <w:sz w:val="7"/>
                <w:szCs w:val="7"/>
                <w:color w:val="auto"/>
              </w:rPr>
            </w:pPr>
          </w:p>
        </w:tc>
        <w:tc>
          <w:tcPr>
            <w:tcW w:w="5460" w:type="dxa"/>
            <w:vAlign w:val="bottom"/>
            <w:tcBorders>
              <w:bottom w:val="single" w:sz="8" w:color="3E5C7C"/>
            </w:tcBorders>
            <w:shd w:val="clear" w:color="auto" w:fill="F3EFE9"/>
          </w:tcPr>
          <w:p>
            <w:pPr>
              <w:spacing w:after="0"/>
              <w:rPr>
                <w:sz w:val="7"/>
                <w:szCs w:val="7"/>
                <w:color w:val="auto"/>
              </w:rPr>
            </w:pPr>
          </w:p>
        </w:tc>
        <w:tc>
          <w:tcPr>
            <w:tcW w:w="5660" w:type="dxa"/>
            <w:vAlign w:val="bottom"/>
            <w:tcBorders>
              <w:bottom w:val="single" w:sz="8" w:color="3E5C7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Meetings of the Board</w:t>
      </w:r>
    </w:p>
    <w:p>
      <w:pPr>
        <w:spacing w:after="0" w:line="195"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29292B"/>
        </w:rPr>
        <w:t>The Board held a total of four meetings during fiscal 2024. Each of our then-serving directors attended at least 75% of the meetings held by the Board and Board committees on which he or she served during the fiscal year. In accordance with our Corporate Governance Guidelines, directors are invited and encouraged to attend our annual meeting of stockholders. All of our then-serving directors attended our 2023 annual meeting of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Executive Sessions</w:t>
      </w:r>
    </w:p>
    <w:p>
      <w:pPr>
        <w:spacing w:after="0" w:line="195"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29292B"/>
        </w:rPr>
        <w:t>The non-management directors’ practice is to meet in executive session following the conclusion of each regularly scheduled quarterly Board meeting to discuss such matters as they deem appropriate and, at least once a year, to review the Compensation Committee’s annual review of the Chief Executive Officer and the Executive Chairperson. These executive sessions are chaired by the Lead Director. Interested parties, including our stockholders, may communicate with the Lead Director and the non-management directors by following the procedures under the heading “Communications with the Board” below.</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Director Nominations</w:t>
      </w:r>
    </w:p>
    <w:p>
      <w:pPr>
        <w:spacing w:after="0" w:line="19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9292B"/>
        </w:rPr>
        <w:t>The Nominating &amp; Governance Committee considers and recommends candidates for election to the Board. The Nominating &amp; Governance Committee also considers candidates for election to the Board, if any, that are submitted by stockholders. Each member of the Nominating &amp; Governance Committee participates in the review and discussion of director candidates. In addition, members of the Board who are not on the Nominating &amp; Governance Committee may meet with and evaluate the suitability of candidates. In making its selections of candidates to recommend for election, the Nominating &amp; Governance Committee seeks persons who have achieved prominence in their field and who possess significant experience in areas of importance to the Company. The minimum qualifications that the Nominating &amp; Governance Committee believes must be met for a candidate to be nominated include independence, wisdom, integrity, understanding and general acceptance of the Company’s corporate philosophy, business or professional knowledge and experience that can bear on the Company’s and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31</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2180" w:type="dxa"/>
            <w:vAlign w:val="bottom"/>
            <w:vMerge w:val="restart"/>
            <w:shd w:val="clear" w:color="auto" w:fill="98BDE2"/>
          </w:tcPr>
          <w:p>
            <w:pPr>
              <w:ind w:left="220"/>
              <w:spacing w:after="0"/>
              <w:rPr>
                <w:sz w:val="20"/>
                <w:szCs w:val="20"/>
                <w:color w:val="auto"/>
              </w:rPr>
            </w:pPr>
            <w:r>
              <w:rPr>
                <w:rFonts w:ascii="Arial" w:cs="Arial" w:eastAsia="Arial" w:hAnsi="Arial"/>
                <w:sz w:val="13"/>
                <w:szCs w:val="13"/>
                <w:b w:val="1"/>
                <w:bCs w:val="1"/>
                <w:color w:val="032E5C"/>
              </w:rPr>
              <w:t>CORPORATE GOVERNANCE</w:t>
            </w:r>
          </w:p>
        </w:tc>
        <w:tc>
          <w:tcPr>
            <w:tcW w:w="9040" w:type="dxa"/>
            <w:vAlign w:val="bottom"/>
          </w:tcPr>
          <w:p>
            <w:pPr>
              <w:ind w:left="79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180" w:type="dxa"/>
            <w:vAlign w:val="bottom"/>
            <w:vMerge w:val="continue"/>
            <w:shd w:val="clear" w:color="auto" w:fill="98BDE2"/>
          </w:tcPr>
          <w:p>
            <w:pPr>
              <w:spacing w:after="0"/>
              <w:rPr>
                <w:sz w:val="4"/>
                <w:szCs w:val="4"/>
                <w:color w:val="auto"/>
              </w:rPr>
            </w:pPr>
          </w:p>
        </w:tc>
        <w:tc>
          <w:tcPr>
            <w:tcW w:w="9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180" w:type="dxa"/>
            <w:vAlign w:val="bottom"/>
            <w:shd w:val="clear" w:color="auto" w:fill="98BDE2"/>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29292B"/>
        </w:rPr>
        <w:t>the Board’s challenges and deliberations, proven record of accomplishment with excellent organizations, inquiring mind, willingness to speak one’s mind, ability to challenge and stimulate management, future orientation, willingness to commit time and energy, diversity, and international/global experience.</w:t>
      </w:r>
    </w:p>
    <w:p>
      <w:pPr>
        <w:spacing w:after="0" w:line="7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Stockholders who wish to submit candidates for consideration by the Nominating &amp; Governance Committee for election at an annual or special meeting of stockholders should submit the candidate’s name and qualifications, including the candidate’s consent to serve as a director of the Company if nominated by the Committee and so elected, by mail to: Secretary, Vail Resorts, Inc., 390 Interlocken Crescent, Broomfield, Colorado 80021. The Nominating &amp; Governance Committee applies the same standards in considering candidates submitted by stockholders as it does in evaluating candidates submitted by members of the Board. The Nominating &amp; Governance Committee recommended the nominees for election at this year’s annual meeting.</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Determinations Regarding Independence</w:t>
      </w:r>
    </w:p>
    <w:p>
      <w:pPr>
        <w:spacing w:after="0" w:line="195"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 xml:space="preserve">Under the Company’s Corporate Governance Guidelines, a majority of the Board must be comprised of directors who are independent, as determined based on the independence standards of the New York Stock Exchange's ("NYSE") Listed Company Manual. In accordance with our Corporate Governance Guidelines and the NYSE’s listing standards, the Board has adopted categorical standards of director independence to assist it in making determinations of independence of Board members. These categorical standards of director independence are available in the “Governance” section of the Company’s website under “Governance Documents” at </w:t>
      </w:r>
      <w:r>
        <w:rPr>
          <w:rFonts w:ascii="Arial" w:cs="Arial" w:eastAsia="Arial" w:hAnsi="Arial"/>
          <w:sz w:val="16"/>
          <w:szCs w:val="16"/>
          <w:i w:val="1"/>
          <w:iCs w:val="1"/>
          <w:color w:val="29292B"/>
        </w:rPr>
        <w:t>investors.vailresorts.com</w:t>
      </w:r>
      <w:r>
        <w:rPr>
          <w:rFonts w:ascii="Arial" w:cs="Arial" w:eastAsia="Arial" w:hAnsi="Arial"/>
          <w:sz w:val="16"/>
          <w:szCs w:val="16"/>
          <w:color w:val="29292B"/>
        </w:rPr>
        <w:t>. The Board has affirmatively determined that each of the nominees, other than Mr. Katz and Ms. Lynch, is “independent” under the NYSE’s listing standards and the categorical standards of director independence adopted by the Board.</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Communications with the Board</w:t>
      </w:r>
    </w:p>
    <w:p>
      <w:pPr>
        <w:spacing w:after="0" w:line="209"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29292B"/>
        </w:rPr>
        <w:t xml:space="preserve">The Board has adopted a formal process by which interested parties, including our stockholders, may communicate with the Board, the Lead Director, or the non-management directors as a group. Additional information on communicating with our Board is available in the “Governance” section of the Company’s website at </w:t>
      </w:r>
      <w:r>
        <w:rPr>
          <w:rFonts w:ascii="Arial" w:cs="Arial" w:eastAsia="Arial" w:hAnsi="Arial"/>
          <w:sz w:val="16"/>
          <w:szCs w:val="16"/>
          <w:i w:val="1"/>
          <w:iCs w:val="1"/>
          <w:color w:val="29292B"/>
        </w:rPr>
        <w:t>investors.vailresorts.com</w:t>
      </w:r>
      <w:r>
        <w:rPr>
          <w:rFonts w:ascii="Arial" w:cs="Arial" w:eastAsia="Arial" w:hAnsi="Arial"/>
          <w:sz w:val="16"/>
          <w:szCs w:val="16"/>
          <w:color w:val="29292B"/>
        </w:rPr>
        <w:t>.</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Code of Ethics and Business Conduct</w:t>
      </w:r>
    </w:p>
    <w:p>
      <w:pPr>
        <w:spacing w:after="0" w:line="19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29292B"/>
        </w:rPr>
        <w:t>The Company has adopted a Code of Ethics that applies to all directors, officers, and employees, including its chief executive officer, chief financial officer, chief accounting officer and controller, or persons performing similar functions. We make the Code of Ethics available to directors, officers, and employees, and convey our expectation that every director, officer, and employee read and understand the Code of Ethics and its application to the performance of each such person’s business responsibilities, including, but not limited to:</w:t>
      </w:r>
    </w:p>
    <w:p>
      <w:pPr>
        <w:spacing w:after="0" w:line="83" w:lineRule="exact"/>
        <w:rPr>
          <w:sz w:val="20"/>
          <w:szCs w:val="20"/>
          <w:color w:val="auto"/>
        </w:rPr>
      </w:pPr>
    </w:p>
    <w:p>
      <w:pPr>
        <w:ind w:left="660" w:hanging="328"/>
        <w:spacing w:after="0"/>
        <w:tabs>
          <w:tab w:leader="none" w:pos="660" w:val="left"/>
        </w:tabs>
        <w:numPr>
          <w:ilvl w:val="0"/>
          <w:numId w:val="1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auto"/>
        </w:rPr>
        <w:t>Fostering an ethical culture</w:t>
      </w:r>
      <w:r>
        <w:rPr>
          <w:rFonts w:ascii="Arial" w:cs="Arial" w:eastAsia="Arial" w:hAnsi="Arial"/>
          <w:sz w:val="16"/>
          <w:szCs w:val="16"/>
          <w:color w:val="auto"/>
        </w:rPr>
        <w:t>: speaking up, seeking guidance, and voicing concerns, investigations and discipline, and non-retaliation</w:t>
      </w:r>
    </w:p>
    <w:p>
      <w:pPr>
        <w:spacing w:after="0" w:line="180" w:lineRule="exact"/>
        <w:rPr>
          <w:rFonts w:ascii="Wingdings" w:cs="Wingdings" w:eastAsia="Wingdings" w:hAnsi="Wingdings"/>
          <w:sz w:val="16"/>
          <w:szCs w:val="16"/>
          <w:b w:val="1"/>
          <w:bCs w:val="1"/>
          <w:color w:val="auto"/>
          <w:shd w:val="clear" w:color="auto" w:fill="3E5C7C"/>
        </w:rPr>
      </w:pPr>
    </w:p>
    <w:p>
      <w:pPr>
        <w:ind w:left="660" w:right="560" w:hanging="328"/>
        <w:spacing w:after="0" w:line="339" w:lineRule="auto"/>
        <w:tabs>
          <w:tab w:leader="none" w:pos="657" w:val="left"/>
        </w:tabs>
        <w:numPr>
          <w:ilvl w:val="0"/>
          <w:numId w:val="1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auto"/>
        </w:rPr>
        <w:t>Respect in the workplace and workplace conduct</w:t>
      </w:r>
      <w:r>
        <w:rPr>
          <w:rFonts w:ascii="Arial" w:cs="Arial" w:eastAsia="Arial" w:hAnsi="Arial"/>
          <w:sz w:val="16"/>
          <w:szCs w:val="16"/>
          <w:color w:val="auto"/>
        </w:rPr>
        <w:t>: anti-harassment and discrimination, human rights, diversity equity and inclusion,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and health and safety</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1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Fairness and ethics in business dealings</w:t>
      </w:r>
      <w:r>
        <w:rPr>
          <w:rFonts w:ascii="Arial" w:cs="Arial" w:eastAsia="Arial" w:hAnsi="Arial"/>
          <w:sz w:val="16"/>
          <w:szCs w:val="16"/>
          <w:color w:val="29292B"/>
        </w:rPr>
        <w:t>: anti-bribery and corruption, antitrust and fair competition, conflicts of interest, and insider trading</w:t>
      </w:r>
    </w:p>
    <w:p>
      <w:pPr>
        <w:spacing w:after="0" w:line="180" w:lineRule="exact"/>
        <w:rPr>
          <w:rFonts w:ascii="Wingdings" w:cs="Wingdings" w:eastAsia="Wingdings" w:hAnsi="Wingdings"/>
          <w:sz w:val="16"/>
          <w:szCs w:val="16"/>
          <w:b w:val="1"/>
          <w:bCs w:val="1"/>
          <w:color w:val="auto"/>
          <w:shd w:val="clear" w:color="auto" w:fill="3E5C7C"/>
        </w:rPr>
      </w:pPr>
    </w:p>
    <w:p>
      <w:pPr>
        <w:ind w:left="660" w:right="700" w:hanging="328"/>
        <w:spacing w:after="0" w:line="321" w:lineRule="auto"/>
        <w:tabs>
          <w:tab w:leader="none" w:pos="657" w:val="left"/>
        </w:tabs>
        <w:numPr>
          <w:ilvl w:val="0"/>
          <w:numId w:val="1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Being responsible stewards to our communities and environment</w:t>
      </w:r>
      <w:r>
        <w:rPr>
          <w:rFonts w:ascii="Arial" w:cs="Arial" w:eastAsia="Arial" w:hAnsi="Arial"/>
          <w:sz w:val="16"/>
          <w:szCs w:val="16"/>
          <w:color w:val="29292B"/>
        </w:rPr>
        <w:t>: community impact, environmental leadership, and political activities and</w:t>
      </w:r>
      <w:r>
        <w:rPr>
          <w:rFonts w:ascii="Arial" w:cs="Arial" w:eastAsia="Arial" w:hAnsi="Arial"/>
          <w:sz w:val="16"/>
          <w:szCs w:val="16"/>
          <w:i w:val="1"/>
          <w:iCs w:val="1"/>
          <w:color w:val="29292B"/>
        </w:rPr>
        <w:t xml:space="preserve"> </w:t>
      </w:r>
      <w:r>
        <w:rPr>
          <w:rFonts w:ascii="Arial" w:cs="Arial" w:eastAsia="Arial" w:hAnsi="Arial"/>
          <w:sz w:val="16"/>
          <w:szCs w:val="16"/>
          <w:color w:val="29292B"/>
        </w:rPr>
        <w:t>contributions</w:t>
      </w:r>
    </w:p>
    <w:p>
      <w:pPr>
        <w:spacing w:after="0" w:line="8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29292B"/>
        </w:rPr>
        <w:t>Our Code of Ethics uses principles-based guidance to alert directors, officers, and employees to potential conflicts of interest. Under the Code of Ethics, a conflict of interest occurs when an individual’s personal, social, financial, or political interests conflict with his or her loyalty to the Company. Our policy under the Code of Ethics provides that even the appearance of a conflict of interest where none actually exists can be damaging and should be avoided. If any person believes a conflict of interest is present in a personal activity, financial transaction, or business dealing involving the Company, then that person is instructed under the Code of Ethics to report such belief to an appropriate individual or department as identified in the Code of Ethics.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32</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-143510</wp:posOffset>
            </wp:positionV>
            <wp:extent cx="925830"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20"/>
                <w:szCs w:val="20"/>
                <w:color w:val="auto"/>
              </w:rPr>
            </w:pPr>
            <w:r>
              <w:rPr>
                <w:rFonts w:ascii="Arial" w:cs="Arial" w:eastAsia="Arial" w:hAnsi="Arial"/>
                <w:sz w:val="14"/>
                <w:szCs w:val="14"/>
                <w:color w:val="032E5C"/>
              </w:rPr>
              <w:t>Table of Contents</w:t>
            </w:r>
          </w:p>
        </w:tc>
        <w:tc>
          <w:tcPr>
            <w:tcW w:w="5800" w:type="dxa"/>
            <w:vAlign w:val="bottom"/>
            <w:vMerge w:val="restart"/>
          </w:tcPr>
          <w:p>
            <w:pPr>
              <w:ind w:left="4060"/>
              <w:spacing w:after="0"/>
              <w:rPr>
                <w:sz w:val="20"/>
                <w:szCs w:val="20"/>
                <w:color w:val="auto"/>
              </w:rPr>
            </w:pPr>
            <w:r>
              <w:rPr>
                <w:rFonts w:ascii="Arial" w:cs="Arial" w:eastAsia="Arial" w:hAnsi="Arial"/>
                <w:sz w:val="13"/>
                <w:szCs w:val="13"/>
                <w:b w:val="1"/>
                <w:bCs w:val="1"/>
                <w:color w:val="032E5C"/>
                <w:w w:val="95"/>
              </w:rPr>
              <w:t>CORPORATE GOVERNANCE</w:t>
            </w: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5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5951855</wp:posOffset>
            </wp:positionH>
            <wp:positionV relativeFrom="page">
              <wp:posOffset>106045</wp:posOffset>
            </wp:positionV>
            <wp:extent cx="1388745" cy="240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8874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29292B"/>
        </w:rPr>
        <w:t>We require our full-time, year-round employees, as well as certain seasonal employees, to complete a Code of Conduct training on an annual basis. This annual requirement includes training on various topics, such as financial integrity, information security, ethical leadership and anti-harassment. In fiscal 2024, the training was completed by 98% of this employee base.</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29292B"/>
        </w:rPr>
        <w:t xml:space="preserve">The Code of Ethics is available in the “Governance” section of the Company’s website under “Governance Documents” at </w:t>
      </w:r>
      <w:r>
        <w:rPr>
          <w:rFonts w:ascii="Arial" w:cs="Arial" w:eastAsia="Arial" w:hAnsi="Arial"/>
          <w:sz w:val="16"/>
          <w:szCs w:val="16"/>
          <w:i w:val="1"/>
          <w:iCs w:val="1"/>
          <w:color w:val="29292B"/>
        </w:rPr>
        <w:t>investors.vailresorts.com</w:t>
      </w:r>
      <w:r>
        <w:rPr>
          <w:rFonts w:ascii="Arial" w:cs="Arial" w:eastAsia="Arial" w:hAnsi="Arial"/>
          <w:sz w:val="16"/>
          <w:szCs w:val="16"/>
          <w:color w:val="29292B"/>
        </w:rPr>
        <w:t>. In the event the Company amends or waives any of the provisions of the Code of Ethics applicable to our chief executive officer, chief financial officer, or chief accounting officer and controller that relates to any element of the definition of “code of ethics” enumerated in Item 406(b) of Regulation S-K under the Securities Exchange Act of 1934, as amended, (the “Exchange Act”), the Company intends to disclose these actions on its website.</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Risk Management</w:t>
      </w:r>
    </w:p>
    <w:p>
      <w:pPr>
        <w:spacing w:after="0" w:line="195"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29292B"/>
        </w:rPr>
        <w:t>The Board believes that oversight of the Company’s overall risk management program is the responsibility of the entire Board and views risk management as an important part of the Company’s overall strategic planning process. The Board has delegated the regular oversight of the elements of the risk management program to the Audit Committee, and the Board receives periodic updates on individual areas of risk from the Audit Committee or members of senior management, as appropriate. The Board also periodically schedules a risk management agenda item for regular Board meetings, during which the Audit Committee or members of senior management report to and inform the Board of its risk management oversight activities. Senior management reports directly to the Audit Committee at each scheduled Audit Committee meeting and additionally as needed on the status of the Company’s risk management program. Specifically, cybersecurity has been identified as a critical part of risk management at the Company. The Company has a dedicated team that is responsible for leading enterprise-wide information security strategy, policy, standards, architecture, and processes. Cybersecurity oversight consists of the Audit Committee receiving at least quarterly updates from the Chief Information Officer regarding major cyber risk areas and recommended actions to address those risks. Information regarding the Company's cybersecurity risk management, strategy, and governance is available in our Annual Report on Form 10-K filed on September 26, 2024.</w:t>
      </w:r>
    </w:p>
    <w:p>
      <w:pPr>
        <w:spacing w:after="0" w:line="111"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29292B"/>
        </w:rPr>
        <w:t>The Audit Committee has established an internal audit function to provide management and the Board with ongoing assessments of the Company’s risk management processes and systems of internal control. In addition, as part of its responsibilities, the Audit Committee inquires of management and our independent auditors about the Company’s processes for identifying and assessing such risks and exposures and the steps management has taken to minimize such risks and exposures to the Company. The Audit Committee also reviews the Company’s guidelines and policies that govern the processes for identifying and assessing significant risks or exposures and for formulating and implementing steps to minimize such risks and exposures to the Company.</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Compensation Risk Assessment</w:t>
      </w:r>
    </w:p>
    <w:p>
      <w:pPr>
        <w:spacing w:after="0" w:line="195"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29292B"/>
        </w:rPr>
        <w:t>The Compensation Committee, with the assistance of our independent compensation consultant, reviewed the material compensation policies and practices for all employees, including executive officers. The Compensation Committee considered whether the compensation program encouraged excessive risk taking by employees at the expense of long-term Company value. Based upon its assessment, the Compensation Committee believes that the Company’s compensation program, which includes a mix of annual and long-term incentives, cash and equity awards, and retention incentives, does not present risks that are reasonably likely to have a material adverse effect on the Company.</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Committees of the Board</w:t>
      </w:r>
    </w:p>
    <w:p>
      <w:pPr>
        <w:spacing w:after="0" w:line="20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29292B"/>
        </w:rPr>
        <w:t xml:space="preserve">The Board has a standing Audit Committee, Compensation Committee, Executive Committee, and Nominating &amp; Governance Committee. The charters for each of these committees, which have been approved by the Board, are available in the “Governance” section of the Company’s website under “Committee Charters” at </w:t>
      </w:r>
      <w:r>
        <w:rPr>
          <w:rFonts w:ascii="Arial" w:cs="Arial" w:eastAsia="Arial" w:hAnsi="Arial"/>
          <w:sz w:val="16"/>
          <w:szCs w:val="16"/>
          <w:i w:val="1"/>
          <w:iCs w:val="1"/>
          <w:color w:val="29292B"/>
        </w:rPr>
        <w:t>investors.vailresorts.com</w:t>
      </w:r>
      <w:r>
        <w:rPr>
          <w:rFonts w:ascii="Arial" w:cs="Arial" w:eastAsia="Arial" w:hAnsi="Arial"/>
          <w:sz w:val="16"/>
          <w:szCs w:val="16"/>
          <w:color w:val="29292B"/>
        </w:rPr>
        <w:t>. Following is a description of each committee of the Board. Each of the committees has authority to engage legal counsel or other experts or consultants, as it deems appropriate to carry out its responsibilities.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33</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0"/>
        </w:trPr>
        <w:tc>
          <w:tcPr>
            <w:tcW w:w="2180" w:type="dxa"/>
            <w:vAlign w:val="bottom"/>
            <w:vMerge w:val="restart"/>
            <w:shd w:val="clear" w:color="auto" w:fill="98BDE2"/>
          </w:tcPr>
          <w:p>
            <w:pPr>
              <w:ind w:left="220"/>
              <w:spacing w:after="0"/>
              <w:rPr>
                <w:sz w:val="20"/>
                <w:szCs w:val="20"/>
                <w:color w:val="auto"/>
              </w:rPr>
            </w:pPr>
            <w:r>
              <w:rPr>
                <w:rFonts w:ascii="Arial" w:cs="Arial" w:eastAsia="Arial" w:hAnsi="Arial"/>
                <w:sz w:val="13"/>
                <w:szCs w:val="13"/>
                <w:b w:val="1"/>
                <w:bCs w:val="1"/>
                <w:color w:val="032E5C"/>
              </w:rPr>
              <w:t>CORPORATE GOVERNANCE</w:t>
            </w:r>
          </w:p>
        </w:tc>
        <w:tc>
          <w:tcPr>
            <w:tcW w:w="9040" w:type="dxa"/>
            <w:vAlign w:val="bottom"/>
          </w:tcPr>
          <w:p>
            <w:pPr>
              <w:ind w:left="79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180" w:type="dxa"/>
            <w:vAlign w:val="bottom"/>
            <w:vMerge w:val="continue"/>
            <w:shd w:val="clear" w:color="auto" w:fill="98BDE2"/>
          </w:tcPr>
          <w:p>
            <w:pPr>
              <w:spacing w:after="0"/>
              <w:rPr>
                <w:sz w:val="4"/>
                <w:szCs w:val="4"/>
                <w:color w:val="auto"/>
              </w:rPr>
            </w:pPr>
          </w:p>
        </w:tc>
        <w:tc>
          <w:tcPr>
            <w:tcW w:w="9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180" w:type="dxa"/>
            <w:vAlign w:val="bottom"/>
            <w:shd w:val="clear" w:color="auto" w:fill="98BDE2"/>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The Audit Committee</w:t>
      </w:r>
    </w:p>
    <w:p>
      <w:pPr>
        <w:spacing w:after="0" w:line="139" w:lineRule="exact"/>
        <w:rPr>
          <w:sz w:val="20"/>
          <w:szCs w:val="20"/>
          <w:color w:val="auto"/>
        </w:rPr>
      </w:pPr>
    </w:p>
    <w:p>
      <w:pPr>
        <w:jc w:val="both"/>
        <w:ind w:right="80"/>
        <w:spacing w:after="0" w:line="321" w:lineRule="auto"/>
        <w:rPr>
          <w:sz w:val="20"/>
          <w:szCs w:val="20"/>
          <w:color w:val="auto"/>
        </w:rPr>
      </w:pPr>
      <w:r>
        <w:rPr>
          <w:rFonts w:ascii="Arial" w:cs="Arial" w:eastAsia="Arial" w:hAnsi="Arial"/>
          <w:sz w:val="16"/>
          <w:szCs w:val="16"/>
          <w:color w:val="29292B"/>
        </w:rPr>
        <w:t>The Audit Committee is primarily concerned with the effectiveness of the Company’s independent registered public accounting firm, accounting policies and practices, financial reporting, and internal controls. The Audit Committee acts pursuant to its charter, and is authorized and directed, among other things, to:</w:t>
      </w:r>
    </w:p>
    <w:p>
      <w:pPr>
        <w:spacing w:after="0" w:line="88" w:lineRule="exact"/>
        <w:rPr>
          <w:sz w:val="20"/>
          <w:szCs w:val="20"/>
          <w:color w:val="auto"/>
        </w:rPr>
      </w:pPr>
    </w:p>
    <w:p>
      <w:pPr>
        <w:ind w:left="660" w:hanging="328"/>
        <w:spacing w:after="0"/>
        <w:tabs>
          <w:tab w:leader="none" w:pos="660"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appoint, retain, compensate, evaluate, and terminate, as appropriate, the Company’s independent registered public accounting firm;</w:t>
      </w:r>
    </w:p>
    <w:p>
      <w:pPr>
        <w:spacing w:after="0" w:line="180" w:lineRule="exact"/>
        <w:rPr>
          <w:rFonts w:ascii="Wingdings" w:cs="Wingdings" w:eastAsia="Wingdings" w:hAnsi="Wingdings"/>
          <w:sz w:val="16"/>
          <w:szCs w:val="16"/>
          <w:b w:val="1"/>
          <w:bCs w:val="1"/>
          <w:color w:val="auto"/>
          <w:shd w:val="clear" w:color="auto" w:fill="3E5C7C"/>
        </w:rPr>
      </w:pPr>
    </w:p>
    <w:p>
      <w:pPr>
        <w:ind w:left="660" w:right="360" w:hanging="328"/>
        <w:spacing w:after="0" w:line="339" w:lineRule="auto"/>
        <w:tabs>
          <w:tab w:leader="none" w:pos="65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approve all audit engagement fees and terms, as well as all permissible non-audit service engagements with the independent registered public accounting firm;</w:t>
      </w:r>
    </w:p>
    <w:p>
      <w:pPr>
        <w:spacing w:after="0" w:line="74" w:lineRule="exact"/>
        <w:rPr>
          <w:rFonts w:ascii="Wingdings" w:cs="Wingdings" w:eastAsia="Wingdings" w:hAnsi="Wingdings"/>
          <w:sz w:val="16"/>
          <w:szCs w:val="16"/>
          <w:b w:val="1"/>
          <w:bCs w:val="1"/>
          <w:color w:val="auto"/>
          <w:shd w:val="clear" w:color="auto" w:fill="3E5C7C"/>
        </w:rPr>
      </w:pPr>
    </w:p>
    <w:p>
      <w:pPr>
        <w:ind w:left="660" w:right="280" w:hanging="328"/>
        <w:spacing w:after="0" w:line="310" w:lineRule="auto"/>
        <w:tabs>
          <w:tab w:leader="none" w:pos="65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discuss with management and the independent registered public accounting firm and meet to review the Company’s annual audited financial statements and quarterly financial statements, including reviewing the Company’s disclosures under “Management’s Discussion and Analysis of Financial Condition and Results of Operations” in the Company’s annual and quarterly reports filed with the SEC;</w:t>
      </w:r>
    </w:p>
    <w:p>
      <w:pPr>
        <w:spacing w:after="0" w:line="9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the internal audit plan and evaluate the performance, responsibilities, and staffing of the Company’s internal audit function at least annually;</w:t>
      </w:r>
    </w:p>
    <w:p>
      <w:pPr>
        <w:spacing w:after="0" w:line="180" w:lineRule="exact"/>
        <w:rPr>
          <w:rFonts w:ascii="Wingdings" w:cs="Wingdings" w:eastAsia="Wingdings" w:hAnsi="Wingdings"/>
          <w:sz w:val="16"/>
          <w:szCs w:val="16"/>
          <w:b w:val="1"/>
          <w:bCs w:val="1"/>
          <w:color w:val="auto"/>
          <w:shd w:val="clear" w:color="auto" w:fill="3E5C7C"/>
        </w:rPr>
      </w:pPr>
    </w:p>
    <w:p>
      <w:pPr>
        <w:ind w:left="660" w:right="620" w:hanging="328"/>
        <w:spacing w:after="0" w:line="339" w:lineRule="auto"/>
        <w:tabs>
          <w:tab w:leader="none" w:pos="65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receive and review periodic presentations from the internal audit senior executive regarding the results of completed internal audits and the identification and remediation of weaknesses in the Company’s internal control environment;</w:t>
      </w:r>
    </w:p>
    <w:p>
      <w:pPr>
        <w:spacing w:after="0" w:line="60" w:lineRule="exact"/>
        <w:rPr>
          <w:rFonts w:ascii="Wingdings" w:cs="Wingdings" w:eastAsia="Wingdings" w:hAnsi="Wingdings"/>
          <w:sz w:val="16"/>
          <w:szCs w:val="16"/>
          <w:b w:val="1"/>
          <w:bCs w:val="1"/>
          <w:color w:val="auto"/>
          <w:shd w:val="clear" w:color="auto" w:fill="3E5C7C"/>
        </w:rPr>
      </w:pPr>
    </w:p>
    <w:p>
      <w:pPr>
        <w:ind w:left="660" w:right="140" w:hanging="328"/>
        <w:spacing w:after="0" w:line="339" w:lineRule="auto"/>
        <w:tabs>
          <w:tab w:leader="none" w:pos="65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reports by the independent registered public accounting firm describing its internal quality control procedures and all relationships between the Company, or individuals in financial reporting oversight roles at the Company, and the independent registered public accounting firm;</w:t>
      </w:r>
    </w:p>
    <w:p>
      <w:pPr>
        <w:spacing w:after="0" w:line="74" w:lineRule="exact"/>
        <w:rPr>
          <w:rFonts w:ascii="Wingdings" w:cs="Wingdings" w:eastAsia="Wingdings" w:hAnsi="Wingdings"/>
          <w:sz w:val="16"/>
          <w:szCs w:val="16"/>
          <w:b w:val="1"/>
          <w:bCs w:val="1"/>
          <w:color w:val="auto"/>
          <w:shd w:val="clear" w:color="auto" w:fill="3E5C7C"/>
        </w:rPr>
      </w:pPr>
    </w:p>
    <w:p>
      <w:pPr>
        <w:jc w:val="both"/>
        <w:ind w:left="660" w:right="120" w:hanging="328"/>
        <w:spacing w:after="0" w:line="319" w:lineRule="auto"/>
        <w:tabs>
          <w:tab w:leader="none" w:pos="65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w:t>
      </w:r>
    </w:p>
    <w:p>
      <w:pPr>
        <w:spacing w:after="0" w:line="76"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monitor the rotation of partners of the independent auditors on the Company’s audit engagement team as required by law;</w:t>
      </w:r>
    </w:p>
    <w:p>
      <w:pPr>
        <w:spacing w:after="0" w:line="180" w:lineRule="exact"/>
        <w:rPr>
          <w:rFonts w:ascii="Wingdings" w:cs="Wingdings" w:eastAsia="Wingdings" w:hAnsi="Wingdings"/>
          <w:sz w:val="16"/>
          <w:szCs w:val="16"/>
          <w:b w:val="1"/>
          <w:bCs w:val="1"/>
          <w:color w:val="auto"/>
          <w:shd w:val="clear" w:color="auto" w:fill="3E5C7C"/>
        </w:rPr>
      </w:pPr>
    </w:p>
    <w:p>
      <w:pPr>
        <w:ind w:left="660" w:right="620" w:hanging="328"/>
        <w:spacing w:after="0" w:line="339" w:lineRule="auto"/>
        <w:tabs>
          <w:tab w:leader="none" w:pos="65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approve or reject transactions between the Company and any related persons in accordance with the Company’s Related Party Transactions Policy;</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confer with management and the independent auditors regarding the effectiveness of internal control over financial reporting;</w:t>
      </w:r>
    </w:p>
    <w:p>
      <w:pPr>
        <w:spacing w:after="0" w:line="167" w:lineRule="exact"/>
        <w:rPr>
          <w:rFonts w:ascii="Wingdings" w:cs="Wingdings" w:eastAsia="Wingdings" w:hAnsi="Wingdings"/>
          <w:sz w:val="16"/>
          <w:szCs w:val="16"/>
          <w:b w:val="1"/>
          <w:bCs w:val="1"/>
          <w:color w:val="auto"/>
          <w:shd w:val="clear" w:color="auto" w:fill="3E5C7C"/>
        </w:rPr>
      </w:pPr>
    </w:p>
    <w:p>
      <w:pPr>
        <w:ind w:left="660" w:right="120" w:hanging="328"/>
        <w:spacing w:after="0" w:line="339" w:lineRule="auto"/>
        <w:tabs>
          <w:tab w:leader="none" w:pos="65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oversee management’s efforts to monitor compliance with the Company’s programs and policies designed to ensure adherence to applicable laws and regulations and the Company’s Code of Ethics;</w:t>
      </w:r>
    </w:p>
    <w:p>
      <w:pPr>
        <w:spacing w:after="0" w:line="74" w:lineRule="exact"/>
        <w:rPr>
          <w:rFonts w:ascii="Wingdings" w:cs="Wingdings" w:eastAsia="Wingdings" w:hAnsi="Wingdings"/>
          <w:sz w:val="16"/>
          <w:szCs w:val="16"/>
          <w:b w:val="1"/>
          <w:bCs w:val="1"/>
          <w:color w:val="auto"/>
          <w:shd w:val="clear" w:color="auto" w:fill="3E5C7C"/>
        </w:rPr>
      </w:pPr>
    </w:p>
    <w:p>
      <w:pPr>
        <w:ind w:left="660" w:right="100" w:hanging="328"/>
        <w:spacing w:after="0" w:line="319" w:lineRule="auto"/>
        <w:tabs>
          <w:tab w:leader="none" w:pos="65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oversee risk management with respect to cybersecurity, including receiving and reviewing quarterly updates from the Company’s Chief Information Officer regarding major cyber risk areas and recommended actions to address such risks, as well as reviewing any other internal reports from management with respect to information technology and cybersecurity issues;</w:t>
      </w:r>
    </w:p>
    <w:p>
      <w:pPr>
        <w:spacing w:after="0" w:line="76"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annually prepare a report as required by the SEC to be included in the Company’s annual proxy statement; and</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discuss policies with respect to risk assessment and risk management.</w:t>
      </w:r>
    </w:p>
    <w:p>
      <w:pPr>
        <w:spacing w:after="0" w:line="18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29292B"/>
        </w:rPr>
        <w:t>The members of the Audit Committee are Mr. Sorte, Chair, and Messrs. Chambers, Redmond, Sewell, and Vaughn. The Board has determined that each of Messrs. Chambers, Redmond, Sorte, and Sewell qualify as an “audit committee financial expert” as defined in the SEC’s rules and regulations adopted pursuant to the Exchange Act, and that all of the members of the Audit Committee are “independent” as defined by the NYSE’s listing standards and the rules of the SEC applicable to audit committee members. The Audit Committee held four meetings during fiscal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34</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39" w:name="page40"/>
    <w:bookmarkEnd w:id="39"/>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20"/>
                <w:szCs w:val="20"/>
                <w:color w:val="auto"/>
              </w:rPr>
            </w:pPr>
            <w:r>
              <w:rPr>
                <w:rFonts w:ascii="Arial" w:cs="Arial" w:eastAsia="Arial" w:hAnsi="Arial"/>
                <w:sz w:val="14"/>
                <w:szCs w:val="14"/>
                <w:color w:val="032E5C"/>
              </w:rPr>
              <w:t>Table of Contents</w:t>
            </w:r>
          </w:p>
        </w:tc>
        <w:tc>
          <w:tcPr>
            <w:tcW w:w="5800" w:type="dxa"/>
            <w:vAlign w:val="bottom"/>
            <w:vMerge w:val="restart"/>
          </w:tcPr>
          <w:p>
            <w:pPr>
              <w:ind w:left="4060"/>
              <w:spacing w:after="0"/>
              <w:rPr>
                <w:sz w:val="20"/>
                <w:szCs w:val="20"/>
                <w:color w:val="auto"/>
              </w:rPr>
            </w:pPr>
            <w:r>
              <w:rPr>
                <w:rFonts w:ascii="Arial" w:cs="Arial" w:eastAsia="Arial" w:hAnsi="Arial"/>
                <w:sz w:val="13"/>
                <w:szCs w:val="13"/>
                <w:b w:val="1"/>
                <w:bCs w:val="1"/>
                <w:color w:val="032E5C"/>
                <w:w w:val="95"/>
              </w:rPr>
              <w:t>CORPORATE GOVERNANCE</w:t>
            </w: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5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5951855</wp:posOffset>
            </wp:positionH>
            <wp:positionV relativeFrom="page">
              <wp:posOffset>106045</wp:posOffset>
            </wp:positionV>
            <wp:extent cx="1388745" cy="240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88745" cy="2400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AUDIT COMMITTEE REPORT</w:t>
      </w:r>
    </w:p>
    <w:p>
      <w:pPr>
        <w:spacing w:after="0" w:line="132"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29292B"/>
        </w:rPr>
        <w:t>Management is responsible for the Company’s accounting practices, internal control over financial reporting, the financial reporting process, and preparation of the consolidated financial statements. The Company’s independent registered public accounting firm is responsible for performing an independent audit of the Company’s consolidated financial statements in accordance with the standards of the Public Company Accounting Oversight Board, or the PCAOB. The Audit Committee’s responsibility is to monitor and oversee these processes.</w:t>
      </w:r>
    </w:p>
    <w:p>
      <w:pPr>
        <w:spacing w:after="0" w:line="8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29292B"/>
        </w:rPr>
        <w:t>In this context, the Audit Committee has met and held discussions with management and the Company’s independent registered public accounting firm. Management represented to the Audit Committee that the Company’s consolidated financial statements for the fiscal year ended July 31, 2024 were prepared in accordance with generally accepted accounting principles. The Audit Committee reviewed and discussed the consolidated financial statements with management and the Company’s independent registered public accounting firm, including a discussion of the quality of the accounting principles, the reasonableness of significant judgments, the clarity of disclosures in the financial statements, and management’s assessment of the effectiveness of the Company’s internal control over financial reporting. The Audit Committee further discussed with the Company’s independent registered public accounting firm the matters required to be discussed under the rules adopted by the PCAOB, as well as the Company’s independent registered public accounting firm’s opinion on the effectiveness of the Company’s internal control over financial reporting.</w:t>
      </w:r>
    </w:p>
    <w:p>
      <w:pPr>
        <w:spacing w:after="0" w:line="105" w:lineRule="exact"/>
        <w:rPr>
          <w:sz w:val="20"/>
          <w:szCs w:val="20"/>
          <w:color w:val="auto"/>
        </w:rPr>
      </w:pPr>
    </w:p>
    <w:p>
      <w:pPr>
        <w:ind w:right="60"/>
        <w:spacing w:after="0" w:line="228" w:lineRule="exact"/>
        <w:rPr>
          <w:sz w:val="20"/>
          <w:szCs w:val="20"/>
          <w:color w:val="auto"/>
        </w:rPr>
      </w:pPr>
      <w:r>
        <w:rPr>
          <w:rFonts w:ascii="Arial" w:cs="Arial" w:eastAsia="Arial" w:hAnsi="Arial"/>
          <w:sz w:val="16"/>
          <w:szCs w:val="16"/>
          <w:color w:val="29292B"/>
        </w:rPr>
        <w:t>The Company’s independent registered public accounting firm also provided to the Audit Committee the written disclosures and letter required by applicable requirements of the PCAOB regarding the independent accountants’ communications with the Audit Committee concerning independence, and the Audit Committee discussed with the Company’s independent registered public accounting firm, and were satisfied with, that firm’s independence from the Company and its management. The Audit Committee has also considered whether the Company’s independent registered public accounting firm’s provision of non</w:t>
      </w:r>
      <w:r>
        <w:rPr>
          <w:rFonts w:ascii="MS PGothic" w:cs="MS PGothic" w:eastAsia="MS PGothic" w:hAnsi="MS PGothic"/>
          <w:sz w:val="16"/>
          <w:szCs w:val="16"/>
          <w:color w:val="29292B"/>
        </w:rPr>
        <w:t>‑</w:t>
      </w:r>
      <w:r>
        <w:rPr>
          <w:rFonts w:ascii="Arial" w:cs="Arial" w:eastAsia="Arial" w:hAnsi="Arial"/>
          <w:sz w:val="16"/>
          <w:szCs w:val="16"/>
          <w:color w:val="29292B"/>
        </w:rPr>
        <w:t>audit services to the Company is compatible with the auditors’ independence.</w:t>
      </w:r>
    </w:p>
    <w:p>
      <w:pPr>
        <w:spacing w:after="0" w:line="131"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29292B"/>
        </w:rPr>
        <w:t>The Audit Committee discussed with the Company’s internal auditor and independent registered public accounting firm the overall scope and plans for their respective audits. The Audit Committee meets with the Company’s independent registered public accounting firm, with and without management present, to discuss the results of their examination, their evaluation of the Company’s internal control over financial reporting, and the overall quality of the Company’s financial reporting. In addition, the Audit Committee meets with the internal auditor, with and without management present, to discuss the results of their examination and evaluation of the Company’s internal control over financial reporting. The Audit Committee has also reviewed and discussed Company policies with respect to risk assessment and risk management.</w:t>
      </w:r>
    </w:p>
    <w:p>
      <w:pPr>
        <w:spacing w:after="0" w:line="91" w:lineRule="exact"/>
        <w:rPr>
          <w:sz w:val="20"/>
          <w:szCs w:val="20"/>
          <w:color w:val="auto"/>
        </w:rPr>
      </w:pPr>
    </w:p>
    <w:p>
      <w:pPr>
        <w:ind w:right="160"/>
        <w:spacing w:after="0" w:line="232" w:lineRule="exact"/>
        <w:rPr>
          <w:sz w:val="20"/>
          <w:szCs w:val="20"/>
          <w:color w:val="auto"/>
        </w:rPr>
      </w:pPr>
      <w:r>
        <w:rPr>
          <w:rFonts w:ascii="Arial" w:cs="Arial" w:eastAsia="Arial" w:hAnsi="Arial"/>
          <w:sz w:val="16"/>
          <w:szCs w:val="16"/>
          <w:color w:val="29292B"/>
        </w:rPr>
        <w:t>Based upon the Audit Committee’s discussion with management and the Company’s independent registered public accounting firm referred to above, the Audit Committee recommended to the Board that the Company’s audited financial statements as of and for the fiscal year ended July 31, 2024 be included in the Company’s Annual Report on Form 10</w:t>
      </w:r>
      <w:r>
        <w:rPr>
          <w:rFonts w:ascii="MS PGothic" w:cs="MS PGothic" w:eastAsia="MS PGothic" w:hAnsi="MS PGothic"/>
          <w:sz w:val="16"/>
          <w:szCs w:val="16"/>
          <w:color w:val="29292B"/>
        </w:rPr>
        <w:t>‑</w:t>
      </w:r>
      <w:r>
        <w:rPr>
          <w:rFonts w:ascii="Arial" w:cs="Arial" w:eastAsia="Arial" w:hAnsi="Arial"/>
          <w:sz w:val="16"/>
          <w:szCs w:val="16"/>
          <w:color w:val="29292B"/>
        </w:rPr>
        <w:t>K for the fiscal year ended July 31, 2024 for filing with the SEC.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29292B"/>
        </w:rPr>
        <w:t>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29292B"/>
        </w:rPr>
        <w:t>John F. Sorte, Chair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9292B"/>
        </w:rPr>
        <w:t>Reginald Chambers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John Redmond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D. Bruce Sewell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Peter A. Vaughn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The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The Compensation Committee acts pursuant to its charter and is authorized and directed, among other things, to:</w:t>
      </w:r>
    </w:p>
    <w:p>
      <w:pPr>
        <w:spacing w:after="0" w:line="181" w:lineRule="exact"/>
        <w:rPr>
          <w:sz w:val="20"/>
          <w:szCs w:val="20"/>
          <w:color w:val="auto"/>
        </w:rPr>
      </w:pPr>
    </w:p>
    <w:p>
      <w:pPr>
        <w:ind w:left="660" w:right="80" w:hanging="328"/>
        <w:spacing w:after="0" w:line="306" w:lineRule="auto"/>
        <w:tabs>
          <w:tab w:leader="none" w:pos="657" w:val="left"/>
        </w:tabs>
        <w:numPr>
          <w:ilvl w:val="0"/>
          <w:numId w:val="2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approve corporate goals and objectives relevant to the Chief Executive Officer’s compensation, evaluate the Chief Executive Officer’s performance in light of those goals and objectives (including the Chief Executive Officer’s performance in fostering a culture of ethics and integrity), and, either as a committee or together with the other independent directors (as directed by the Board), determine and approve the Chief Executive Officer’s compensation level based on this evaluation;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35</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0"/>
        </w:trPr>
        <w:tc>
          <w:tcPr>
            <w:tcW w:w="2180" w:type="dxa"/>
            <w:vAlign w:val="bottom"/>
            <w:vMerge w:val="restart"/>
            <w:shd w:val="clear" w:color="auto" w:fill="98BDE2"/>
          </w:tcPr>
          <w:p>
            <w:pPr>
              <w:ind w:left="220"/>
              <w:spacing w:after="0"/>
              <w:rPr>
                <w:sz w:val="20"/>
                <w:szCs w:val="20"/>
                <w:color w:val="auto"/>
              </w:rPr>
            </w:pPr>
            <w:r>
              <w:rPr>
                <w:rFonts w:ascii="Arial" w:cs="Arial" w:eastAsia="Arial" w:hAnsi="Arial"/>
                <w:sz w:val="13"/>
                <w:szCs w:val="13"/>
                <w:b w:val="1"/>
                <w:bCs w:val="1"/>
                <w:color w:val="032E5C"/>
              </w:rPr>
              <w:t>CORPORATE GOVERNANCE</w:t>
            </w:r>
          </w:p>
        </w:tc>
        <w:tc>
          <w:tcPr>
            <w:tcW w:w="9040" w:type="dxa"/>
            <w:vAlign w:val="bottom"/>
          </w:tcPr>
          <w:p>
            <w:pPr>
              <w:ind w:left="79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180" w:type="dxa"/>
            <w:vAlign w:val="bottom"/>
            <w:vMerge w:val="continue"/>
            <w:shd w:val="clear" w:color="auto" w:fill="98BDE2"/>
          </w:tcPr>
          <w:p>
            <w:pPr>
              <w:spacing w:after="0"/>
              <w:rPr>
                <w:sz w:val="4"/>
                <w:szCs w:val="4"/>
                <w:color w:val="auto"/>
              </w:rPr>
            </w:pPr>
          </w:p>
        </w:tc>
        <w:tc>
          <w:tcPr>
            <w:tcW w:w="9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180" w:type="dxa"/>
            <w:vAlign w:val="bottom"/>
            <w:shd w:val="clear" w:color="auto" w:fill="98BDE2"/>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420" w:hanging="328"/>
        <w:spacing w:after="0" w:line="319" w:lineRule="auto"/>
        <w:tabs>
          <w:tab w:leader="none" w:pos="657" w:val="left"/>
        </w:tabs>
        <w:numPr>
          <w:ilvl w:val="0"/>
          <w:numId w:val="2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the performance of, make recommendations (where appropriate) with respect to, and approve the total compensation for the executive officers of the Company other than the CEO, including any proposed severance arrangements or change in control and similar agreements/provisions, and any amendments, supplements, or waivers to the foregoing agreements;</w:t>
      </w:r>
    </w:p>
    <w:p>
      <w:pPr>
        <w:spacing w:after="0" w:line="89" w:lineRule="exact"/>
        <w:rPr>
          <w:rFonts w:ascii="Wingdings" w:cs="Wingdings" w:eastAsia="Wingdings" w:hAnsi="Wingdings"/>
          <w:sz w:val="16"/>
          <w:szCs w:val="16"/>
          <w:b w:val="1"/>
          <w:bCs w:val="1"/>
          <w:color w:val="auto"/>
          <w:shd w:val="clear" w:color="auto" w:fill="3E5C7C"/>
        </w:rPr>
      </w:pPr>
    </w:p>
    <w:p>
      <w:pPr>
        <w:ind w:left="660" w:right="220" w:hanging="328"/>
        <w:spacing w:after="0" w:line="310" w:lineRule="auto"/>
        <w:tabs>
          <w:tab w:leader="none" w:pos="657" w:val="left"/>
        </w:tabs>
        <w:numPr>
          <w:ilvl w:val="0"/>
          <w:numId w:val="2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oversee the Company’s overall compensation structure, policies, and programs for executive officers and employees, including assessing the incentives and risks arising from or related to the Company’s compensation programs and plans, and assessing whether the incentives and risks are appropriate;</w:t>
      </w:r>
    </w:p>
    <w:p>
      <w:pPr>
        <w:spacing w:after="0" w:line="97" w:lineRule="exact"/>
        <w:rPr>
          <w:rFonts w:ascii="Wingdings" w:cs="Wingdings" w:eastAsia="Wingdings" w:hAnsi="Wingdings"/>
          <w:sz w:val="16"/>
          <w:szCs w:val="16"/>
          <w:b w:val="1"/>
          <w:bCs w:val="1"/>
          <w:color w:val="auto"/>
          <w:shd w:val="clear" w:color="auto" w:fill="3E5C7C"/>
        </w:rPr>
      </w:pPr>
    </w:p>
    <w:p>
      <w:pPr>
        <w:ind w:left="660" w:right="360" w:hanging="328"/>
        <w:spacing w:after="0" w:line="339" w:lineRule="auto"/>
        <w:tabs>
          <w:tab w:leader="none" w:pos="657" w:val="left"/>
        </w:tabs>
        <w:numPr>
          <w:ilvl w:val="0"/>
          <w:numId w:val="2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approve the Company’s incentive compensation and equity-based plans and approve changes to such plans, in each case subject, where appropriate, to stockholder or Board approval, and review and approve issuances of equity securities to employees of the Company;</w:t>
      </w:r>
    </w:p>
    <w:p>
      <w:pPr>
        <w:spacing w:after="0" w:line="74" w:lineRule="exact"/>
        <w:rPr>
          <w:rFonts w:ascii="Wingdings" w:cs="Wingdings" w:eastAsia="Wingdings" w:hAnsi="Wingdings"/>
          <w:sz w:val="16"/>
          <w:szCs w:val="16"/>
          <w:b w:val="1"/>
          <w:bCs w:val="1"/>
          <w:color w:val="auto"/>
          <w:shd w:val="clear" w:color="auto" w:fill="3E5C7C"/>
        </w:rPr>
      </w:pPr>
    </w:p>
    <w:p>
      <w:pPr>
        <w:ind w:left="660" w:right="220" w:hanging="328"/>
        <w:spacing w:after="0" w:line="310" w:lineRule="auto"/>
        <w:tabs>
          <w:tab w:leader="none" w:pos="657" w:val="left"/>
        </w:tabs>
        <w:numPr>
          <w:ilvl w:val="0"/>
          <w:numId w:val="2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recommend to the Board annual retainer and meeting fees for non-employee members of the Board and committees of the Board, fix the terms and awards of stock compensation for such members of the Board, and determine the terms, if any, upon which such fees may be deferred;</w:t>
      </w:r>
    </w:p>
    <w:p>
      <w:pPr>
        <w:spacing w:after="0" w:line="97" w:lineRule="exact"/>
        <w:rPr>
          <w:rFonts w:ascii="Wingdings" w:cs="Wingdings" w:eastAsia="Wingdings" w:hAnsi="Wingdings"/>
          <w:sz w:val="16"/>
          <w:szCs w:val="16"/>
          <w:b w:val="1"/>
          <w:bCs w:val="1"/>
          <w:color w:val="auto"/>
          <w:shd w:val="clear" w:color="auto" w:fill="3E5C7C"/>
        </w:rPr>
      </w:pPr>
    </w:p>
    <w:p>
      <w:pPr>
        <w:ind w:left="660" w:right="180" w:hanging="328"/>
        <w:spacing w:after="0" w:line="319" w:lineRule="auto"/>
        <w:tabs>
          <w:tab w:leader="none" w:pos="657" w:val="left"/>
        </w:tabs>
        <w:numPr>
          <w:ilvl w:val="0"/>
          <w:numId w:val="2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produce a compensation committee report on executive officer compensation as required by the SEC, after the committee reviews and discusses with management the Company’s Compensation Discussion and Analysis, or “CD&amp;A,” and consider whether to recommend that it be included in the Company’s proxy statement or Annual Report; and</w:t>
      </w:r>
    </w:p>
    <w:p>
      <w:pPr>
        <w:spacing w:after="0" w:line="89"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2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consider and recommend to the Board the frequency of the Company’s advisory vote on executive compensation.</w:t>
      </w:r>
    </w:p>
    <w:p>
      <w:pPr>
        <w:spacing w:after="0" w:line="167"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29292B"/>
        </w:rPr>
        <w:t>The members of the Compensation Committee are Ms. Rawlinson, Chair, and Mses. Decker, Knobloch, Romanow, and Schneider. The Board has determined that all members of the Compensation Committee are “independent” as defined by the NYSE’s listing standards. In addition, the Compensation Committee consists of “non-employee directors,” within the meaning of Rule 16b-3 promulgated under the Exchange Act and “outside directors,” within the meaning of regulations promulgated under Section 162(m) of the Internal Revenue Code of 1986, as amended, or the Internal Revenue Code. The Compensation Committee held three meetings during fiscal 2024.</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Compensation Committee Processes and Procedures</w:t>
      </w:r>
    </w:p>
    <w:p>
      <w:pPr>
        <w:spacing w:after="0" w:line="132"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29292B"/>
        </w:rPr>
        <w:t>The Compensation Committee meets as often as necessary to carry out its responsibilities. The agenda for each meeting is usually developed by the Chair of the Compensation Committee, in consultation with the Chief Executive Officer. The Chief Executive Officer does not participate in and is not present during any deliberations or determinations of the Compensation Committee regarding her compensation or individual performance objectives. The charter of the Compensation Committee grants the Compensation Committee sole authority, at the expense of the Company, to retain or to obtain advice from a compensation consultant, legal counsel, or other adviser to assist in the execution of the Compensation Committee’s responsibilities. The Compensation Committee is directly responsible for the appointment, compensation, and oversight of the work of any consultant or adviser retained and has authority to approve the fees and other retention terms. The Compensation Committee expects that it will seek advice from independent compensation consultants as it deems necessary on a periodic basis, but not necessarily annually, in order to determine that the Company’s compensation programs remain appropriate and consistent with industry practices. Prior to the retention of any compensation consultant, legal counsel, or any other external adviser, the Compensation Committee will assess the independence of such adviser from management, taking into consideration all factors relevant to such adviser’s independence, including factors specified in the NYSE listing standards.</w:t>
      </w:r>
    </w:p>
    <w:p>
      <w:pPr>
        <w:spacing w:after="0" w:line="11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29292B"/>
        </w:rPr>
        <w:t>During fiscal 2024, the Compensation Committee engaged Aon's Human Capital Solutions Practice, a division of Aon plc. ("Aon"), a multinational, multi-services insurance and consulting firm as its independent compensation consultant. Aon was retained by the Compensation Committee to review the Company’s executive and Board of Director compensation programs including a competitive assessment against peers, to perform a compensation program risk assessment, and to advise on the Company's 2024 Omnibus Equity Plan ("2024 Plan") including share modeling. More details on the 2024 Plan are available in the Proposal 4 section of this proxy statement.</w:t>
      </w:r>
    </w:p>
    <w:p>
      <w:pPr>
        <w:spacing w:after="0" w:line="10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29292B"/>
        </w:rPr>
        <w:t>In fiscal 2024, Aon was paid approximately $180,000 for these executive compensation consulting services provided to the Compensation Committee. During fiscal 2024, Aon and its affiliates provided insurance services, health benefits, valuation services, and a pharmacy coalition membership. . The decision to engage Aon and its affiliates for these additional services was made by management as part of the Company’s existing relationship with Aon concerning these services, and was not</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36</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20"/>
                <w:szCs w:val="20"/>
                <w:color w:val="auto"/>
              </w:rPr>
            </w:pPr>
            <w:r>
              <w:rPr>
                <w:rFonts w:ascii="Arial" w:cs="Arial" w:eastAsia="Arial" w:hAnsi="Arial"/>
                <w:sz w:val="14"/>
                <w:szCs w:val="14"/>
                <w:color w:val="032E5C"/>
              </w:rPr>
              <w:t>Table of Contents</w:t>
            </w:r>
          </w:p>
        </w:tc>
        <w:tc>
          <w:tcPr>
            <w:tcW w:w="5800" w:type="dxa"/>
            <w:vAlign w:val="bottom"/>
            <w:vMerge w:val="restart"/>
          </w:tcPr>
          <w:p>
            <w:pPr>
              <w:ind w:left="4060"/>
              <w:spacing w:after="0"/>
              <w:rPr>
                <w:sz w:val="20"/>
                <w:szCs w:val="20"/>
                <w:color w:val="auto"/>
              </w:rPr>
            </w:pPr>
            <w:r>
              <w:rPr>
                <w:rFonts w:ascii="Arial" w:cs="Arial" w:eastAsia="Arial" w:hAnsi="Arial"/>
                <w:sz w:val="13"/>
                <w:szCs w:val="13"/>
                <w:b w:val="1"/>
                <w:bCs w:val="1"/>
                <w:color w:val="032E5C"/>
                <w:w w:val="95"/>
              </w:rPr>
              <w:t>CORPORATE GOVERNANCE</w:t>
            </w: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5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5951855</wp:posOffset>
            </wp:positionH>
            <wp:positionV relativeFrom="page">
              <wp:posOffset>106045</wp:posOffset>
            </wp:positionV>
            <wp:extent cx="1388745" cy="2400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8874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approved, or required to be approved, by the Compensation Committee or the Board. Professional fees for the foregoing additional services in fiscal 2024 were approximately $577,000, or 0.004% of Aon's approximately $14 billion corporate revenues. The individuals at Aon that advise the Compensation Committee on executive compensation matters have no involvement in the other services provided to the Company by Aon and its affiliates, and the individuals at Aon advising the Compensation Committee report directly to, and are overseen by, the Compensation Committee. These individuals have no other relationship with the Company or management. The Compensation Committee has assessed the independence of Aon as required by the NYSE listing standards. The Compensation Committee reviewed its relationship with Aon and considered all relevant factors, and concluded that there are no conflicts of interest raised by the work performed by Aon and its affiliates.</w:t>
      </w:r>
    </w:p>
    <w:p>
      <w:pPr>
        <w:spacing w:after="0" w:line="10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29292B"/>
        </w:rPr>
        <w:t>Historically, the Compensation Committee has made adjustments to annual compensation, determined annual cash and equity awards, and established new performance objectives at one or more meetings held during the first quarter of the fiscal year. However, the Compensation Committee also considers matters related to individual compensation, such as compensation for new executive hires, at various times as needed throughout the year. Generally, the Compensation Committee’s process comprises two related elements: the determination of compensation levels and the establishment of performance objectives for the fiscal year. For executives other than the Chief Executive Officer, the Compensation Committee solicits and considers evaluations and recommendations submitted to the committee by the Chief Executive Officer. The Compensation Committee makes all final determinations regarding these awards, and none of our executive officers, including the Chief Executive Officer, are involved in the determination of their own compensation. In the case of the Chief Executive Officer, the evaluation of her performance is conducted by the Compensation Committee, which determines any adjustments to her compensation as well as awards to be granted. The non-management directors’ practice is to meet in executive session following the Board meeting in September of each year to review and ratify the Compensation Committee’s annual review of the Chief Executive Officer.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10" w:lineRule="exact"/>
        <w:rPr>
          <w:sz w:val="20"/>
          <w:szCs w:val="20"/>
          <w:color w:val="auto"/>
        </w:rPr>
      </w:pPr>
    </w:p>
    <w:p>
      <w:pPr>
        <w:jc w:val="both"/>
        <w:ind w:right="340"/>
        <w:spacing w:after="0" w:line="310" w:lineRule="auto"/>
        <w:rPr>
          <w:sz w:val="20"/>
          <w:szCs w:val="20"/>
          <w:color w:val="auto"/>
        </w:rPr>
      </w:pPr>
      <w:r>
        <w:rPr>
          <w:rFonts w:ascii="Arial" w:cs="Arial" w:eastAsia="Arial" w:hAnsi="Arial"/>
          <w:sz w:val="16"/>
          <w:szCs w:val="16"/>
          <w:color w:val="29292B"/>
        </w:rPr>
        <w:t>The specific determinations of the Compensation Committee with respect to executive compensation for fiscal 2024 are described in greater detail in the Compensation Discussion &amp; Analysis section of this proxy statement, as well as the narrative disclosure that accompanies the Summary Compensation Table and related tables in the Executive Compensation section of this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Compensation Committee Interlocks and Insider Participation</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29292B"/>
        </w:rPr>
        <w:t>During fiscal 2024, no Compensation Committee interlocks existed between the Company and any other entity, meaning none of our executive officers currently serves, or has served during the last completed fiscal year, on the compensation committee or board of directors of any other entity that has one or more executive officers serving as a member of our Board or Compensation Committee. No member of our Compensation Committee has ever been an executive officer or employee of the Company.</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COMPENSATION COMMITTEE REPORT</w:t>
      </w:r>
    </w:p>
    <w:p>
      <w:pPr>
        <w:spacing w:after="0" w:line="132"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29292B"/>
        </w:rPr>
        <w:t>The Compensation Committee has reviewed and discussed with management the Compensation Discussion and Analysis contained in this proxy statement. Based upon this review and discussion, the Compensation Committee has recommended to the Board that the Compensation Discussion and Analysis be included in this proxy statement and incorporated into our Annual Report on Form 10-K for the fiscal year ended July 31, 2024.</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29292B"/>
        </w:rPr>
        <w:t>Compensation Committee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Nadia N. Rawlinson, Chair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Susan L. Decker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Iris Knobloch</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Michele Romanow</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9292B"/>
        </w:rPr>
        <w:t>Hilary Schneider</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37</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0"/>
        </w:trPr>
        <w:tc>
          <w:tcPr>
            <w:tcW w:w="2180" w:type="dxa"/>
            <w:vAlign w:val="bottom"/>
            <w:vMerge w:val="restart"/>
            <w:shd w:val="clear" w:color="auto" w:fill="98BDE2"/>
          </w:tcPr>
          <w:p>
            <w:pPr>
              <w:ind w:left="220"/>
              <w:spacing w:after="0"/>
              <w:rPr>
                <w:sz w:val="20"/>
                <w:szCs w:val="20"/>
                <w:color w:val="auto"/>
              </w:rPr>
            </w:pPr>
            <w:r>
              <w:rPr>
                <w:rFonts w:ascii="Arial" w:cs="Arial" w:eastAsia="Arial" w:hAnsi="Arial"/>
                <w:sz w:val="13"/>
                <w:szCs w:val="13"/>
                <w:b w:val="1"/>
                <w:bCs w:val="1"/>
                <w:color w:val="032E5C"/>
              </w:rPr>
              <w:t>CORPORATE GOVERNANCE</w:t>
            </w:r>
          </w:p>
        </w:tc>
        <w:tc>
          <w:tcPr>
            <w:tcW w:w="9040" w:type="dxa"/>
            <w:vAlign w:val="bottom"/>
          </w:tcPr>
          <w:p>
            <w:pPr>
              <w:ind w:left="79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180" w:type="dxa"/>
            <w:vAlign w:val="bottom"/>
            <w:vMerge w:val="continue"/>
            <w:shd w:val="clear" w:color="auto" w:fill="98BDE2"/>
          </w:tcPr>
          <w:p>
            <w:pPr>
              <w:spacing w:after="0"/>
              <w:rPr>
                <w:sz w:val="4"/>
                <w:szCs w:val="4"/>
                <w:color w:val="auto"/>
              </w:rPr>
            </w:pPr>
          </w:p>
        </w:tc>
        <w:tc>
          <w:tcPr>
            <w:tcW w:w="9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180" w:type="dxa"/>
            <w:vAlign w:val="bottom"/>
            <w:shd w:val="clear" w:color="auto" w:fill="98BDE2"/>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The Nominating &amp; Governance Committee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29292B"/>
        </w:rPr>
        <w:t>The Nominating &amp; Governance Committee acts pursuant to its charter and is authorized and directed to:</w:t>
      </w:r>
    </w:p>
    <w:p>
      <w:pPr>
        <w:spacing w:after="0" w:line="167" w:lineRule="exact"/>
        <w:rPr>
          <w:sz w:val="20"/>
          <w:szCs w:val="20"/>
          <w:color w:val="auto"/>
        </w:rPr>
      </w:pPr>
    </w:p>
    <w:p>
      <w:pPr>
        <w:jc w:val="both"/>
        <w:ind w:left="660" w:right="420" w:hanging="328"/>
        <w:spacing w:after="0" w:line="312" w:lineRule="auto"/>
        <w:tabs>
          <w:tab w:leader="none" w:pos="657"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the overall composition of the Board and make recommendations to the Board regarding effective Board composition and refreshment, taking into consideration such factors as business or industry experience, financial or risk assessment expertise, the balance of tenure on the Board, gender or racial diversity, experience on other public company boards of directors, and other specific areas of expertise of each Board member;</w:t>
      </w:r>
    </w:p>
    <w:p>
      <w:pPr>
        <w:spacing w:after="0" w:line="96"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actively seek individuals qualified to become Board members for recommendation to the Board;</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retain and terminate any search firm to be used to identify candidates and to approve the search firm’s fees and other retention terms;</w:t>
      </w:r>
    </w:p>
    <w:p>
      <w:pPr>
        <w:spacing w:after="0" w:line="180" w:lineRule="exact"/>
        <w:rPr>
          <w:rFonts w:ascii="Wingdings" w:cs="Wingdings" w:eastAsia="Wingdings" w:hAnsi="Wingdings"/>
          <w:sz w:val="16"/>
          <w:szCs w:val="16"/>
          <w:b w:val="1"/>
          <w:bCs w:val="1"/>
          <w:color w:val="auto"/>
          <w:shd w:val="clear" w:color="auto" w:fill="3E5C7C"/>
        </w:rPr>
      </w:pPr>
    </w:p>
    <w:p>
      <w:pPr>
        <w:ind w:left="660" w:right="360" w:hanging="328"/>
        <w:spacing w:after="0" w:line="339" w:lineRule="auto"/>
        <w:tabs>
          <w:tab w:leader="none" w:pos="657"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ide</w:t>
      </w:r>
      <w:r>
        <w:rPr>
          <w:rFonts w:ascii="Arial" w:cs="Arial" w:eastAsia="Arial" w:hAnsi="Arial"/>
          <w:sz w:val="16"/>
          <w:szCs w:val="16"/>
          <w:color w:val="000000"/>
        </w:rPr>
        <w:t>ntify and recommend to the Board director nominees for the next annual meeting of stockholders and members of the Board to serve on the</w:t>
      </w:r>
      <w:r>
        <w:rPr>
          <w:rFonts w:ascii="Arial" w:cs="Arial" w:eastAsia="Arial" w:hAnsi="Arial"/>
          <w:sz w:val="16"/>
          <w:szCs w:val="16"/>
          <w:color w:val="29292B"/>
        </w:rPr>
        <w:t xml:space="preserve"> </w:t>
      </w:r>
      <w:r>
        <w:rPr>
          <w:rFonts w:ascii="Arial" w:cs="Arial" w:eastAsia="Arial" w:hAnsi="Arial"/>
          <w:sz w:val="16"/>
          <w:szCs w:val="16"/>
          <w:color w:val="000000"/>
        </w:rPr>
        <w:t>various committees of the Board;</w:t>
      </w:r>
    </w:p>
    <w:p>
      <w:pPr>
        <w:spacing w:after="0" w:line="60" w:lineRule="exact"/>
        <w:rPr>
          <w:rFonts w:ascii="Wingdings" w:cs="Wingdings" w:eastAsia="Wingdings" w:hAnsi="Wingdings"/>
          <w:sz w:val="16"/>
          <w:szCs w:val="16"/>
          <w:b w:val="1"/>
          <w:bCs w:val="1"/>
          <w:color w:val="auto"/>
          <w:shd w:val="clear" w:color="auto" w:fill="3E5C7C"/>
        </w:rPr>
      </w:pPr>
    </w:p>
    <w:p>
      <w:pPr>
        <w:ind w:left="660" w:right="140" w:hanging="328"/>
        <w:spacing w:after="0" w:line="304" w:lineRule="auto"/>
        <w:tabs>
          <w:tab w:leader="none" w:pos="657"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auto"/>
        </w:rPr>
        <w:t>oversee the evaluation of the performance of the Board, each committee of the Board, and individual directors, and oversee the annual evaluation process, which may include Board self-assessments and/or the periodic engagement of a third party to conduct the evaluation.</w:t>
      </w:r>
    </w:p>
    <w:p>
      <w:pPr>
        <w:spacing w:after="0" w:line="87" w:lineRule="exact"/>
        <w:rPr>
          <w:rFonts w:ascii="Wingdings" w:cs="Wingdings" w:eastAsia="Wingdings" w:hAnsi="Wingdings"/>
          <w:sz w:val="16"/>
          <w:szCs w:val="16"/>
          <w:b w:val="1"/>
          <w:bCs w:val="1"/>
          <w:color w:val="auto"/>
          <w:shd w:val="clear" w:color="auto" w:fill="3E5C7C"/>
        </w:rPr>
      </w:pPr>
    </w:p>
    <w:p>
      <w:pPr>
        <w:ind w:left="660" w:right="80" w:hanging="328"/>
        <w:spacing w:after="0" w:line="292" w:lineRule="auto"/>
        <w:tabs>
          <w:tab w:leader="none" w:pos="657"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auto"/>
        </w:rPr>
        <w:t>oversee and periodically review the Company's ESG activities, including policies, initiatives, programming, disclosures, reporting, and engageme</w:t>
      </w:r>
      <w:r>
        <w:rPr>
          <w:rFonts w:ascii="Arial" w:cs="Arial" w:eastAsia="Arial" w:hAnsi="Arial"/>
          <w:sz w:val="16"/>
          <w:szCs w:val="16"/>
          <w:color w:val="29292B"/>
        </w:rPr>
        <w:t>nt</w:t>
      </w:r>
      <w:r>
        <w:rPr>
          <w:rFonts w:ascii="Arial" w:cs="Arial" w:eastAsia="Arial" w:hAnsi="Arial"/>
          <w:sz w:val="16"/>
          <w:szCs w:val="16"/>
          <w:color w:val="auto"/>
        </w:rPr>
        <w:t xml:space="preserve"> </w:t>
      </w:r>
      <w:r>
        <w:rPr>
          <w:rFonts w:ascii="Arial" w:cs="Arial" w:eastAsia="Arial" w:hAnsi="Arial"/>
          <w:sz w:val="16"/>
          <w:szCs w:val="16"/>
          <w:color w:val="29292B"/>
        </w:rPr>
        <w:t>with key stakeholders related to ESG matters, other than those related to the adequacy and effectiveness of the Company’s applicable internal controls related to such disclosures, which are overseen by the Audit Committee;</w:t>
      </w:r>
    </w:p>
    <w:p>
      <w:pPr>
        <w:spacing w:after="0" w:line="111" w:lineRule="exact"/>
        <w:rPr>
          <w:rFonts w:ascii="Wingdings" w:cs="Wingdings" w:eastAsia="Wingdings" w:hAnsi="Wingdings"/>
          <w:sz w:val="16"/>
          <w:szCs w:val="16"/>
          <w:b w:val="1"/>
          <w:bCs w:val="1"/>
          <w:color w:val="auto"/>
          <w:shd w:val="clear" w:color="auto" w:fill="3E5C7C"/>
        </w:rPr>
      </w:pPr>
    </w:p>
    <w:p>
      <w:pPr>
        <w:ind w:left="660" w:right="100" w:hanging="328"/>
        <w:spacing w:after="0" w:line="321" w:lineRule="auto"/>
        <w:tabs>
          <w:tab w:leader="none" w:pos="657"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reassess the adequacy of the Corporate Governance Guidelines of the Company and recommend any proposed changes to the Board for approval;</w:t>
      </w:r>
    </w:p>
    <w:p>
      <w:pPr>
        <w:spacing w:after="0" w:line="88" w:lineRule="exact"/>
        <w:rPr>
          <w:rFonts w:ascii="Wingdings" w:cs="Wingdings" w:eastAsia="Wingdings" w:hAnsi="Wingdings"/>
          <w:sz w:val="16"/>
          <w:szCs w:val="16"/>
          <w:b w:val="1"/>
          <w:bCs w:val="1"/>
          <w:color w:val="auto"/>
          <w:shd w:val="clear" w:color="auto" w:fill="3E5C7C"/>
        </w:rPr>
      </w:pPr>
    </w:p>
    <w:p>
      <w:pPr>
        <w:ind w:left="660" w:right="280" w:hanging="328"/>
        <w:spacing w:after="0" w:line="339" w:lineRule="auto"/>
        <w:tabs>
          <w:tab w:leader="none" w:pos="657"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present to the Board individual director candidates recommended for the committee’s consideration by stockholders and stockholder nominations for director that are made in writing to the Secretary of the Company in compliance with the Company’s Bylaws; and</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present to the Board stockholder proposals.</w:t>
      </w:r>
    </w:p>
    <w:p>
      <w:pPr>
        <w:spacing w:after="0" w:line="181" w:lineRule="exact"/>
        <w:rPr>
          <w:sz w:val="20"/>
          <w:szCs w:val="20"/>
          <w:color w:val="auto"/>
        </w:rPr>
      </w:pPr>
    </w:p>
    <w:p>
      <w:pPr>
        <w:jc w:val="both"/>
        <w:ind w:right="580"/>
        <w:spacing w:after="0" w:line="310" w:lineRule="auto"/>
        <w:rPr>
          <w:sz w:val="20"/>
          <w:szCs w:val="20"/>
          <w:color w:val="auto"/>
        </w:rPr>
      </w:pPr>
      <w:r>
        <w:rPr>
          <w:rFonts w:ascii="Arial" w:cs="Arial" w:eastAsia="Arial" w:hAnsi="Arial"/>
          <w:sz w:val="16"/>
          <w:szCs w:val="16"/>
          <w:color w:val="29292B"/>
        </w:rPr>
        <w:t>The members of the Nominating &amp; Governance Committee are Mr. Vaughn, Chair, and Messrs. Sorte and Sewell. The Board has determined that all members of the Nominating &amp; Governance Committee are “independent” as defined by the NYSE’s listing standards. The Nominating &amp; Governance Committee held one meeting during fiscal 2024.</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The Executive Committee</w:t>
      </w:r>
    </w:p>
    <w:p>
      <w:pPr>
        <w:spacing w:after="0" w:line="12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29292B"/>
        </w:rPr>
        <w:t>The Executive Committee has all powers and rights necessary to exercise the full authority of the Board during the intervals between meetings of the Board in the management of the business and affairs of the Company, subject to certain limitations set forth in the charter of the Executive Committee. For fiscal 2024, the members of the Executive Committee were Messrs. Katz, Sewell, and Sorte and Ms. Lynch. The Executive Committee held multiple discussions and one meeting during fiscal 2024.</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38</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43" w:name="page44"/>
    <w:bookmarkEnd w:id="43"/>
    <w:p>
      <w:pPr>
        <w:spacing w:after="0"/>
        <w:rPr>
          <w:sz w:val="20"/>
          <w:szCs w:val="20"/>
          <w:color w:val="auto"/>
        </w:rPr>
      </w:pPr>
      <w:r>
        <w:rPr>
          <w:rFonts w:ascii="Arial" w:cs="Arial" w:eastAsia="Arial" w:hAnsi="Arial"/>
          <w:sz w:val="50"/>
          <w:szCs w:val="50"/>
          <w:b w:val="1"/>
          <w:bCs w:val="1"/>
          <w:color w:val="032E5C"/>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Director Compensation for Fiscal 2024</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provides information concerning the compensation of our non-employee directors in fiscal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3320" w:type="dxa"/>
            <w:vAlign w:val="bottom"/>
            <w:shd w:val="clear" w:color="auto" w:fill="98BDE2"/>
          </w:tcPr>
          <w:p>
            <w:pPr>
              <w:spacing w:after="0"/>
              <w:rPr>
                <w:sz w:val="16"/>
                <w:szCs w:val="16"/>
                <w:color w:val="auto"/>
              </w:rPr>
            </w:pPr>
          </w:p>
        </w:tc>
        <w:tc>
          <w:tcPr>
            <w:tcW w:w="2420" w:type="dxa"/>
            <w:vAlign w:val="bottom"/>
            <w:shd w:val="clear" w:color="auto" w:fill="98BDE2"/>
          </w:tcPr>
          <w:p>
            <w:pPr>
              <w:jc w:val="right"/>
              <w:ind w:right="428"/>
              <w:spacing w:after="0"/>
              <w:rPr>
                <w:sz w:val="20"/>
                <w:szCs w:val="20"/>
                <w:color w:val="auto"/>
              </w:rPr>
            </w:pPr>
            <w:r>
              <w:rPr>
                <w:rFonts w:ascii="Arial" w:cs="Arial" w:eastAsia="Arial" w:hAnsi="Arial"/>
                <w:sz w:val="14"/>
                <w:szCs w:val="14"/>
                <w:b w:val="1"/>
                <w:bCs w:val="1"/>
                <w:color w:val="032E5C"/>
              </w:rPr>
              <w:t>Fees Earned or</w:t>
            </w:r>
          </w:p>
        </w:tc>
        <w:tc>
          <w:tcPr>
            <w:tcW w:w="1900" w:type="dxa"/>
            <w:vAlign w:val="bottom"/>
            <w:vMerge w:val="restart"/>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Stock Awards</w:t>
            </w:r>
          </w:p>
        </w:tc>
        <w:tc>
          <w:tcPr>
            <w:tcW w:w="2180" w:type="dxa"/>
            <w:vAlign w:val="bottom"/>
            <w:shd w:val="clear" w:color="auto" w:fill="98BDE2"/>
          </w:tcPr>
          <w:p>
            <w:pPr>
              <w:jc w:val="right"/>
              <w:ind w:right="628"/>
              <w:spacing w:after="0"/>
              <w:rPr>
                <w:sz w:val="20"/>
                <w:szCs w:val="20"/>
                <w:color w:val="auto"/>
              </w:rPr>
            </w:pPr>
            <w:r>
              <w:rPr>
                <w:rFonts w:ascii="Arial" w:cs="Arial" w:eastAsia="Arial" w:hAnsi="Arial"/>
                <w:sz w:val="14"/>
                <w:szCs w:val="14"/>
                <w:b w:val="1"/>
                <w:bCs w:val="1"/>
                <w:color w:val="032E5C"/>
              </w:rPr>
              <w:t>All Other</w:t>
            </w:r>
          </w:p>
        </w:tc>
        <w:tc>
          <w:tcPr>
            <w:tcW w:w="1340" w:type="dxa"/>
            <w:vAlign w:val="bottom"/>
            <w:gridSpan w:val="2"/>
            <w:vMerge w:val="restart"/>
            <w:shd w:val="clear" w:color="auto" w:fill="98BDE2"/>
          </w:tcPr>
          <w:p>
            <w:pPr>
              <w:ind w:left="900"/>
              <w:spacing w:after="0"/>
              <w:rPr>
                <w:sz w:val="20"/>
                <w:szCs w:val="20"/>
                <w:color w:val="auto"/>
              </w:rPr>
            </w:pPr>
            <w:r>
              <w:rPr>
                <w:rFonts w:ascii="Arial" w:cs="Arial" w:eastAsia="Arial" w:hAnsi="Arial"/>
                <w:sz w:val="14"/>
                <w:szCs w:val="14"/>
                <w:b w:val="1"/>
                <w:bCs w:val="1"/>
                <w:color w:val="032E5C"/>
              </w:rPr>
              <w:t>Total</w:t>
            </w:r>
          </w:p>
        </w:tc>
        <w:tc>
          <w:tcPr>
            <w:tcW w:w="0" w:type="dxa"/>
            <w:vAlign w:val="bottom"/>
          </w:tcPr>
          <w:p>
            <w:pPr>
              <w:spacing w:after="0"/>
              <w:rPr>
                <w:sz w:val="1"/>
                <w:szCs w:val="1"/>
                <w:color w:val="auto"/>
              </w:rPr>
            </w:pPr>
          </w:p>
        </w:tc>
      </w:tr>
      <w:tr>
        <w:trPr>
          <w:trHeight w:val="160"/>
        </w:trPr>
        <w:tc>
          <w:tcPr>
            <w:tcW w:w="80" w:type="dxa"/>
            <w:vAlign w:val="bottom"/>
            <w:shd w:val="clear" w:color="auto" w:fill="98BDE2"/>
          </w:tcPr>
          <w:p>
            <w:pPr>
              <w:spacing w:after="0"/>
              <w:rPr>
                <w:sz w:val="13"/>
                <w:szCs w:val="13"/>
                <w:color w:val="auto"/>
              </w:rPr>
            </w:pPr>
          </w:p>
        </w:tc>
        <w:tc>
          <w:tcPr>
            <w:tcW w:w="3320" w:type="dxa"/>
            <w:vAlign w:val="bottom"/>
            <w:shd w:val="clear" w:color="auto" w:fill="98BDE2"/>
          </w:tcPr>
          <w:p>
            <w:pPr>
              <w:spacing w:after="0"/>
              <w:rPr>
                <w:sz w:val="13"/>
                <w:szCs w:val="13"/>
                <w:color w:val="auto"/>
              </w:rPr>
            </w:pPr>
          </w:p>
        </w:tc>
        <w:tc>
          <w:tcPr>
            <w:tcW w:w="2420" w:type="dxa"/>
            <w:vAlign w:val="bottom"/>
            <w:shd w:val="clear" w:color="auto" w:fill="98BDE2"/>
          </w:tcPr>
          <w:p>
            <w:pPr>
              <w:jc w:val="right"/>
              <w:ind w:right="428"/>
              <w:spacing w:after="0" w:line="159" w:lineRule="exact"/>
              <w:rPr>
                <w:sz w:val="20"/>
                <w:szCs w:val="20"/>
                <w:color w:val="auto"/>
              </w:rPr>
            </w:pPr>
            <w:r>
              <w:rPr>
                <w:rFonts w:ascii="Arial" w:cs="Arial" w:eastAsia="Arial" w:hAnsi="Arial"/>
                <w:sz w:val="14"/>
                <w:szCs w:val="14"/>
                <w:b w:val="1"/>
                <w:bCs w:val="1"/>
                <w:color w:val="032E5C"/>
              </w:rPr>
              <w:t>Paid in Cash</w:t>
            </w:r>
          </w:p>
        </w:tc>
        <w:tc>
          <w:tcPr>
            <w:tcW w:w="1900" w:type="dxa"/>
            <w:vAlign w:val="bottom"/>
            <w:vMerge w:val="continue"/>
            <w:shd w:val="clear" w:color="auto" w:fill="98BDE2"/>
          </w:tcPr>
          <w:p>
            <w:pPr>
              <w:spacing w:after="0"/>
              <w:rPr>
                <w:sz w:val="13"/>
                <w:szCs w:val="13"/>
                <w:color w:val="auto"/>
              </w:rPr>
            </w:pPr>
          </w:p>
        </w:tc>
        <w:tc>
          <w:tcPr>
            <w:tcW w:w="2180" w:type="dxa"/>
            <w:vAlign w:val="bottom"/>
            <w:shd w:val="clear" w:color="auto" w:fill="98BDE2"/>
          </w:tcPr>
          <w:p>
            <w:pPr>
              <w:jc w:val="right"/>
              <w:ind w:right="628"/>
              <w:spacing w:after="0" w:line="159" w:lineRule="exact"/>
              <w:rPr>
                <w:sz w:val="20"/>
                <w:szCs w:val="20"/>
                <w:color w:val="auto"/>
              </w:rPr>
            </w:pPr>
            <w:r>
              <w:rPr>
                <w:rFonts w:ascii="Arial" w:cs="Arial" w:eastAsia="Arial" w:hAnsi="Arial"/>
                <w:sz w:val="14"/>
                <w:szCs w:val="14"/>
                <w:b w:val="1"/>
                <w:bCs w:val="1"/>
                <w:color w:val="032E5C"/>
              </w:rPr>
              <w:t>Compensation</w:t>
            </w:r>
          </w:p>
        </w:tc>
        <w:tc>
          <w:tcPr>
            <w:tcW w:w="1340" w:type="dxa"/>
            <w:vAlign w:val="bottom"/>
            <w:gridSpan w:val="2"/>
            <w:vMerge w:val="continue"/>
            <w:shd w:val="clear" w:color="auto" w:fill="98BDE2"/>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80" w:type="dxa"/>
            <w:vAlign w:val="bottom"/>
            <w:tcBorders>
              <w:bottom w:val="single" w:sz="8" w:color="98BDE2"/>
            </w:tcBorders>
            <w:shd w:val="clear" w:color="auto" w:fill="98BDE2"/>
          </w:tcPr>
          <w:p>
            <w:pPr>
              <w:spacing w:after="0"/>
              <w:rPr>
                <w:sz w:val="21"/>
                <w:szCs w:val="21"/>
                <w:color w:val="auto"/>
              </w:rPr>
            </w:pPr>
          </w:p>
        </w:tc>
        <w:tc>
          <w:tcPr>
            <w:tcW w:w="3320" w:type="dxa"/>
            <w:vAlign w:val="bottom"/>
            <w:tcBorders>
              <w:bottom w:val="single" w:sz="8" w:color="98BDE2"/>
            </w:tcBorders>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r>
              <w:rPr>
                <w:rFonts w:ascii="Arial" w:cs="Arial" w:eastAsia="Arial" w:hAnsi="Arial"/>
                <w:sz w:val="18"/>
                <w:szCs w:val="18"/>
                <w:b w:val="1"/>
                <w:bCs w:val="1"/>
                <w:color w:val="032E5C"/>
                <w:vertAlign w:val="superscript"/>
              </w:rPr>
              <w:t>(1)</w:t>
            </w:r>
          </w:p>
        </w:tc>
        <w:tc>
          <w:tcPr>
            <w:tcW w:w="2420" w:type="dxa"/>
            <w:vAlign w:val="bottom"/>
            <w:tcBorders>
              <w:bottom w:val="single" w:sz="8" w:color="98BDE2"/>
            </w:tcBorders>
            <w:shd w:val="clear" w:color="auto" w:fill="98BDE2"/>
          </w:tcPr>
          <w:p>
            <w:pPr>
              <w:jc w:val="right"/>
              <w:ind w:right="42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(2)</w:t>
            </w:r>
          </w:p>
        </w:tc>
        <w:tc>
          <w:tcPr>
            <w:tcW w:w="1900" w:type="dxa"/>
            <w:vAlign w:val="bottom"/>
            <w:tcBorders>
              <w:bottom w:val="single" w:sz="8" w:color="98BDE2"/>
            </w:tcBorders>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(3)</w:t>
            </w:r>
          </w:p>
        </w:tc>
        <w:tc>
          <w:tcPr>
            <w:tcW w:w="2180" w:type="dxa"/>
            <w:vAlign w:val="bottom"/>
            <w:tcBorders>
              <w:bottom w:val="single" w:sz="8" w:color="98BDE2"/>
            </w:tcBorders>
            <w:shd w:val="clear" w:color="auto" w:fill="98BDE2"/>
          </w:tcPr>
          <w:p>
            <w:pPr>
              <w:jc w:val="right"/>
              <w:ind w:right="62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(4)</w:t>
            </w:r>
          </w:p>
        </w:tc>
        <w:tc>
          <w:tcPr>
            <w:tcW w:w="124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00" w:type="dxa"/>
            <w:vAlign w:val="bottom"/>
            <w:tcBorders>
              <w:bottom w:val="single" w:sz="8" w:color="98BDE2"/>
            </w:tcBorders>
            <w:shd w:val="clear" w:color="auto" w:fill="98BDE2"/>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Borders>
              <w:bottom w:val="single" w:sz="8" w:color="F3EFE9"/>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Reginald Chambers</w:t>
            </w:r>
            <w:r>
              <w:rPr>
                <w:rFonts w:ascii="Arial" w:cs="Arial" w:eastAsia="Arial" w:hAnsi="Arial"/>
                <w:sz w:val="18"/>
                <w:szCs w:val="18"/>
                <w:b w:val="1"/>
                <w:bCs w:val="1"/>
                <w:color w:val="032E5C"/>
                <w:vertAlign w:val="superscript"/>
              </w:rPr>
              <w:t>(5)</w:t>
            </w:r>
          </w:p>
        </w:tc>
        <w:tc>
          <w:tcPr>
            <w:tcW w:w="242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40,173</w:t>
            </w:r>
          </w:p>
        </w:tc>
        <w:tc>
          <w:tcPr>
            <w:tcW w:w="190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121,847</w:t>
            </w:r>
          </w:p>
        </w:tc>
        <w:tc>
          <w:tcPr>
            <w:tcW w:w="218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w:t>
            </w:r>
          </w:p>
        </w:tc>
        <w:tc>
          <w:tcPr>
            <w:tcW w:w="12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162,020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Susan L. Decker</w:t>
            </w:r>
            <w:r>
              <w:rPr>
                <w:rFonts w:ascii="Arial" w:cs="Arial" w:eastAsia="Arial" w:hAnsi="Arial"/>
                <w:sz w:val="18"/>
                <w:szCs w:val="18"/>
                <w:b w:val="1"/>
                <w:bCs w:val="1"/>
                <w:color w:val="032E5C"/>
                <w:vertAlign w:val="superscript"/>
              </w:rPr>
              <w:t>(6)</w:t>
            </w:r>
          </w:p>
        </w:tc>
        <w:tc>
          <w:tcPr>
            <w:tcW w:w="242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95,564</w:t>
            </w:r>
          </w:p>
        </w:tc>
        <w:tc>
          <w:tcPr>
            <w:tcW w:w="190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220,139</w:t>
            </w:r>
          </w:p>
        </w:tc>
        <w:tc>
          <w:tcPr>
            <w:tcW w:w="218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w:t>
            </w:r>
          </w:p>
        </w:tc>
        <w:tc>
          <w:tcPr>
            <w:tcW w:w="12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315,703</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Iris Knobloch</w:t>
            </w:r>
            <w:r>
              <w:rPr>
                <w:rFonts w:ascii="Arial" w:cs="Arial" w:eastAsia="Arial" w:hAnsi="Arial"/>
                <w:sz w:val="18"/>
                <w:szCs w:val="18"/>
                <w:b w:val="1"/>
                <w:bCs w:val="1"/>
                <w:color w:val="032E5C"/>
                <w:vertAlign w:val="superscript"/>
              </w:rPr>
              <w:t>(7)</w:t>
            </w:r>
          </w:p>
        </w:tc>
        <w:tc>
          <w:tcPr>
            <w:tcW w:w="242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47,225</w:t>
            </w:r>
          </w:p>
        </w:tc>
        <w:tc>
          <w:tcPr>
            <w:tcW w:w="190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144,828</w:t>
            </w:r>
          </w:p>
        </w:tc>
        <w:tc>
          <w:tcPr>
            <w:tcW w:w="218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w:t>
            </w:r>
          </w:p>
        </w:tc>
        <w:tc>
          <w:tcPr>
            <w:tcW w:w="12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192,053</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Nadia N. Rawlinson</w:t>
            </w:r>
            <w:r>
              <w:rPr>
                <w:rFonts w:ascii="Arial" w:cs="Arial" w:eastAsia="Arial" w:hAnsi="Arial"/>
                <w:sz w:val="18"/>
                <w:szCs w:val="18"/>
                <w:b w:val="1"/>
                <w:bCs w:val="1"/>
                <w:color w:val="032E5C"/>
                <w:vertAlign w:val="superscript"/>
              </w:rPr>
              <w:t>(8)</w:t>
            </w:r>
          </w:p>
        </w:tc>
        <w:tc>
          <w:tcPr>
            <w:tcW w:w="242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107,677</w:t>
            </w:r>
          </w:p>
        </w:tc>
        <w:tc>
          <w:tcPr>
            <w:tcW w:w="190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220,139</w:t>
            </w:r>
          </w:p>
        </w:tc>
        <w:tc>
          <w:tcPr>
            <w:tcW w:w="218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w:t>
            </w:r>
          </w:p>
        </w:tc>
        <w:tc>
          <w:tcPr>
            <w:tcW w:w="12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327,816</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John Redmond</w:t>
            </w:r>
            <w:r>
              <w:rPr>
                <w:rFonts w:ascii="Arial" w:cs="Arial" w:eastAsia="Arial" w:hAnsi="Arial"/>
                <w:sz w:val="18"/>
                <w:szCs w:val="18"/>
                <w:b w:val="1"/>
                <w:bCs w:val="1"/>
                <w:color w:val="032E5C"/>
                <w:vertAlign w:val="superscript"/>
              </w:rPr>
              <w:t>(9)</w:t>
            </w:r>
          </w:p>
        </w:tc>
        <w:tc>
          <w:tcPr>
            <w:tcW w:w="242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100,564</w:t>
            </w:r>
          </w:p>
        </w:tc>
        <w:tc>
          <w:tcPr>
            <w:tcW w:w="190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220,139</w:t>
            </w:r>
          </w:p>
        </w:tc>
        <w:tc>
          <w:tcPr>
            <w:tcW w:w="218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w:t>
            </w:r>
          </w:p>
        </w:tc>
        <w:tc>
          <w:tcPr>
            <w:tcW w:w="12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320,703</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Michele Romanow</w:t>
            </w:r>
            <w:r>
              <w:rPr>
                <w:rFonts w:ascii="Arial" w:cs="Arial" w:eastAsia="Arial" w:hAnsi="Arial"/>
                <w:sz w:val="18"/>
                <w:szCs w:val="18"/>
                <w:b w:val="1"/>
                <w:bCs w:val="1"/>
                <w:color w:val="032E5C"/>
                <w:vertAlign w:val="superscript"/>
              </w:rPr>
              <w:t>(10)</w:t>
            </w:r>
          </w:p>
        </w:tc>
        <w:tc>
          <w:tcPr>
            <w:tcW w:w="242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95,564</w:t>
            </w:r>
          </w:p>
        </w:tc>
        <w:tc>
          <w:tcPr>
            <w:tcW w:w="190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220,139</w:t>
            </w:r>
          </w:p>
        </w:tc>
        <w:tc>
          <w:tcPr>
            <w:tcW w:w="218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13,455</w:t>
            </w:r>
          </w:p>
        </w:tc>
        <w:tc>
          <w:tcPr>
            <w:tcW w:w="12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329,158</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Hilary Schneider</w:t>
            </w:r>
            <w:r>
              <w:rPr>
                <w:rFonts w:ascii="Arial" w:cs="Arial" w:eastAsia="Arial" w:hAnsi="Arial"/>
                <w:sz w:val="18"/>
                <w:szCs w:val="18"/>
                <w:b w:val="1"/>
                <w:bCs w:val="1"/>
                <w:color w:val="032E5C"/>
                <w:vertAlign w:val="superscript"/>
              </w:rPr>
              <w:t>(11)</w:t>
            </w:r>
          </w:p>
        </w:tc>
        <w:tc>
          <w:tcPr>
            <w:tcW w:w="242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95,564</w:t>
            </w:r>
          </w:p>
        </w:tc>
        <w:tc>
          <w:tcPr>
            <w:tcW w:w="190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220,139</w:t>
            </w:r>
          </w:p>
        </w:tc>
        <w:tc>
          <w:tcPr>
            <w:tcW w:w="218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w:t>
            </w:r>
          </w:p>
        </w:tc>
        <w:tc>
          <w:tcPr>
            <w:tcW w:w="12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315,703</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D. Bruce Sewell</w:t>
            </w:r>
            <w:r>
              <w:rPr>
                <w:rFonts w:ascii="Arial" w:cs="Arial" w:eastAsia="Arial" w:hAnsi="Arial"/>
                <w:sz w:val="18"/>
                <w:szCs w:val="18"/>
                <w:b w:val="1"/>
                <w:bCs w:val="1"/>
                <w:color w:val="032E5C"/>
                <w:vertAlign w:val="superscript"/>
              </w:rPr>
              <w:t>(12)</w:t>
            </w:r>
          </w:p>
        </w:tc>
        <w:tc>
          <w:tcPr>
            <w:tcW w:w="242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165,760</w:t>
            </w:r>
          </w:p>
        </w:tc>
        <w:tc>
          <w:tcPr>
            <w:tcW w:w="190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220,139</w:t>
            </w:r>
          </w:p>
        </w:tc>
        <w:tc>
          <w:tcPr>
            <w:tcW w:w="218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12,857</w:t>
            </w:r>
          </w:p>
        </w:tc>
        <w:tc>
          <w:tcPr>
            <w:tcW w:w="12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398,756</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John F. Sorte</w:t>
            </w:r>
            <w:r>
              <w:rPr>
                <w:rFonts w:ascii="Arial" w:cs="Arial" w:eastAsia="Arial" w:hAnsi="Arial"/>
                <w:sz w:val="18"/>
                <w:szCs w:val="18"/>
                <w:b w:val="1"/>
                <w:bCs w:val="1"/>
                <w:color w:val="032E5C"/>
                <w:vertAlign w:val="superscript"/>
              </w:rPr>
              <w:t>(13)</w:t>
            </w:r>
          </w:p>
        </w:tc>
        <w:tc>
          <w:tcPr>
            <w:tcW w:w="242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140,863</w:t>
            </w:r>
          </w:p>
        </w:tc>
        <w:tc>
          <w:tcPr>
            <w:tcW w:w="1900" w:type="dxa"/>
            <w:vAlign w:val="bottom"/>
            <w:tcBorders>
              <w:bottom w:val="single" w:sz="8" w:color="98BDE2"/>
            </w:tcBorders>
          </w:tcPr>
          <w:p>
            <w:pPr>
              <w:jc w:val="right"/>
              <w:ind w:right="388"/>
              <w:spacing w:after="0"/>
              <w:rPr>
                <w:sz w:val="20"/>
                <w:szCs w:val="20"/>
                <w:color w:val="auto"/>
              </w:rPr>
            </w:pPr>
            <w:r>
              <w:rPr>
                <w:rFonts w:ascii="Arial" w:cs="Arial" w:eastAsia="Arial" w:hAnsi="Arial"/>
                <w:sz w:val="14"/>
                <w:szCs w:val="14"/>
                <w:color w:val="032E5C"/>
              </w:rPr>
              <w:t>220,139</w:t>
            </w:r>
          </w:p>
        </w:tc>
        <w:tc>
          <w:tcPr>
            <w:tcW w:w="218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10,700</w:t>
            </w:r>
          </w:p>
        </w:tc>
        <w:tc>
          <w:tcPr>
            <w:tcW w:w="12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371,702</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shd w:val="clear" w:color="auto" w:fill="F3EFE9"/>
          </w:tcPr>
          <w:p>
            <w:pPr>
              <w:spacing w:after="0"/>
              <w:rPr>
                <w:sz w:val="20"/>
                <w:szCs w:val="20"/>
                <w:color w:val="auto"/>
              </w:rPr>
            </w:pPr>
          </w:p>
        </w:tc>
        <w:tc>
          <w:tcPr>
            <w:tcW w:w="3320" w:type="dxa"/>
            <w:vAlign w:val="bottom"/>
            <w:tcBorders>
              <w:bottom w:val="single" w:sz="8" w:color="3E5C7C"/>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Peter A. Vaughn</w:t>
            </w:r>
            <w:r>
              <w:rPr>
                <w:rFonts w:ascii="Arial" w:cs="Arial" w:eastAsia="Arial" w:hAnsi="Arial"/>
                <w:sz w:val="18"/>
                <w:szCs w:val="18"/>
                <w:b w:val="1"/>
                <w:bCs w:val="1"/>
                <w:color w:val="032E5C"/>
                <w:vertAlign w:val="superscript"/>
              </w:rPr>
              <w:t>(14)</w:t>
            </w:r>
          </w:p>
        </w:tc>
        <w:tc>
          <w:tcPr>
            <w:tcW w:w="2420" w:type="dxa"/>
            <w:vAlign w:val="bottom"/>
            <w:tcBorders>
              <w:bottom w:val="single" w:sz="8" w:color="3E5C7C"/>
            </w:tcBorders>
          </w:tcPr>
          <w:p>
            <w:pPr>
              <w:jc w:val="right"/>
              <w:ind w:right="428"/>
              <w:spacing w:after="0"/>
              <w:rPr>
                <w:sz w:val="20"/>
                <w:szCs w:val="20"/>
                <w:color w:val="auto"/>
              </w:rPr>
            </w:pPr>
            <w:r>
              <w:rPr>
                <w:rFonts w:ascii="Arial" w:cs="Arial" w:eastAsia="Arial" w:hAnsi="Arial"/>
                <w:sz w:val="14"/>
                <w:szCs w:val="14"/>
                <w:color w:val="032E5C"/>
              </w:rPr>
              <w:t>114,593</w:t>
            </w:r>
          </w:p>
        </w:tc>
        <w:tc>
          <w:tcPr>
            <w:tcW w:w="1900" w:type="dxa"/>
            <w:vAlign w:val="bottom"/>
            <w:tcBorders>
              <w:bottom w:val="single" w:sz="8" w:color="3E5C7C"/>
            </w:tcBorders>
          </w:tcPr>
          <w:p>
            <w:pPr>
              <w:jc w:val="right"/>
              <w:ind w:right="388"/>
              <w:spacing w:after="0"/>
              <w:rPr>
                <w:sz w:val="20"/>
                <w:szCs w:val="20"/>
                <w:color w:val="auto"/>
              </w:rPr>
            </w:pPr>
            <w:r>
              <w:rPr>
                <w:rFonts w:ascii="Arial" w:cs="Arial" w:eastAsia="Arial" w:hAnsi="Arial"/>
                <w:sz w:val="14"/>
                <w:szCs w:val="14"/>
                <w:color w:val="032E5C"/>
              </w:rPr>
              <w:t>220,139</w:t>
            </w:r>
          </w:p>
        </w:tc>
        <w:tc>
          <w:tcPr>
            <w:tcW w:w="2180" w:type="dxa"/>
            <w:vAlign w:val="bottom"/>
            <w:tcBorders>
              <w:bottom w:val="single" w:sz="8" w:color="3E5C7C"/>
            </w:tcBorders>
          </w:tcPr>
          <w:p>
            <w:pPr>
              <w:jc w:val="right"/>
              <w:ind w:right="628"/>
              <w:spacing w:after="0"/>
              <w:rPr>
                <w:sz w:val="20"/>
                <w:szCs w:val="20"/>
                <w:color w:val="auto"/>
              </w:rPr>
            </w:pPr>
            <w:r>
              <w:rPr>
                <w:rFonts w:ascii="Arial" w:cs="Arial" w:eastAsia="Arial" w:hAnsi="Arial"/>
                <w:sz w:val="14"/>
                <w:szCs w:val="14"/>
                <w:color w:val="032E5C"/>
              </w:rPr>
              <w:t>13,637</w:t>
            </w:r>
          </w:p>
        </w:tc>
        <w:tc>
          <w:tcPr>
            <w:tcW w:w="124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348,369</w:t>
            </w:r>
          </w:p>
        </w:tc>
        <w:tc>
          <w:tcPr>
            <w:tcW w:w="100" w:type="dxa"/>
            <w:vAlign w:val="bottom"/>
            <w:tcBorders>
              <w:bottom w:val="single" w:sz="8" w:color="3E5C7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460" w:hanging="332"/>
        <w:spacing w:after="0" w:line="305" w:lineRule="auto"/>
        <w:tabs>
          <w:tab w:leader="none" w:pos="340" w:val="left"/>
        </w:tabs>
        <w:numPr>
          <w:ilvl w:val="0"/>
          <w:numId w:val="24"/>
        </w:numPr>
        <w:rPr>
          <w:rFonts w:ascii="Arial" w:cs="Arial" w:eastAsia="Arial" w:hAnsi="Arial"/>
          <w:sz w:val="14"/>
          <w:szCs w:val="14"/>
          <w:color w:val="29292B"/>
        </w:rPr>
      </w:pPr>
      <w:r>
        <w:rPr>
          <w:rFonts w:ascii="Arial" w:cs="Arial" w:eastAsia="Arial" w:hAnsi="Arial"/>
          <w:sz w:val="14"/>
          <w:szCs w:val="14"/>
          <w:color w:val="29292B"/>
        </w:rPr>
        <w:t>Mr. Katz and Ms. Lynch are also named executive officers and their compensation is included in the Summary Compensation Table in the “Executive Compensation” section of this proxy statement. Neither Mr. Katz nor Ms. Lynch receive any additional compensation for their service on the Board.</w:t>
      </w:r>
    </w:p>
    <w:p>
      <w:pPr>
        <w:spacing w:after="0" w:line="22" w:lineRule="exact"/>
        <w:rPr>
          <w:rFonts w:ascii="Arial" w:cs="Arial" w:eastAsia="Arial" w:hAnsi="Arial"/>
          <w:sz w:val="14"/>
          <w:szCs w:val="14"/>
          <w:color w:val="29292B"/>
        </w:rPr>
      </w:pPr>
    </w:p>
    <w:p>
      <w:pPr>
        <w:ind w:left="340" w:right="180" w:hanging="332"/>
        <w:spacing w:after="0" w:line="305" w:lineRule="auto"/>
        <w:tabs>
          <w:tab w:leader="none" w:pos="340" w:val="left"/>
        </w:tabs>
        <w:numPr>
          <w:ilvl w:val="0"/>
          <w:numId w:val="24"/>
        </w:numPr>
        <w:rPr>
          <w:rFonts w:ascii="Arial" w:cs="Arial" w:eastAsia="Arial" w:hAnsi="Arial"/>
          <w:sz w:val="14"/>
          <w:szCs w:val="14"/>
          <w:color w:val="29292B"/>
        </w:rPr>
      </w:pPr>
      <w:r>
        <w:rPr>
          <w:rFonts w:ascii="Arial" w:cs="Arial" w:eastAsia="Arial" w:hAnsi="Arial"/>
          <w:sz w:val="14"/>
          <w:szCs w:val="14"/>
          <w:color w:val="29292B"/>
        </w:rPr>
        <w:t>Consists of non-employee director annual retainers, and, if applicable, lead director fees, committee chair fees, and committee member fees. Cash compensation paid to each director in fiscal 2024 was as follows:</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290"/>
        </w:trPr>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Borders>
              <w:bottom w:val="single" w:sz="8" w:color="3E5C7C"/>
            </w:tcBorders>
            <w:shd w:val="clear" w:color="auto" w:fill="3E5C7C"/>
          </w:tcPr>
          <w:p>
            <w:pPr>
              <w:spacing w:after="0"/>
              <w:rPr>
                <w:sz w:val="24"/>
                <w:szCs w:val="24"/>
                <w:color w:val="auto"/>
              </w:rPr>
            </w:pPr>
          </w:p>
        </w:tc>
        <w:tc>
          <w:tcPr>
            <w:tcW w:w="2780" w:type="dxa"/>
            <w:vAlign w:val="bottom"/>
            <w:tcBorders>
              <w:bottom w:val="single" w:sz="8" w:color="3E5C7C"/>
            </w:tcBorders>
            <w:gridSpan w:val="2"/>
            <w:shd w:val="clear" w:color="auto" w:fill="3E5C7C"/>
          </w:tcPr>
          <w:p>
            <w:pPr>
              <w:jc w:val="right"/>
              <w:ind w:right="928"/>
              <w:spacing w:after="0"/>
              <w:rPr>
                <w:sz w:val="20"/>
                <w:szCs w:val="20"/>
                <w:color w:val="auto"/>
              </w:rPr>
            </w:pPr>
            <w:r>
              <w:rPr>
                <w:rFonts w:ascii="Arial" w:cs="Arial" w:eastAsia="Arial" w:hAnsi="Arial"/>
                <w:sz w:val="14"/>
                <w:szCs w:val="14"/>
                <w:b w:val="1"/>
                <w:bCs w:val="1"/>
                <w:color w:val="FFFFFF"/>
              </w:rPr>
              <w:t>Committees</w:t>
            </w:r>
          </w:p>
        </w:tc>
        <w:tc>
          <w:tcPr>
            <w:tcW w:w="1360" w:type="dxa"/>
            <w:vAlign w:val="bottom"/>
            <w:tcBorders>
              <w:bottom w:val="single" w:sz="8" w:color="3E5C7C"/>
            </w:tcBorders>
            <w:shd w:val="clear" w:color="auto" w:fill="3E5C7C"/>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3"/>
        </w:trPr>
        <w:tc>
          <w:tcPr>
            <w:tcW w:w="2040" w:type="dxa"/>
            <w:vAlign w:val="bottom"/>
            <w:shd w:val="clear" w:color="auto" w:fill="98BDE2"/>
          </w:tcPr>
          <w:p>
            <w:pPr>
              <w:spacing w:after="0"/>
              <w:rPr>
                <w:sz w:val="16"/>
                <w:szCs w:val="16"/>
                <w:color w:val="auto"/>
              </w:rPr>
            </w:pPr>
          </w:p>
        </w:tc>
        <w:tc>
          <w:tcPr>
            <w:tcW w:w="1380" w:type="dxa"/>
            <w:vAlign w:val="bottom"/>
            <w:shd w:val="clear" w:color="auto" w:fill="98BDE2"/>
          </w:tcPr>
          <w:p>
            <w:pPr>
              <w:spacing w:after="0"/>
              <w:rPr>
                <w:sz w:val="16"/>
                <w:szCs w:val="16"/>
                <w:color w:val="auto"/>
              </w:rPr>
            </w:pPr>
          </w:p>
        </w:tc>
        <w:tc>
          <w:tcPr>
            <w:tcW w:w="1420" w:type="dxa"/>
            <w:vAlign w:val="bottom"/>
            <w:shd w:val="clear" w:color="auto" w:fill="98BDE2"/>
          </w:tcPr>
          <w:p>
            <w:pPr>
              <w:spacing w:after="0"/>
              <w:rPr>
                <w:sz w:val="16"/>
                <w:szCs w:val="16"/>
                <w:color w:val="auto"/>
              </w:rPr>
            </w:pPr>
          </w:p>
        </w:tc>
        <w:tc>
          <w:tcPr>
            <w:tcW w:w="1400" w:type="dxa"/>
            <w:vAlign w:val="bottom"/>
            <w:shd w:val="clear" w:color="auto" w:fill="98BDE2"/>
          </w:tcPr>
          <w:p>
            <w:pPr>
              <w:spacing w:after="0"/>
              <w:rPr>
                <w:sz w:val="16"/>
                <w:szCs w:val="16"/>
                <w:color w:val="auto"/>
              </w:rPr>
            </w:pPr>
          </w:p>
        </w:tc>
        <w:tc>
          <w:tcPr>
            <w:tcW w:w="13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Nominating &amp;</w:t>
            </w:r>
          </w:p>
        </w:tc>
        <w:tc>
          <w:tcPr>
            <w:tcW w:w="1360" w:type="dxa"/>
            <w:vAlign w:val="bottom"/>
            <w:shd w:val="clear" w:color="auto" w:fill="98BDE2"/>
          </w:tcPr>
          <w:p>
            <w:pPr>
              <w:spacing w:after="0"/>
              <w:rPr>
                <w:sz w:val="16"/>
                <w:szCs w:val="16"/>
                <w:color w:val="auto"/>
              </w:rPr>
            </w:pPr>
          </w:p>
        </w:tc>
        <w:tc>
          <w:tcPr>
            <w:tcW w:w="1400" w:type="dxa"/>
            <w:vAlign w:val="bottom"/>
            <w:shd w:val="clear" w:color="auto" w:fill="98BDE2"/>
          </w:tcPr>
          <w:p>
            <w:pPr>
              <w:spacing w:after="0"/>
              <w:rPr>
                <w:sz w:val="16"/>
                <w:szCs w:val="16"/>
                <w:color w:val="auto"/>
              </w:rPr>
            </w:pPr>
          </w:p>
        </w:tc>
        <w:tc>
          <w:tcPr>
            <w:tcW w:w="80" w:type="dxa"/>
            <w:vAlign w:val="bottom"/>
            <w:shd w:val="clear" w:color="auto" w:fill="98BDE2"/>
          </w:tcPr>
          <w:p>
            <w:pPr>
              <w:spacing w:after="0"/>
              <w:rPr>
                <w:sz w:val="16"/>
                <w:szCs w:val="16"/>
                <w:color w:val="auto"/>
              </w:rPr>
            </w:pPr>
          </w:p>
        </w:tc>
      </w:tr>
      <w:tr>
        <w:trPr>
          <w:trHeight w:val="162"/>
        </w:trPr>
        <w:tc>
          <w:tcPr>
            <w:tcW w:w="2040" w:type="dxa"/>
            <w:vAlign w:val="bottom"/>
            <w:shd w:val="clear" w:color="auto" w:fill="98BDE2"/>
          </w:tcPr>
          <w:p>
            <w:pPr>
              <w:spacing w:after="0"/>
              <w:rPr>
                <w:sz w:val="14"/>
                <w:szCs w:val="14"/>
                <w:color w:val="auto"/>
              </w:rPr>
            </w:pPr>
          </w:p>
        </w:tc>
        <w:tc>
          <w:tcPr>
            <w:tcW w:w="13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Board of Directors</w:t>
            </w:r>
          </w:p>
        </w:tc>
        <w:tc>
          <w:tcPr>
            <w:tcW w:w="14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Audit Committee</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Compensation</w:t>
            </w:r>
          </w:p>
        </w:tc>
        <w:tc>
          <w:tcPr>
            <w:tcW w:w="13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Governance</w:t>
            </w:r>
          </w:p>
        </w:tc>
        <w:tc>
          <w:tcPr>
            <w:tcW w:w="13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Executive</w:t>
            </w:r>
          </w:p>
        </w:tc>
        <w:tc>
          <w:tcPr>
            <w:tcW w:w="1400" w:type="dxa"/>
            <w:vAlign w:val="bottom"/>
            <w:shd w:val="clear" w:color="auto" w:fill="98BDE2"/>
          </w:tcPr>
          <w:p>
            <w:pPr>
              <w:spacing w:after="0"/>
              <w:rPr>
                <w:sz w:val="14"/>
                <w:szCs w:val="14"/>
                <w:color w:val="auto"/>
              </w:rPr>
            </w:pPr>
          </w:p>
        </w:tc>
        <w:tc>
          <w:tcPr>
            <w:tcW w:w="80" w:type="dxa"/>
            <w:vAlign w:val="bottom"/>
            <w:shd w:val="clear" w:color="auto" w:fill="98BDE2"/>
          </w:tcPr>
          <w:p>
            <w:pPr>
              <w:spacing w:after="0"/>
              <w:rPr>
                <w:sz w:val="14"/>
                <w:szCs w:val="14"/>
                <w:color w:val="auto"/>
              </w:rPr>
            </w:pPr>
          </w:p>
        </w:tc>
      </w:tr>
      <w:tr>
        <w:trPr>
          <w:trHeight w:val="175"/>
        </w:trPr>
        <w:tc>
          <w:tcPr>
            <w:tcW w:w="2040" w:type="dxa"/>
            <w:vAlign w:val="bottom"/>
            <w:shd w:val="clear" w:color="auto" w:fill="98BDE2"/>
          </w:tcPr>
          <w:p>
            <w:pPr>
              <w:spacing w:after="0"/>
              <w:rPr>
                <w:sz w:val="15"/>
                <w:szCs w:val="15"/>
                <w:color w:val="auto"/>
              </w:rPr>
            </w:pPr>
          </w:p>
        </w:tc>
        <w:tc>
          <w:tcPr>
            <w:tcW w:w="13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Board Service</w:t>
            </w:r>
          </w:p>
        </w:tc>
        <w:tc>
          <w:tcPr>
            <w:tcW w:w="14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Service</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Committee Service</w:t>
            </w:r>
          </w:p>
        </w:tc>
        <w:tc>
          <w:tcPr>
            <w:tcW w:w="13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Committee Service</w:t>
            </w:r>
          </w:p>
        </w:tc>
        <w:tc>
          <w:tcPr>
            <w:tcW w:w="13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Committee Service</w:t>
            </w:r>
          </w:p>
        </w:tc>
        <w:tc>
          <w:tcPr>
            <w:tcW w:w="1480" w:type="dxa"/>
            <w:vAlign w:val="bottom"/>
            <w:gridSpan w:val="2"/>
            <w:shd w:val="clear" w:color="auto" w:fill="98BDE2"/>
          </w:tcPr>
          <w:p>
            <w:pPr>
              <w:ind w:left="1040"/>
              <w:spacing w:after="0"/>
              <w:rPr>
                <w:sz w:val="20"/>
                <w:szCs w:val="20"/>
                <w:color w:val="auto"/>
              </w:rPr>
            </w:pPr>
            <w:r>
              <w:rPr>
                <w:rFonts w:ascii="Arial" w:cs="Arial" w:eastAsia="Arial" w:hAnsi="Arial"/>
                <w:sz w:val="14"/>
                <w:szCs w:val="14"/>
                <w:b w:val="1"/>
                <w:bCs w:val="1"/>
                <w:color w:val="032E5C"/>
              </w:rPr>
              <w:t>Total</w:t>
            </w:r>
          </w:p>
        </w:tc>
      </w:tr>
      <w:tr>
        <w:trPr>
          <w:trHeight w:val="196"/>
        </w:trPr>
        <w:tc>
          <w:tcPr>
            <w:tcW w:w="204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13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4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3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3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80" w:type="dxa"/>
            <w:vAlign w:val="bottom"/>
            <w:shd w:val="clear" w:color="auto" w:fill="98BDE2"/>
          </w:tcPr>
          <w:p>
            <w:pPr>
              <w:spacing w:after="0"/>
              <w:rPr>
                <w:sz w:val="17"/>
                <w:szCs w:val="17"/>
                <w:color w:val="auto"/>
              </w:rPr>
            </w:pPr>
          </w:p>
        </w:tc>
      </w:tr>
      <w:tr>
        <w:trPr>
          <w:trHeight w:val="69"/>
        </w:trPr>
        <w:tc>
          <w:tcPr>
            <w:tcW w:w="2040" w:type="dxa"/>
            <w:vAlign w:val="bottom"/>
            <w:shd w:val="clear" w:color="auto" w:fill="98BDE2"/>
          </w:tcPr>
          <w:p>
            <w:pPr>
              <w:spacing w:after="0"/>
              <w:rPr>
                <w:sz w:val="6"/>
                <w:szCs w:val="6"/>
                <w:color w:val="auto"/>
              </w:rPr>
            </w:pPr>
          </w:p>
        </w:tc>
        <w:tc>
          <w:tcPr>
            <w:tcW w:w="1380" w:type="dxa"/>
            <w:vAlign w:val="bottom"/>
            <w:shd w:val="clear" w:color="auto" w:fill="98BDE2"/>
          </w:tcPr>
          <w:p>
            <w:pPr>
              <w:spacing w:after="0"/>
              <w:rPr>
                <w:sz w:val="6"/>
                <w:szCs w:val="6"/>
                <w:color w:val="auto"/>
              </w:rPr>
            </w:pPr>
          </w:p>
        </w:tc>
        <w:tc>
          <w:tcPr>
            <w:tcW w:w="1420" w:type="dxa"/>
            <w:vAlign w:val="bottom"/>
            <w:shd w:val="clear" w:color="auto" w:fill="98BDE2"/>
          </w:tcPr>
          <w:p>
            <w:pPr>
              <w:spacing w:after="0"/>
              <w:rPr>
                <w:sz w:val="6"/>
                <w:szCs w:val="6"/>
                <w:color w:val="auto"/>
              </w:rPr>
            </w:pPr>
          </w:p>
        </w:tc>
        <w:tc>
          <w:tcPr>
            <w:tcW w:w="1400" w:type="dxa"/>
            <w:vAlign w:val="bottom"/>
            <w:shd w:val="clear" w:color="auto" w:fill="98BDE2"/>
          </w:tcPr>
          <w:p>
            <w:pPr>
              <w:spacing w:after="0"/>
              <w:rPr>
                <w:sz w:val="6"/>
                <w:szCs w:val="6"/>
                <w:color w:val="auto"/>
              </w:rPr>
            </w:pPr>
          </w:p>
        </w:tc>
        <w:tc>
          <w:tcPr>
            <w:tcW w:w="1380" w:type="dxa"/>
            <w:vAlign w:val="bottom"/>
            <w:shd w:val="clear" w:color="auto" w:fill="98BDE2"/>
          </w:tcPr>
          <w:p>
            <w:pPr>
              <w:spacing w:after="0"/>
              <w:rPr>
                <w:sz w:val="6"/>
                <w:szCs w:val="6"/>
                <w:color w:val="auto"/>
              </w:rPr>
            </w:pPr>
          </w:p>
        </w:tc>
        <w:tc>
          <w:tcPr>
            <w:tcW w:w="1360" w:type="dxa"/>
            <w:vAlign w:val="bottom"/>
            <w:shd w:val="clear" w:color="auto" w:fill="98BDE2"/>
          </w:tcPr>
          <w:p>
            <w:pPr>
              <w:spacing w:after="0"/>
              <w:rPr>
                <w:sz w:val="6"/>
                <w:szCs w:val="6"/>
                <w:color w:val="auto"/>
              </w:rPr>
            </w:pPr>
          </w:p>
        </w:tc>
        <w:tc>
          <w:tcPr>
            <w:tcW w:w="1400" w:type="dxa"/>
            <w:vAlign w:val="bottom"/>
            <w:shd w:val="clear" w:color="auto" w:fill="98BDE2"/>
          </w:tcPr>
          <w:p>
            <w:pPr>
              <w:spacing w:after="0"/>
              <w:rPr>
                <w:sz w:val="6"/>
                <w:szCs w:val="6"/>
                <w:color w:val="auto"/>
              </w:rPr>
            </w:pPr>
          </w:p>
        </w:tc>
        <w:tc>
          <w:tcPr>
            <w:tcW w:w="80" w:type="dxa"/>
            <w:vAlign w:val="bottom"/>
            <w:shd w:val="clear" w:color="auto" w:fill="98BDE2"/>
          </w:tcPr>
          <w:p>
            <w:pPr>
              <w:spacing w:after="0"/>
              <w:rPr>
                <w:sz w:val="6"/>
                <w:szCs w:val="6"/>
                <w:color w:val="auto"/>
              </w:rPr>
            </w:pPr>
          </w:p>
        </w:tc>
      </w:tr>
      <w:tr>
        <w:trPr>
          <w:trHeight w:val="223"/>
        </w:trPr>
        <w:tc>
          <w:tcPr>
            <w:tcW w:w="20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Reginald Chambers</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33,314</w:t>
            </w:r>
          </w:p>
        </w:tc>
        <w:tc>
          <w:tcPr>
            <w:tcW w:w="14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6,859</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3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40,173</w:t>
            </w:r>
          </w:p>
        </w:tc>
        <w:tc>
          <w:tcPr>
            <w:tcW w:w="80" w:type="dxa"/>
            <w:vAlign w:val="bottom"/>
          </w:tcPr>
          <w:p>
            <w:pPr>
              <w:spacing w:after="0"/>
              <w:rPr>
                <w:sz w:val="19"/>
                <w:szCs w:val="19"/>
                <w:color w:val="auto"/>
              </w:rPr>
            </w:pPr>
          </w:p>
        </w:tc>
      </w:tr>
      <w:tr>
        <w:trPr>
          <w:trHeight w:val="223"/>
        </w:trPr>
        <w:tc>
          <w:tcPr>
            <w:tcW w:w="20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Susan L. Decker</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83,451</w:t>
            </w:r>
          </w:p>
        </w:tc>
        <w:tc>
          <w:tcPr>
            <w:tcW w:w="14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12,113</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3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95,564</w:t>
            </w:r>
          </w:p>
        </w:tc>
        <w:tc>
          <w:tcPr>
            <w:tcW w:w="80" w:type="dxa"/>
            <w:vAlign w:val="bottom"/>
            <w:tcBorders>
              <w:bottom w:val="single" w:sz="8" w:color="98BDE2"/>
            </w:tcBorders>
          </w:tcPr>
          <w:p>
            <w:pPr>
              <w:spacing w:after="0"/>
              <w:rPr>
                <w:sz w:val="19"/>
                <w:szCs w:val="19"/>
                <w:color w:val="auto"/>
              </w:rPr>
            </w:pPr>
          </w:p>
        </w:tc>
      </w:tr>
      <w:tr>
        <w:trPr>
          <w:trHeight w:val="223"/>
        </w:trPr>
        <w:tc>
          <w:tcPr>
            <w:tcW w:w="20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Iris Knobloch</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42,188</w:t>
            </w:r>
          </w:p>
        </w:tc>
        <w:tc>
          <w:tcPr>
            <w:tcW w:w="14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5,037</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3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47,225</w:t>
            </w:r>
          </w:p>
        </w:tc>
        <w:tc>
          <w:tcPr>
            <w:tcW w:w="80" w:type="dxa"/>
            <w:vAlign w:val="bottom"/>
            <w:tcBorders>
              <w:bottom w:val="single" w:sz="8" w:color="98BDE2"/>
            </w:tcBorders>
          </w:tcPr>
          <w:p>
            <w:pPr>
              <w:spacing w:after="0"/>
              <w:rPr>
                <w:sz w:val="19"/>
                <w:szCs w:val="19"/>
                <w:color w:val="auto"/>
              </w:rPr>
            </w:pPr>
          </w:p>
        </w:tc>
      </w:tr>
      <w:tr>
        <w:trPr>
          <w:trHeight w:val="223"/>
        </w:trPr>
        <w:tc>
          <w:tcPr>
            <w:tcW w:w="20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Nadia N. Rawlinson</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83,451</w:t>
            </w:r>
          </w:p>
        </w:tc>
        <w:tc>
          <w:tcPr>
            <w:tcW w:w="14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24,226</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3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107,677</w:t>
            </w:r>
          </w:p>
        </w:tc>
        <w:tc>
          <w:tcPr>
            <w:tcW w:w="80" w:type="dxa"/>
            <w:vAlign w:val="bottom"/>
            <w:tcBorders>
              <w:bottom w:val="single" w:sz="8" w:color="98BDE2"/>
            </w:tcBorders>
          </w:tcPr>
          <w:p>
            <w:pPr>
              <w:spacing w:after="0"/>
              <w:rPr>
                <w:sz w:val="19"/>
                <w:szCs w:val="19"/>
                <w:color w:val="auto"/>
              </w:rPr>
            </w:pPr>
          </w:p>
        </w:tc>
      </w:tr>
      <w:tr>
        <w:trPr>
          <w:trHeight w:val="223"/>
        </w:trPr>
        <w:tc>
          <w:tcPr>
            <w:tcW w:w="20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John Redmond</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83,451</w:t>
            </w:r>
          </w:p>
        </w:tc>
        <w:tc>
          <w:tcPr>
            <w:tcW w:w="14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17,113</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3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100,564</w:t>
            </w:r>
          </w:p>
        </w:tc>
        <w:tc>
          <w:tcPr>
            <w:tcW w:w="80" w:type="dxa"/>
            <w:vAlign w:val="bottom"/>
            <w:tcBorders>
              <w:bottom w:val="single" w:sz="8" w:color="98BDE2"/>
            </w:tcBorders>
          </w:tcPr>
          <w:p>
            <w:pPr>
              <w:spacing w:after="0"/>
              <w:rPr>
                <w:sz w:val="19"/>
                <w:szCs w:val="19"/>
                <w:color w:val="auto"/>
              </w:rPr>
            </w:pPr>
          </w:p>
        </w:tc>
      </w:tr>
      <w:tr>
        <w:trPr>
          <w:trHeight w:val="223"/>
        </w:trPr>
        <w:tc>
          <w:tcPr>
            <w:tcW w:w="20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Michele Romanow</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83,451</w:t>
            </w:r>
          </w:p>
        </w:tc>
        <w:tc>
          <w:tcPr>
            <w:tcW w:w="14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12,113</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3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95,564</w:t>
            </w:r>
          </w:p>
        </w:tc>
        <w:tc>
          <w:tcPr>
            <w:tcW w:w="80" w:type="dxa"/>
            <w:vAlign w:val="bottom"/>
            <w:tcBorders>
              <w:bottom w:val="single" w:sz="8" w:color="98BDE2"/>
            </w:tcBorders>
          </w:tcPr>
          <w:p>
            <w:pPr>
              <w:spacing w:after="0"/>
              <w:rPr>
                <w:sz w:val="19"/>
                <w:szCs w:val="19"/>
                <w:color w:val="auto"/>
              </w:rPr>
            </w:pPr>
          </w:p>
        </w:tc>
      </w:tr>
      <w:tr>
        <w:trPr>
          <w:trHeight w:val="223"/>
        </w:trPr>
        <w:tc>
          <w:tcPr>
            <w:tcW w:w="20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Hilary Schneider</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83,451</w:t>
            </w:r>
          </w:p>
        </w:tc>
        <w:tc>
          <w:tcPr>
            <w:tcW w:w="14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12,113</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3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95,564</w:t>
            </w:r>
          </w:p>
        </w:tc>
        <w:tc>
          <w:tcPr>
            <w:tcW w:w="80" w:type="dxa"/>
            <w:vAlign w:val="bottom"/>
            <w:tcBorders>
              <w:bottom w:val="single" w:sz="8" w:color="98BDE2"/>
            </w:tcBorders>
          </w:tcPr>
          <w:p>
            <w:pPr>
              <w:spacing w:after="0"/>
              <w:rPr>
                <w:sz w:val="19"/>
                <w:szCs w:val="19"/>
                <w:color w:val="auto"/>
              </w:rPr>
            </w:pPr>
          </w:p>
        </w:tc>
      </w:tr>
      <w:tr>
        <w:trPr>
          <w:trHeight w:val="223"/>
        </w:trPr>
        <w:tc>
          <w:tcPr>
            <w:tcW w:w="20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 Bruce Sewell</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123,451</w:t>
            </w:r>
          </w:p>
        </w:tc>
        <w:tc>
          <w:tcPr>
            <w:tcW w:w="14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17,113</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15,196</w:t>
            </w:r>
          </w:p>
        </w:tc>
        <w:tc>
          <w:tcPr>
            <w:tcW w:w="13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10,000</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165,760</w:t>
            </w:r>
          </w:p>
        </w:tc>
        <w:tc>
          <w:tcPr>
            <w:tcW w:w="80" w:type="dxa"/>
            <w:vAlign w:val="bottom"/>
            <w:tcBorders>
              <w:bottom w:val="single" w:sz="8" w:color="98BDE2"/>
            </w:tcBorders>
          </w:tcPr>
          <w:p>
            <w:pPr>
              <w:spacing w:after="0"/>
              <w:rPr>
                <w:sz w:val="19"/>
                <w:szCs w:val="19"/>
                <w:color w:val="auto"/>
              </w:rPr>
            </w:pPr>
          </w:p>
        </w:tc>
      </w:tr>
      <w:tr>
        <w:trPr>
          <w:trHeight w:val="223"/>
        </w:trPr>
        <w:tc>
          <w:tcPr>
            <w:tcW w:w="20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John F. Sorte</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83,451</w:t>
            </w:r>
          </w:p>
        </w:tc>
        <w:tc>
          <w:tcPr>
            <w:tcW w:w="14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33,451</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3,961</w:t>
            </w:r>
          </w:p>
        </w:tc>
        <w:tc>
          <w:tcPr>
            <w:tcW w:w="138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10,000</w:t>
            </w:r>
          </w:p>
        </w:tc>
        <w:tc>
          <w:tcPr>
            <w:tcW w:w="13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10,000</w:t>
            </w:r>
          </w:p>
        </w:tc>
        <w:tc>
          <w:tcPr>
            <w:tcW w:w="14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140,863</w:t>
            </w:r>
          </w:p>
        </w:tc>
        <w:tc>
          <w:tcPr>
            <w:tcW w:w="80" w:type="dxa"/>
            <w:vAlign w:val="bottom"/>
            <w:tcBorders>
              <w:bottom w:val="single" w:sz="8" w:color="98BDE2"/>
            </w:tcBorders>
          </w:tcPr>
          <w:p>
            <w:pPr>
              <w:spacing w:after="0"/>
              <w:rPr>
                <w:sz w:val="19"/>
                <w:szCs w:val="19"/>
                <w:color w:val="auto"/>
              </w:rPr>
            </w:pPr>
          </w:p>
        </w:tc>
      </w:tr>
      <w:tr>
        <w:trPr>
          <w:trHeight w:val="236"/>
        </w:trPr>
        <w:tc>
          <w:tcPr>
            <w:tcW w:w="2040" w:type="dxa"/>
            <w:vAlign w:val="bottom"/>
            <w:tcBorders>
              <w:bottom w:val="single" w:sz="8" w:color="3E5C7C"/>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Peter A. Vaughn</w:t>
            </w:r>
          </w:p>
        </w:tc>
        <w:tc>
          <w:tcPr>
            <w:tcW w:w="138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83,451</w:t>
            </w:r>
          </w:p>
        </w:tc>
        <w:tc>
          <w:tcPr>
            <w:tcW w:w="142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17,113</w:t>
            </w:r>
          </w:p>
        </w:tc>
        <w:tc>
          <w:tcPr>
            <w:tcW w:w="140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w:t>
            </w:r>
          </w:p>
        </w:tc>
        <w:tc>
          <w:tcPr>
            <w:tcW w:w="138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14,029</w:t>
            </w:r>
          </w:p>
        </w:tc>
        <w:tc>
          <w:tcPr>
            <w:tcW w:w="136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w:t>
            </w:r>
          </w:p>
        </w:tc>
        <w:tc>
          <w:tcPr>
            <w:tcW w:w="140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114,593</w:t>
            </w:r>
          </w:p>
        </w:tc>
        <w:tc>
          <w:tcPr>
            <w:tcW w:w="80" w:type="dxa"/>
            <w:vAlign w:val="bottom"/>
            <w:tcBorders>
              <w:bottom w:val="single" w:sz="8" w:color="3E5C7C"/>
            </w:tcBorders>
          </w:tcPr>
          <w:p>
            <w:pPr>
              <w:spacing w:after="0"/>
              <w:rPr>
                <w:sz w:val="20"/>
                <w:szCs w:val="20"/>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39</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0"/>
        </w:trPr>
        <w:tc>
          <w:tcPr>
            <w:tcW w:w="2120" w:type="dxa"/>
            <w:vAlign w:val="bottom"/>
            <w:vMerge w:val="restart"/>
            <w:shd w:val="clear" w:color="auto" w:fill="98BDE2"/>
          </w:tcPr>
          <w:p>
            <w:pPr>
              <w:ind w:left="200"/>
              <w:spacing w:after="0"/>
              <w:rPr>
                <w:sz w:val="20"/>
                <w:szCs w:val="20"/>
                <w:color w:val="auto"/>
              </w:rPr>
            </w:pPr>
            <w:r>
              <w:rPr>
                <w:rFonts w:ascii="Arial" w:cs="Arial" w:eastAsia="Arial" w:hAnsi="Arial"/>
                <w:sz w:val="13"/>
                <w:szCs w:val="13"/>
                <w:b w:val="1"/>
                <w:bCs w:val="1"/>
                <w:color w:val="032E5C"/>
              </w:rPr>
              <w:t>DIRECTOR COMPENSATION</w:t>
            </w:r>
          </w:p>
        </w:tc>
        <w:tc>
          <w:tcPr>
            <w:tcW w:w="9100" w:type="dxa"/>
            <w:vAlign w:val="bottom"/>
          </w:tcPr>
          <w:p>
            <w:pPr>
              <w:ind w:left="798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120" w:type="dxa"/>
            <w:vAlign w:val="bottom"/>
            <w:vMerge w:val="continue"/>
            <w:shd w:val="clear" w:color="auto" w:fill="98BDE2"/>
          </w:tcPr>
          <w:p>
            <w:pPr>
              <w:spacing w:after="0"/>
              <w:rPr>
                <w:sz w:val="4"/>
                <w:szCs w:val="4"/>
                <w:color w:val="auto"/>
              </w:rPr>
            </w:pPr>
          </w:p>
        </w:tc>
        <w:tc>
          <w:tcPr>
            <w:tcW w:w="9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120" w:type="dxa"/>
            <w:vAlign w:val="bottom"/>
            <w:shd w:val="clear" w:color="auto" w:fill="98BDE2"/>
          </w:tcPr>
          <w:p>
            <w:pPr>
              <w:spacing w:after="0"/>
              <w:rPr>
                <w:sz w:val="10"/>
                <w:szCs w:val="10"/>
                <w:color w:val="auto"/>
              </w:rPr>
            </w:pPr>
          </w:p>
        </w:tc>
        <w:tc>
          <w:tcPr>
            <w:tcW w:w="9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hanging="332"/>
        <w:spacing w:after="0" w:line="305" w:lineRule="auto"/>
        <w:tabs>
          <w:tab w:leader="none" w:pos="340" w:val="left"/>
        </w:tabs>
        <w:numPr>
          <w:ilvl w:val="0"/>
          <w:numId w:val="25"/>
        </w:numPr>
        <w:rPr>
          <w:rFonts w:ascii="Arial" w:cs="Arial" w:eastAsia="Arial" w:hAnsi="Arial"/>
          <w:sz w:val="14"/>
          <w:szCs w:val="14"/>
          <w:color w:val="29292B"/>
        </w:rPr>
      </w:pPr>
      <w:r>
        <w:rPr>
          <w:rFonts w:ascii="Arial" w:cs="Arial" w:eastAsia="Arial" w:hAnsi="Arial"/>
          <w:sz w:val="14"/>
          <w:szCs w:val="14"/>
          <w:color w:val="29292B"/>
        </w:rPr>
        <w:t>The amounts in this column represent the aggregate grant date fair value of RSUs granted during fiscal 2024 computed in accordance with Financial Accounting Standards Board (“FASB”) Accounting Standards Codification (“ASC”) Topic 718.</w:t>
      </w:r>
    </w:p>
    <w:p>
      <w:pPr>
        <w:spacing w:after="0" w:line="36" w:lineRule="exact"/>
        <w:rPr>
          <w:rFonts w:ascii="Arial" w:cs="Arial" w:eastAsia="Arial" w:hAnsi="Arial"/>
          <w:sz w:val="14"/>
          <w:szCs w:val="14"/>
          <w:color w:val="29292B"/>
        </w:rPr>
      </w:pPr>
    </w:p>
    <w:p>
      <w:pPr>
        <w:ind w:left="340" w:hanging="332"/>
        <w:spacing w:after="0"/>
        <w:tabs>
          <w:tab w:leader="none" w:pos="340" w:val="left"/>
        </w:tabs>
        <w:numPr>
          <w:ilvl w:val="0"/>
          <w:numId w:val="25"/>
        </w:numPr>
        <w:rPr>
          <w:rFonts w:ascii="Arial" w:cs="Arial" w:eastAsia="Arial" w:hAnsi="Arial"/>
          <w:sz w:val="14"/>
          <w:szCs w:val="14"/>
          <w:color w:val="29292B"/>
        </w:rPr>
      </w:pPr>
      <w:r>
        <w:rPr>
          <w:rFonts w:ascii="Arial" w:cs="Arial" w:eastAsia="Arial" w:hAnsi="Arial"/>
          <w:sz w:val="14"/>
          <w:szCs w:val="14"/>
          <w:color w:val="29292B"/>
        </w:rPr>
        <w:t>All other compensation for fiscal 2024 includes the following</w:t>
      </w:r>
      <w:r>
        <w:rPr>
          <w:rFonts w:ascii="Times New Roman" w:cs="Times New Roman" w:eastAsia="Times New Roman" w:hAnsi="Times New Roman"/>
          <w:sz w:val="14"/>
          <w:szCs w:val="14"/>
          <w:color w:val="000000"/>
        </w:rPr>
        <w:t>:</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3320" w:type="dxa"/>
            <w:vAlign w:val="bottom"/>
            <w:shd w:val="clear" w:color="auto" w:fill="98BDE2"/>
          </w:tcPr>
          <w:p>
            <w:pPr>
              <w:spacing w:after="0"/>
              <w:rPr>
                <w:sz w:val="16"/>
                <w:szCs w:val="16"/>
                <w:color w:val="auto"/>
              </w:rPr>
            </w:pPr>
          </w:p>
        </w:tc>
        <w:tc>
          <w:tcPr>
            <w:tcW w:w="2740" w:type="dxa"/>
            <w:vAlign w:val="bottom"/>
            <w:shd w:val="clear" w:color="auto" w:fill="98BDE2"/>
          </w:tcPr>
          <w:p>
            <w:pPr>
              <w:spacing w:after="0"/>
              <w:rPr>
                <w:sz w:val="16"/>
                <w:szCs w:val="16"/>
                <w:color w:val="auto"/>
              </w:rPr>
            </w:pPr>
          </w:p>
        </w:tc>
        <w:tc>
          <w:tcPr>
            <w:tcW w:w="3420" w:type="dxa"/>
            <w:vAlign w:val="bottom"/>
            <w:shd w:val="clear" w:color="auto" w:fill="98BDE2"/>
          </w:tcPr>
          <w:p>
            <w:pPr>
              <w:jc w:val="right"/>
              <w:ind w:right="408"/>
              <w:spacing w:after="0"/>
              <w:rPr>
                <w:sz w:val="20"/>
                <w:szCs w:val="20"/>
                <w:color w:val="auto"/>
              </w:rPr>
            </w:pPr>
            <w:r>
              <w:rPr>
                <w:rFonts w:ascii="Arial" w:cs="Arial" w:eastAsia="Arial" w:hAnsi="Arial"/>
                <w:sz w:val="14"/>
                <w:szCs w:val="14"/>
                <w:b w:val="1"/>
                <w:bCs w:val="1"/>
                <w:color w:val="032E5C"/>
              </w:rPr>
              <w:t>Company-paid Lodging, Ski School</w:t>
            </w:r>
          </w:p>
        </w:tc>
        <w:tc>
          <w:tcPr>
            <w:tcW w:w="940" w:type="dxa"/>
            <w:vAlign w:val="bottom"/>
            <w:shd w:val="clear" w:color="auto" w:fill="98BDE2"/>
          </w:tcPr>
          <w:p>
            <w:pPr>
              <w:spacing w:after="0"/>
              <w:rPr>
                <w:sz w:val="16"/>
                <w:szCs w:val="16"/>
                <w:color w:val="auto"/>
              </w:rPr>
            </w:pPr>
          </w:p>
        </w:tc>
        <w:tc>
          <w:tcPr>
            <w:tcW w:w="10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98BDE2"/>
          </w:tcPr>
          <w:p>
            <w:pPr>
              <w:spacing w:after="0"/>
              <w:rPr>
                <w:sz w:val="15"/>
                <w:szCs w:val="15"/>
                <w:color w:val="auto"/>
              </w:rPr>
            </w:pPr>
          </w:p>
        </w:tc>
        <w:tc>
          <w:tcPr>
            <w:tcW w:w="2740" w:type="dxa"/>
            <w:vAlign w:val="bottom"/>
            <w:vMerge w:val="restart"/>
            <w:shd w:val="clear" w:color="auto" w:fill="98BDE2"/>
          </w:tcPr>
          <w:p>
            <w:pPr>
              <w:jc w:val="right"/>
              <w:ind w:right="468"/>
              <w:spacing w:after="0"/>
              <w:rPr>
                <w:sz w:val="20"/>
                <w:szCs w:val="20"/>
                <w:color w:val="auto"/>
              </w:rPr>
            </w:pPr>
            <w:r>
              <w:rPr>
                <w:rFonts w:ascii="Arial" w:cs="Arial" w:eastAsia="Arial" w:hAnsi="Arial"/>
                <w:sz w:val="14"/>
                <w:szCs w:val="14"/>
                <w:b w:val="1"/>
                <w:bCs w:val="1"/>
                <w:color w:val="032E5C"/>
              </w:rPr>
              <w:t>Charitable Donations</w:t>
            </w:r>
          </w:p>
        </w:tc>
        <w:tc>
          <w:tcPr>
            <w:tcW w:w="3420" w:type="dxa"/>
            <w:vAlign w:val="bottom"/>
            <w:shd w:val="clear" w:color="auto" w:fill="98BDE2"/>
          </w:tcPr>
          <w:p>
            <w:pPr>
              <w:jc w:val="right"/>
              <w:ind w:right="408"/>
              <w:spacing w:after="0"/>
              <w:rPr>
                <w:sz w:val="20"/>
                <w:szCs w:val="20"/>
                <w:color w:val="auto"/>
              </w:rPr>
            </w:pPr>
            <w:r>
              <w:rPr>
                <w:rFonts w:ascii="Arial" w:cs="Arial" w:eastAsia="Arial" w:hAnsi="Arial"/>
                <w:sz w:val="14"/>
                <w:szCs w:val="14"/>
                <w:b w:val="1"/>
                <w:bCs w:val="1"/>
                <w:color w:val="032E5C"/>
              </w:rPr>
              <w:t>Privileges and Discretionary</w:t>
            </w:r>
          </w:p>
        </w:tc>
        <w:tc>
          <w:tcPr>
            <w:tcW w:w="1040" w:type="dxa"/>
            <w:vAlign w:val="bottom"/>
            <w:gridSpan w:val="2"/>
            <w:vMerge w:val="restart"/>
            <w:shd w:val="clear" w:color="auto" w:fill="98BDE2"/>
          </w:tcPr>
          <w:p>
            <w:pPr>
              <w:ind w:left="600"/>
              <w:spacing w:after="0"/>
              <w:rPr>
                <w:sz w:val="20"/>
                <w:szCs w:val="20"/>
                <w:color w:val="auto"/>
              </w:rPr>
            </w:pPr>
            <w:r>
              <w:rPr>
                <w:rFonts w:ascii="Arial" w:cs="Arial" w:eastAsia="Arial" w:hAnsi="Arial"/>
                <w:sz w:val="14"/>
                <w:szCs w:val="14"/>
                <w:b w:val="1"/>
                <w:bCs w:val="1"/>
                <w:color w:val="032E5C"/>
              </w:rPr>
              <w:t>Total</w:t>
            </w:r>
          </w:p>
        </w:tc>
        <w:tc>
          <w:tcPr>
            <w:tcW w:w="0" w:type="dxa"/>
            <w:vAlign w:val="bottom"/>
          </w:tcPr>
          <w:p>
            <w:pPr>
              <w:spacing w:after="0"/>
              <w:rPr>
                <w:sz w:val="1"/>
                <w:szCs w:val="1"/>
                <w:color w:val="auto"/>
              </w:rPr>
            </w:pPr>
          </w:p>
        </w:tc>
      </w:tr>
      <w:tr>
        <w:trPr>
          <w:trHeight w:val="160"/>
        </w:trPr>
        <w:tc>
          <w:tcPr>
            <w:tcW w:w="3320" w:type="dxa"/>
            <w:vAlign w:val="bottom"/>
            <w:shd w:val="clear" w:color="auto" w:fill="98BDE2"/>
          </w:tcPr>
          <w:p>
            <w:pPr>
              <w:spacing w:after="0"/>
              <w:rPr>
                <w:sz w:val="13"/>
                <w:szCs w:val="13"/>
                <w:color w:val="auto"/>
              </w:rPr>
            </w:pPr>
          </w:p>
        </w:tc>
        <w:tc>
          <w:tcPr>
            <w:tcW w:w="2740" w:type="dxa"/>
            <w:vAlign w:val="bottom"/>
            <w:vMerge w:val="continue"/>
            <w:shd w:val="clear" w:color="auto" w:fill="98BDE2"/>
          </w:tcPr>
          <w:p>
            <w:pPr>
              <w:spacing w:after="0"/>
              <w:rPr>
                <w:sz w:val="13"/>
                <w:szCs w:val="13"/>
                <w:color w:val="auto"/>
              </w:rPr>
            </w:pPr>
          </w:p>
        </w:tc>
        <w:tc>
          <w:tcPr>
            <w:tcW w:w="3420" w:type="dxa"/>
            <w:vAlign w:val="bottom"/>
            <w:shd w:val="clear" w:color="auto" w:fill="98BDE2"/>
          </w:tcPr>
          <w:p>
            <w:pPr>
              <w:jc w:val="right"/>
              <w:ind w:right="408"/>
              <w:spacing w:after="0" w:line="159" w:lineRule="exact"/>
              <w:rPr>
                <w:sz w:val="20"/>
                <w:szCs w:val="20"/>
                <w:color w:val="auto"/>
              </w:rPr>
            </w:pPr>
            <w:r>
              <w:rPr>
                <w:rFonts w:ascii="Arial" w:cs="Arial" w:eastAsia="Arial" w:hAnsi="Arial"/>
                <w:sz w:val="14"/>
                <w:szCs w:val="14"/>
                <w:b w:val="1"/>
                <w:bCs w:val="1"/>
                <w:color w:val="032E5C"/>
              </w:rPr>
              <w:t>Spending on Goods and Services</w:t>
            </w:r>
          </w:p>
        </w:tc>
        <w:tc>
          <w:tcPr>
            <w:tcW w:w="1040" w:type="dxa"/>
            <w:vAlign w:val="bottom"/>
            <w:gridSpan w:val="2"/>
            <w:vMerge w:val="continue"/>
            <w:shd w:val="clear" w:color="auto" w:fill="98BDE2"/>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2740" w:type="dxa"/>
            <w:vAlign w:val="bottom"/>
            <w:tcBorders>
              <w:bottom w:val="single" w:sz="8" w:color="98BDE2"/>
            </w:tcBorders>
            <w:shd w:val="clear" w:color="auto" w:fill="98BDE2"/>
          </w:tcPr>
          <w:p>
            <w:pPr>
              <w:jc w:val="right"/>
              <w:ind w:right="46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(a)</w:t>
            </w:r>
          </w:p>
        </w:tc>
        <w:tc>
          <w:tcPr>
            <w:tcW w:w="3420" w:type="dxa"/>
            <w:vAlign w:val="bottom"/>
            <w:tcBorders>
              <w:bottom w:val="single" w:sz="8" w:color="98BDE2"/>
            </w:tcBorders>
            <w:shd w:val="clear" w:color="auto" w:fill="98BDE2"/>
          </w:tcPr>
          <w:p>
            <w:pPr>
              <w:jc w:val="right"/>
              <w:ind w:right="40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(b)</w:t>
            </w:r>
          </w:p>
        </w:tc>
        <w:tc>
          <w:tcPr>
            <w:tcW w:w="94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00" w:type="dxa"/>
            <w:vAlign w:val="bottom"/>
            <w:tcBorders>
              <w:bottom w:val="single" w:sz="8" w:color="98BDE2"/>
            </w:tcBorders>
            <w:shd w:val="clear" w:color="auto" w:fill="98BDE2"/>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Reginald Chambers</w:t>
            </w:r>
          </w:p>
        </w:tc>
        <w:tc>
          <w:tcPr>
            <w:tcW w:w="27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w:t>
            </w:r>
          </w:p>
        </w:tc>
        <w:tc>
          <w:tcPr>
            <w:tcW w:w="3420" w:type="dxa"/>
            <w:vAlign w:val="bottom"/>
            <w:tcBorders>
              <w:bottom w:val="single" w:sz="8" w:color="98BDE2"/>
            </w:tcBorders>
          </w:tcPr>
          <w:p>
            <w:pPr>
              <w:jc w:val="right"/>
              <w:ind w:right="408"/>
              <w:spacing w:after="0"/>
              <w:rPr>
                <w:sz w:val="20"/>
                <w:szCs w:val="20"/>
                <w:color w:val="auto"/>
              </w:rPr>
            </w:pPr>
            <w:r>
              <w:rPr>
                <w:rFonts w:ascii="Arial" w:cs="Arial" w:eastAsia="Arial" w:hAnsi="Arial"/>
                <w:sz w:val="14"/>
                <w:szCs w:val="14"/>
                <w:color w:val="032E5C"/>
              </w:rPr>
              <w:t>—</w:t>
            </w:r>
          </w:p>
        </w:tc>
        <w:tc>
          <w:tcPr>
            <w:tcW w:w="9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Susan L. Decker</w:t>
            </w:r>
          </w:p>
        </w:tc>
        <w:tc>
          <w:tcPr>
            <w:tcW w:w="27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w:t>
            </w:r>
          </w:p>
        </w:tc>
        <w:tc>
          <w:tcPr>
            <w:tcW w:w="3420" w:type="dxa"/>
            <w:vAlign w:val="bottom"/>
            <w:tcBorders>
              <w:bottom w:val="single" w:sz="8" w:color="98BDE2"/>
            </w:tcBorders>
          </w:tcPr>
          <w:p>
            <w:pPr>
              <w:jc w:val="right"/>
              <w:ind w:right="408"/>
              <w:spacing w:after="0"/>
              <w:rPr>
                <w:sz w:val="20"/>
                <w:szCs w:val="20"/>
                <w:color w:val="auto"/>
              </w:rPr>
            </w:pPr>
            <w:r>
              <w:rPr>
                <w:rFonts w:ascii="Arial" w:cs="Arial" w:eastAsia="Arial" w:hAnsi="Arial"/>
                <w:sz w:val="14"/>
                <w:szCs w:val="14"/>
                <w:color w:val="032E5C"/>
              </w:rPr>
              <w:t>—</w:t>
            </w:r>
          </w:p>
        </w:tc>
        <w:tc>
          <w:tcPr>
            <w:tcW w:w="1040" w:type="dxa"/>
            <w:vAlign w:val="bottom"/>
            <w:tcBorders>
              <w:bottom w:val="single" w:sz="8" w:color="98BDE2"/>
            </w:tcBorders>
            <w:gridSpan w:val="2"/>
          </w:tcPr>
          <w:p>
            <w:pPr>
              <w:jc w:val="right"/>
              <w:ind w:right="120"/>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Iris Knobloch</w:t>
            </w:r>
          </w:p>
        </w:tc>
        <w:tc>
          <w:tcPr>
            <w:tcW w:w="27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w:t>
            </w:r>
          </w:p>
        </w:tc>
        <w:tc>
          <w:tcPr>
            <w:tcW w:w="3420" w:type="dxa"/>
            <w:vAlign w:val="bottom"/>
            <w:tcBorders>
              <w:bottom w:val="single" w:sz="8" w:color="98BDE2"/>
            </w:tcBorders>
          </w:tcPr>
          <w:p>
            <w:pPr>
              <w:jc w:val="right"/>
              <w:ind w:right="408"/>
              <w:spacing w:after="0"/>
              <w:rPr>
                <w:sz w:val="20"/>
                <w:szCs w:val="20"/>
                <w:color w:val="auto"/>
              </w:rPr>
            </w:pPr>
            <w:r>
              <w:rPr>
                <w:rFonts w:ascii="Arial" w:cs="Arial" w:eastAsia="Arial" w:hAnsi="Arial"/>
                <w:sz w:val="14"/>
                <w:szCs w:val="14"/>
                <w:color w:val="032E5C"/>
              </w:rPr>
              <w:t>—</w:t>
            </w:r>
          </w:p>
        </w:tc>
        <w:tc>
          <w:tcPr>
            <w:tcW w:w="1040" w:type="dxa"/>
            <w:vAlign w:val="bottom"/>
            <w:tcBorders>
              <w:bottom w:val="single" w:sz="8" w:color="98BDE2"/>
            </w:tcBorders>
            <w:gridSpan w:val="2"/>
          </w:tcPr>
          <w:p>
            <w:pPr>
              <w:jc w:val="right"/>
              <w:ind w:right="120"/>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Nadia N. Rawlinson</w:t>
            </w:r>
          </w:p>
        </w:tc>
        <w:tc>
          <w:tcPr>
            <w:tcW w:w="27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w:t>
            </w:r>
          </w:p>
        </w:tc>
        <w:tc>
          <w:tcPr>
            <w:tcW w:w="3420" w:type="dxa"/>
            <w:vAlign w:val="bottom"/>
            <w:tcBorders>
              <w:bottom w:val="single" w:sz="8" w:color="98BDE2"/>
            </w:tcBorders>
          </w:tcPr>
          <w:p>
            <w:pPr>
              <w:jc w:val="right"/>
              <w:ind w:right="408"/>
              <w:spacing w:after="0"/>
              <w:rPr>
                <w:sz w:val="20"/>
                <w:szCs w:val="20"/>
                <w:color w:val="auto"/>
              </w:rPr>
            </w:pPr>
            <w:r>
              <w:rPr>
                <w:rFonts w:ascii="Arial" w:cs="Arial" w:eastAsia="Arial" w:hAnsi="Arial"/>
                <w:sz w:val="14"/>
                <w:szCs w:val="14"/>
                <w:color w:val="032E5C"/>
              </w:rPr>
              <w:t>—</w:t>
            </w:r>
          </w:p>
        </w:tc>
        <w:tc>
          <w:tcPr>
            <w:tcW w:w="1040" w:type="dxa"/>
            <w:vAlign w:val="bottom"/>
            <w:tcBorders>
              <w:bottom w:val="single" w:sz="8" w:color="98BDE2"/>
            </w:tcBorders>
            <w:gridSpan w:val="2"/>
          </w:tcPr>
          <w:p>
            <w:pPr>
              <w:jc w:val="right"/>
              <w:ind w:right="120"/>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John Redmond</w:t>
            </w:r>
          </w:p>
        </w:tc>
        <w:tc>
          <w:tcPr>
            <w:tcW w:w="27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w:t>
            </w:r>
          </w:p>
        </w:tc>
        <w:tc>
          <w:tcPr>
            <w:tcW w:w="3420" w:type="dxa"/>
            <w:vAlign w:val="bottom"/>
            <w:tcBorders>
              <w:bottom w:val="single" w:sz="8" w:color="98BDE2"/>
            </w:tcBorders>
          </w:tcPr>
          <w:p>
            <w:pPr>
              <w:jc w:val="right"/>
              <w:ind w:right="408"/>
              <w:spacing w:after="0"/>
              <w:rPr>
                <w:sz w:val="20"/>
                <w:szCs w:val="20"/>
                <w:color w:val="auto"/>
              </w:rPr>
            </w:pPr>
            <w:r>
              <w:rPr>
                <w:rFonts w:ascii="Arial" w:cs="Arial" w:eastAsia="Arial" w:hAnsi="Arial"/>
                <w:sz w:val="14"/>
                <w:szCs w:val="14"/>
                <w:color w:val="032E5C"/>
              </w:rPr>
              <w:t>—</w:t>
            </w:r>
          </w:p>
        </w:tc>
        <w:tc>
          <w:tcPr>
            <w:tcW w:w="1040" w:type="dxa"/>
            <w:vAlign w:val="bottom"/>
            <w:tcBorders>
              <w:bottom w:val="single" w:sz="8" w:color="98BDE2"/>
            </w:tcBorders>
            <w:gridSpan w:val="2"/>
          </w:tcPr>
          <w:p>
            <w:pPr>
              <w:jc w:val="right"/>
              <w:ind w:right="120"/>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Michele Romanow</w:t>
            </w:r>
          </w:p>
        </w:tc>
        <w:tc>
          <w:tcPr>
            <w:tcW w:w="27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w:t>
            </w:r>
          </w:p>
        </w:tc>
        <w:tc>
          <w:tcPr>
            <w:tcW w:w="3420" w:type="dxa"/>
            <w:vAlign w:val="bottom"/>
            <w:tcBorders>
              <w:bottom w:val="single" w:sz="8" w:color="98BDE2"/>
            </w:tcBorders>
          </w:tcPr>
          <w:p>
            <w:pPr>
              <w:jc w:val="right"/>
              <w:ind w:right="408"/>
              <w:spacing w:after="0"/>
              <w:rPr>
                <w:sz w:val="20"/>
                <w:szCs w:val="20"/>
                <w:color w:val="auto"/>
              </w:rPr>
            </w:pPr>
            <w:r>
              <w:rPr>
                <w:rFonts w:ascii="Arial" w:cs="Arial" w:eastAsia="Arial" w:hAnsi="Arial"/>
                <w:sz w:val="14"/>
                <w:szCs w:val="14"/>
                <w:color w:val="032E5C"/>
              </w:rPr>
              <w:t>13,455</w:t>
            </w:r>
          </w:p>
        </w:tc>
        <w:tc>
          <w:tcPr>
            <w:tcW w:w="9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13,455</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Hilary Schneider</w:t>
            </w:r>
          </w:p>
        </w:tc>
        <w:tc>
          <w:tcPr>
            <w:tcW w:w="27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w:t>
            </w:r>
          </w:p>
        </w:tc>
        <w:tc>
          <w:tcPr>
            <w:tcW w:w="3420" w:type="dxa"/>
            <w:vAlign w:val="bottom"/>
            <w:tcBorders>
              <w:bottom w:val="single" w:sz="8" w:color="98BDE2"/>
            </w:tcBorders>
          </w:tcPr>
          <w:p>
            <w:pPr>
              <w:jc w:val="right"/>
              <w:ind w:right="408"/>
              <w:spacing w:after="0"/>
              <w:rPr>
                <w:sz w:val="20"/>
                <w:szCs w:val="20"/>
                <w:color w:val="auto"/>
              </w:rPr>
            </w:pPr>
            <w:r>
              <w:rPr>
                <w:rFonts w:ascii="Arial" w:cs="Arial" w:eastAsia="Arial" w:hAnsi="Arial"/>
                <w:sz w:val="14"/>
                <w:szCs w:val="14"/>
                <w:color w:val="032E5C"/>
              </w:rPr>
              <w:t>—</w:t>
            </w:r>
          </w:p>
        </w:tc>
        <w:tc>
          <w:tcPr>
            <w:tcW w:w="1040" w:type="dxa"/>
            <w:vAlign w:val="bottom"/>
            <w:tcBorders>
              <w:bottom w:val="single" w:sz="8" w:color="98BDE2"/>
            </w:tcBorders>
            <w:gridSpan w:val="2"/>
          </w:tcPr>
          <w:p>
            <w:pPr>
              <w:jc w:val="right"/>
              <w:ind w:right="120"/>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 Bruce Sewell</w:t>
            </w:r>
          </w:p>
        </w:tc>
        <w:tc>
          <w:tcPr>
            <w:tcW w:w="27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w:t>
            </w:r>
          </w:p>
        </w:tc>
        <w:tc>
          <w:tcPr>
            <w:tcW w:w="3420" w:type="dxa"/>
            <w:vAlign w:val="bottom"/>
            <w:tcBorders>
              <w:bottom w:val="single" w:sz="8" w:color="98BDE2"/>
            </w:tcBorders>
          </w:tcPr>
          <w:p>
            <w:pPr>
              <w:jc w:val="right"/>
              <w:ind w:right="408"/>
              <w:spacing w:after="0"/>
              <w:rPr>
                <w:sz w:val="20"/>
                <w:szCs w:val="20"/>
                <w:color w:val="auto"/>
              </w:rPr>
            </w:pPr>
            <w:r>
              <w:rPr>
                <w:rFonts w:ascii="Arial" w:cs="Arial" w:eastAsia="Arial" w:hAnsi="Arial"/>
                <w:sz w:val="14"/>
                <w:szCs w:val="14"/>
                <w:color w:val="032E5C"/>
              </w:rPr>
              <w:t>12,857</w:t>
            </w:r>
          </w:p>
        </w:tc>
        <w:tc>
          <w:tcPr>
            <w:tcW w:w="9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12,857</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John F. Sorte</w:t>
            </w:r>
          </w:p>
        </w:tc>
        <w:tc>
          <w:tcPr>
            <w:tcW w:w="27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w:t>
            </w:r>
          </w:p>
        </w:tc>
        <w:tc>
          <w:tcPr>
            <w:tcW w:w="3420" w:type="dxa"/>
            <w:vAlign w:val="bottom"/>
            <w:tcBorders>
              <w:bottom w:val="single" w:sz="8" w:color="98BDE2"/>
            </w:tcBorders>
          </w:tcPr>
          <w:p>
            <w:pPr>
              <w:jc w:val="right"/>
              <w:ind w:right="408"/>
              <w:spacing w:after="0"/>
              <w:rPr>
                <w:sz w:val="20"/>
                <w:szCs w:val="20"/>
                <w:color w:val="auto"/>
              </w:rPr>
            </w:pPr>
            <w:r>
              <w:rPr>
                <w:rFonts w:ascii="Arial" w:cs="Arial" w:eastAsia="Arial" w:hAnsi="Arial"/>
                <w:sz w:val="14"/>
                <w:szCs w:val="14"/>
                <w:color w:val="032E5C"/>
              </w:rPr>
              <w:t>10,700</w:t>
            </w:r>
          </w:p>
        </w:tc>
        <w:tc>
          <w:tcPr>
            <w:tcW w:w="9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10,700</w:t>
            </w:r>
          </w:p>
        </w:tc>
        <w:tc>
          <w:tcPr>
            <w:tcW w:w="100" w:type="dxa"/>
            <w:vAlign w:val="bottom"/>
            <w:tcBorders>
              <w:bottom w:val="single" w:sz="8" w:color="98BDE2"/>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3E5C7C"/>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Peter A. Vaughn</w:t>
            </w:r>
          </w:p>
        </w:tc>
        <w:tc>
          <w:tcPr>
            <w:tcW w:w="2740" w:type="dxa"/>
            <w:vAlign w:val="bottom"/>
            <w:tcBorders>
              <w:bottom w:val="single" w:sz="8" w:color="3E5C7C"/>
            </w:tcBorders>
          </w:tcPr>
          <w:p>
            <w:pPr>
              <w:jc w:val="right"/>
              <w:ind w:right="468"/>
              <w:spacing w:after="0"/>
              <w:rPr>
                <w:sz w:val="20"/>
                <w:szCs w:val="20"/>
                <w:color w:val="auto"/>
              </w:rPr>
            </w:pPr>
            <w:r>
              <w:rPr>
                <w:rFonts w:ascii="Arial" w:cs="Arial" w:eastAsia="Arial" w:hAnsi="Arial"/>
                <w:sz w:val="14"/>
                <w:szCs w:val="14"/>
                <w:color w:val="032E5C"/>
              </w:rPr>
              <w:t>2,765</w:t>
            </w:r>
          </w:p>
        </w:tc>
        <w:tc>
          <w:tcPr>
            <w:tcW w:w="3420" w:type="dxa"/>
            <w:vAlign w:val="bottom"/>
            <w:tcBorders>
              <w:bottom w:val="single" w:sz="8" w:color="3E5C7C"/>
            </w:tcBorders>
          </w:tcPr>
          <w:p>
            <w:pPr>
              <w:jc w:val="right"/>
              <w:ind w:right="408"/>
              <w:spacing w:after="0"/>
              <w:rPr>
                <w:sz w:val="20"/>
                <w:szCs w:val="20"/>
                <w:color w:val="auto"/>
              </w:rPr>
            </w:pPr>
            <w:r>
              <w:rPr>
                <w:rFonts w:ascii="Arial" w:cs="Arial" w:eastAsia="Arial" w:hAnsi="Arial"/>
                <w:sz w:val="14"/>
                <w:szCs w:val="14"/>
                <w:color w:val="032E5C"/>
              </w:rPr>
              <w:t>10,872</w:t>
            </w:r>
          </w:p>
        </w:tc>
        <w:tc>
          <w:tcPr>
            <w:tcW w:w="94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13,637</w:t>
            </w:r>
          </w:p>
        </w:tc>
        <w:tc>
          <w:tcPr>
            <w:tcW w:w="100" w:type="dxa"/>
            <w:vAlign w:val="bottom"/>
            <w:tcBorders>
              <w:bottom w:val="single" w:sz="8" w:color="3E5C7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180" w:hanging="328"/>
        <w:spacing w:after="0" w:line="305" w:lineRule="auto"/>
        <w:tabs>
          <w:tab w:leader="none" w:pos="660" w:val="left"/>
        </w:tabs>
        <w:numPr>
          <w:ilvl w:val="1"/>
          <w:numId w:val="26"/>
        </w:numPr>
        <w:rPr>
          <w:rFonts w:ascii="Arial" w:cs="Arial" w:eastAsia="Arial" w:hAnsi="Arial"/>
          <w:sz w:val="14"/>
          <w:szCs w:val="14"/>
          <w:color w:val="29292B"/>
        </w:rPr>
      </w:pPr>
      <w:r>
        <w:rPr>
          <w:rFonts w:ascii="Arial" w:cs="Arial" w:eastAsia="Arial" w:hAnsi="Arial"/>
          <w:sz w:val="14"/>
          <w:szCs w:val="14"/>
          <w:color w:val="29292B"/>
        </w:rPr>
        <w:t>Represents the value of vacation packages donated to charity on behalf of a director under the Company’s charitable donations program. See below under “Limited Director Perquisites and Personal Benefits” for a description of this program.</w:t>
      </w:r>
    </w:p>
    <w:p>
      <w:pPr>
        <w:spacing w:after="0" w:line="36" w:lineRule="exact"/>
        <w:rPr>
          <w:rFonts w:ascii="Arial" w:cs="Arial" w:eastAsia="Arial" w:hAnsi="Arial"/>
          <w:sz w:val="14"/>
          <w:szCs w:val="14"/>
          <w:color w:val="29292B"/>
        </w:rPr>
      </w:pPr>
    </w:p>
    <w:p>
      <w:pPr>
        <w:ind w:left="660" w:right="140" w:hanging="328"/>
        <w:spacing w:after="0" w:line="267" w:lineRule="auto"/>
        <w:tabs>
          <w:tab w:leader="none" w:pos="660" w:val="left"/>
        </w:tabs>
        <w:numPr>
          <w:ilvl w:val="1"/>
          <w:numId w:val="26"/>
        </w:numPr>
        <w:rPr>
          <w:rFonts w:ascii="Arial" w:cs="Arial" w:eastAsia="Arial" w:hAnsi="Arial"/>
          <w:sz w:val="14"/>
          <w:szCs w:val="14"/>
          <w:color w:val="29292B"/>
        </w:rPr>
      </w:pPr>
      <w:r>
        <w:rPr>
          <w:rFonts w:ascii="Arial" w:cs="Arial" w:eastAsia="Arial" w:hAnsi="Arial"/>
          <w:sz w:val="14"/>
          <w:szCs w:val="14"/>
          <w:color w:val="29292B"/>
        </w:rPr>
        <w:t>Represents the amounts reported during fiscal 2024 that were used by a director towards lodging, ski school privileges and discretionary spending on services or goods at our properties for personal use under the Company’s Perquisite Fund Program. See below under “Limited Director Perquisites and Personal Benefits” for a description of this program. In accordance with SEC rules, the value of these benefits is measured on the basis of the estimated aggregate incremental cost to the Company for providing these benefits, and perquisites and personal benefits are not reported for any director for whom such amounts were less than $10,000 in the aggregate for the fiscal year.</w:t>
      </w:r>
    </w:p>
    <w:p>
      <w:pPr>
        <w:spacing w:after="0" w:line="49" w:lineRule="exact"/>
        <w:rPr>
          <w:rFonts w:ascii="Arial" w:cs="Arial" w:eastAsia="Arial" w:hAnsi="Arial"/>
          <w:sz w:val="14"/>
          <w:szCs w:val="14"/>
          <w:color w:val="29292B"/>
        </w:rPr>
      </w:pPr>
    </w:p>
    <w:p>
      <w:pPr>
        <w:ind w:left="340" w:hanging="332"/>
        <w:spacing w:after="0"/>
        <w:tabs>
          <w:tab w:leader="none" w:pos="340" w:val="left"/>
        </w:tabs>
        <w:numPr>
          <w:ilvl w:val="0"/>
          <w:numId w:val="27"/>
        </w:numPr>
        <w:rPr>
          <w:rFonts w:ascii="Arial" w:cs="Arial" w:eastAsia="Arial" w:hAnsi="Arial"/>
          <w:sz w:val="14"/>
          <w:szCs w:val="14"/>
          <w:color w:val="29292B"/>
        </w:rPr>
      </w:pPr>
      <w:r>
        <w:rPr>
          <w:rFonts w:ascii="Arial" w:cs="Arial" w:eastAsia="Arial" w:hAnsi="Arial"/>
          <w:sz w:val="14"/>
          <w:szCs w:val="14"/>
          <w:color w:val="29292B"/>
        </w:rPr>
        <w:t>As of July 31, 2024, Mr. Chambers held 564 unvested RSUs.</w:t>
      </w:r>
    </w:p>
    <w:p>
      <w:pPr>
        <w:spacing w:after="0" w:line="109" w:lineRule="exact"/>
        <w:rPr>
          <w:rFonts w:ascii="Arial" w:cs="Arial" w:eastAsia="Arial" w:hAnsi="Arial"/>
          <w:sz w:val="14"/>
          <w:szCs w:val="14"/>
          <w:color w:val="29292B"/>
        </w:rPr>
      </w:pPr>
    </w:p>
    <w:p>
      <w:pPr>
        <w:ind w:left="340" w:hanging="332"/>
        <w:spacing w:after="0"/>
        <w:tabs>
          <w:tab w:leader="none" w:pos="340" w:val="left"/>
        </w:tabs>
        <w:numPr>
          <w:ilvl w:val="0"/>
          <w:numId w:val="27"/>
        </w:numPr>
        <w:rPr>
          <w:rFonts w:ascii="Arial" w:cs="Arial" w:eastAsia="Arial" w:hAnsi="Arial"/>
          <w:sz w:val="14"/>
          <w:szCs w:val="14"/>
          <w:color w:val="29292B"/>
        </w:rPr>
      </w:pPr>
      <w:r>
        <w:rPr>
          <w:rFonts w:ascii="Arial" w:cs="Arial" w:eastAsia="Arial" w:hAnsi="Arial"/>
          <w:sz w:val="14"/>
          <w:szCs w:val="14"/>
          <w:color w:val="29292B"/>
        </w:rPr>
        <w:t>As of July 31, 2024, Ms. Decker held 1,031 unvested RSUs.</w:t>
      </w:r>
    </w:p>
    <w:p>
      <w:pPr>
        <w:spacing w:after="0" w:line="95" w:lineRule="exact"/>
        <w:rPr>
          <w:rFonts w:ascii="Arial" w:cs="Arial" w:eastAsia="Arial" w:hAnsi="Arial"/>
          <w:sz w:val="14"/>
          <w:szCs w:val="14"/>
          <w:color w:val="29292B"/>
        </w:rPr>
      </w:pPr>
    </w:p>
    <w:p>
      <w:pPr>
        <w:ind w:left="340" w:hanging="332"/>
        <w:spacing w:after="0"/>
        <w:tabs>
          <w:tab w:leader="none" w:pos="340" w:val="left"/>
        </w:tabs>
        <w:numPr>
          <w:ilvl w:val="0"/>
          <w:numId w:val="27"/>
        </w:numPr>
        <w:rPr>
          <w:rFonts w:ascii="Arial" w:cs="Arial" w:eastAsia="Arial" w:hAnsi="Arial"/>
          <w:sz w:val="14"/>
          <w:szCs w:val="14"/>
          <w:color w:val="29292B"/>
        </w:rPr>
      </w:pPr>
      <w:r>
        <w:rPr>
          <w:rFonts w:ascii="Arial" w:cs="Arial" w:eastAsia="Arial" w:hAnsi="Arial"/>
          <w:sz w:val="14"/>
          <w:szCs w:val="14"/>
          <w:color w:val="29292B"/>
        </w:rPr>
        <w:t>As of July 31, 2024, Ms. Knobloch held 678 unvested RSUs.</w:t>
      </w:r>
    </w:p>
    <w:p>
      <w:pPr>
        <w:spacing w:after="0" w:line="109" w:lineRule="exact"/>
        <w:rPr>
          <w:rFonts w:ascii="Arial" w:cs="Arial" w:eastAsia="Arial" w:hAnsi="Arial"/>
          <w:sz w:val="14"/>
          <w:szCs w:val="14"/>
          <w:color w:val="29292B"/>
        </w:rPr>
      </w:pPr>
    </w:p>
    <w:p>
      <w:pPr>
        <w:ind w:left="340" w:hanging="332"/>
        <w:spacing w:after="0"/>
        <w:tabs>
          <w:tab w:leader="none" w:pos="340" w:val="left"/>
        </w:tabs>
        <w:numPr>
          <w:ilvl w:val="0"/>
          <w:numId w:val="27"/>
        </w:numPr>
        <w:rPr>
          <w:rFonts w:ascii="Arial" w:cs="Arial" w:eastAsia="Arial" w:hAnsi="Arial"/>
          <w:sz w:val="14"/>
          <w:szCs w:val="14"/>
          <w:color w:val="29292B"/>
        </w:rPr>
      </w:pPr>
      <w:r>
        <w:rPr>
          <w:rFonts w:ascii="Arial" w:cs="Arial" w:eastAsia="Arial" w:hAnsi="Arial"/>
          <w:sz w:val="14"/>
          <w:szCs w:val="14"/>
          <w:color w:val="29292B"/>
        </w:rPr>
        <w:t>As of July 31, 2024, Ms. Rawlinson held 1,031 unvested RSUs.</w:t>
      </w:r>
    </w:p>
    <w:p>
      <w:pPr>
        <w:spacing w:after="0" w:line="95" w:lineRule="exact"/>
        <w:rPr>
          <w:rFonts w:ascii="Arial" w:cs="Arial" w:eastAsia="Arial" w:hAnsi="Arial"/>
          <w:sz w:val="14"/>
          <w:szCs w:val="14"/>
          <w:color w:val="29292B"/>
        </w:rPr>
      </w:pPr>
    </w:p>
    <w:p>
      <w:pPr>
        <w:ind w:left="340" w:hanging="332"/>
        <w:spacing w:after="0"/>
        <w:tabs>
          <w:tab w:leader="none" w:pos="340" w:val="left"/>
        </w:tabs>
        <w:numPr>
          <w:ilvl w:val="0"/>
          <w:numId w:val="27"/>
        </w:numPr>
        <w:rPr>
          <w:rFonts w:ascii="Arial" w:cs="Arial" w:eastAsia="Arial" w:hAnsi="Arial"/>
          <w:sz w:val="14"/>
          <w:szCs w:val="14"/>
          <w:color w:val="29292B"/>
        </w:rPr>
      </w:pPr>
      <w:r>
        <w:rPr>
          <w:rFonts w:ascii="Arial" w:cs="Arial" w:eastAsia="Arial" w:hAnsi="Arial"/>
          <w:sz w:val="14"/>
          <w:szCs w:val="14"/>
          <w:color w:val="29292B"/>
        </w:rPr>
        <w:t>As of July 31, 2024, Mr. Redmond held and 1,031 unvested RSUs.</w:t>
      </w:r>
    </w:p>
    <w:p>
      <w:pPr>
        <w:spacing w:after="0" w:line="109" w:lineRule="exact"/>
        <w:rPr>
          <w:rFonts w:ascii="Arial" w:cs="Arial" w:eastAsia="Arial" w:hAnsi="Arial"/>
          <w:sz w:val="14"/>
          <w:szCs w:val="14"/>
          <w:color w:val="29292B"/>
        </w:rPr>
      </w:pPr>
    </w:p>
    <w:p>
      <w:pPr>
        <w:ind w:left="340" w:hanging="332"/>
        <w:spacing w:after="0"/>
        <w:tabs>
          <w:tab w:leader="none" w:pos="340" w:val="left"/>
        </w:tabs>
        <w:numPr>
          <w:ilvl w:val="0"/>
          <w:numId w:val="27"/>
        </w:numPr>
        <w:rPr>
          <w:rFonts w:ascii="Arial" w:cs="Arial" w:eastAsia="Arial" w:hAnsi="Arial"/>
          <w:sz w:val="14"/>
          <w:szCs w:val="14"/>
          <w:color w:val="29292B"/>
        </w:rPr>
      </w:pPr>
      <w:r>
        <w:rPr>
          <w:rFonts w:ascii="Arial" w:cs="Arial" w:eastAsia="Arial" w:hAnsi="Arial"/>
          <w:sz w:val="14"/>
          <w:szCs w:val="14"/>
          <w:color w:val="29292B"/>
        </w:rPr>
        <w:t>As of July 31, 2024, Ms. Romanow held 1,031 unvested RSUs.</w:t>
      </w:r>
    </w:p>
    <w:p>
      <w:pPr>
        <w:spacing w:after="0" w:line="95" w:lineRule="exact"/>
        <w:rPr>
          <w:rFonts w:ascii="Arial" w:cs="Arial" w:eastAsia="Arial" w:hAnsi="Arial"/>
          <w:sz w:val="14"/>
          <w:szCs w:val="14"/>
          <w:color w:val="29292B"/>
        </w:rPr>
      </w:pPr>
    </w:p>
    <w:p>
      <w:pPr>
        <w:ind w:left="320" w:hanging="312"/>
        <w:spacing w:after="0"/>
        <w:tabs>
          <w:tab w:leader="none" w:pos="320" w:val="left"/>
        </w:tabs>
        <w:numPr>
          <w:ilvl w:val="0"/>
          <w:numId w:val="27"/>
        </w:numPr>
        <w:rPr>
          <w:rFonts w:ascii="Arial" w:cs="Arial" w:eastAsia="Arial" w:hAnsi="Arial"/>
          <w:sz w:val="14"/>
          <w:szCs w:val="14"/>
          <w:color w:val="29292B"/>
        </w:rPr>
      </w:pPr>
      <w:r>
        <w:rPr>
          <w:rFonts w:ascii="Arial" w:cs="Arial" w:eastAsia="Arial" w:hAnsi="Arial"/>
          <w:sz w:val="14"/>
          <w:szCs w:val="14"/>
          <w:color w:val="29292B"/>
        </w:rPr>
        <w:t>As of July 31, 2024, Ms. Schneider held 1,031 unvested RSUs.</w:t>
      </w:r>
    </w:p>
    <w:p>
      <w:pPr>
        <w:spacing w:after="0" w:line="95" w:lineRule="exact"/>
        <w:rPr>
          <w:rFonts w:ascii="Arial" w:cs="Arial" w:eastAsia="Arial" w:hAnsi="Arial"/>
          <w:sz w:val="14"/>
          <w:szCs w:val="14"/>
          <w:color w:val="29292B"/>
        </w:rPr>
      </w:pPr>
    </w:p>
    <w:p>
      <w:pPr>
        <w:ind w:left="340" w:hanging="332"/>
        <w:spacing w:after="0"/>
        <w:tabs>
          <w:tab w:leader="none" w:pos="340" w:val="left"/>
        </w:tabs>
        <w:numPr>
          <w:ilvl w:val="0"/>
          <w:numId w:val="27"/>
        </w:numPr>
        <w:rPr>
          <w:rFonts w:ascii="Arial" w:cs="Arial" w:eastAsia="Arial" w:hAnsi="Arial"/>
          <w:sz w:val="14"/>
          <w:szCs w:val="14"/>
          <w:color w:val="29292B"/>
        </w:rPr>
      </w:pPr>
      <w:r>
        <w:rPr>
          <w:rFonts w:ascii="Arial" w:cs="Arial" w:eastAsia="Arial" w:hAnsi="Arial"/>
          <w:sz w:val="14"/>
          <w:szCs w:val="14"/>
          <w:color w:val="29292B"/>
        </w:rPr>
        <w:t>As of July 31, 2024, Mr. Sewell held 1,031 unvested RSUs.</w:t>
      </w:r>
    </w:p>
    <w:p>
      <w:pPr>
        <w:spacing w:after="0" w:line="109" w:lineRule="exact"/>
        <w:rPr>
          <w:rFonts w:ascii="Arial" w:cs="Arial" w:eastAsia="Arial" w:hAnsi="Arial"/>
          <w:sz w:val="14"/>
          <w:szCs w:val="14"/>
          <w:color w:val="29292B"/>
        </w:rPr>
      </w:pPr>
    </w:p>
    <w:p>
      <w:pPr>
        <w:ind w:left="340" w:hanging="332"/>
        <w:spacing w:after="0"/>
        <w:tabs>
          <w:tab w:leader="none" w:pos="340" w:val="left"/>
        </w:tabs>
        <w:numPr>
          <w:ilvl w:val="0"/>
          <w:numId w:val="27"/>
        </w:numPr>
        <w:rPr>
          <w:rFonts w:ascii="Arial" w:cs="Arial" w:eastAsia="Arial" w:hAnsi="Arial"/>
          <w:sz w:val="14"/>
          <w:szCs w:val="14"/>
          <w:color w:val="29292B"/>
        </w:rPr>
      </w:pPr>
      <w:r>
        <w:rPr>
          <w:rFonts w:ascii="Arial" w:cs="Arial" w:eastAsia="Arial" w:hAnsi="Arial"/>
          <w:sz w:val="14"/>
          <w:szCs w:val="14"/>
          <w:color w:val="29292B"/>
        </w:rPr>
        <w:t>As of July 31, 2024, Mr. Sorte held 1,031 unvested RSUs.</w:t>
      </w:r>
    </w:p>
    <w:p>
      <w:pPr>
        <w:spacing w:after="0" w:line="95" w:lineRule="exact"/>
        <w:rPr>
          <w:rFonts w:ascii="Arial" w:cs="Arial" w:eastAsia="Arial" w:hAnsi="Arial"/>
          <w:sz w:val="14"/>
          <w:szCs w:val="14"/>
          <w:color w:val="29292B"/>
        </w:rPr>
      </w:pPr>
    </w:p>
    <w:p>
      <w:pPr>
        <w:ind w:left="340" w:hanging="332"/>
        <w:spacing w:after="0"/>
        <w:tabs>
          <w:tab w:leader="none" w:pos="340" w:val="left"/>
        </w:tabs>
        <w:numPr>
          <w:ilvl w:val="0"/>
          <w:numId w:val="27"/>
        </w:numPr>
        <w:rPr>
          <w:rFonts w:ascii="Arial" w:cs="Arial" w:eastAsia="Arial" w:hAnsi="Arial"/>
          <w:sz w:val="14"/>
          <w:szCs w:val="14"/>
          <w:color w:val="29292B"/>
        </w:rPr>
      </w:pPr>
      <w:r>
        <w:rPr>
          <w:rFonts w:ascii="Arial" w:cs="Arial" w:eastAsia="Arial" w:hAnsi="Arial"/>
          <w:sz w:val="14"/>
          <w:szCs w:val="14"/>
          <w:color w:val="29292B"/>
        </w:rPr>
        <w:t>As of July 31, 2024, Mr. Vaughn held 1,031 unvested RSUs.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Director Cash Compensation</w:t>
      </w:r>
    </w:p>
    <w:p>
      <w:pPr>
        <w:spacing w:after="0" w:line="12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29292B"/>
        </w:rPr>
        <w:t>All of our non-employee directors receive annual cash fees, payable in quarterly installments. The annual cash retainer for each Board member is $85,000 and no additional per meeting fees are paid. In addition, the Lead Director of the Board receives an additional $40,000 per year. The Chairperson of the Audit Committee receives an additional $35,000 per year and each other Audit Committee member receives an additional $17,500 per year. The Chairperson of the Compensation Committee receives an additional $25,000 per year and each other Compensation Committee member receives an additional $12,500. The Chairperson of the Nominating &amp; Governance Committee receives an additional $20,000 per year and each other Nominating &amp; Governance Committee member receives an additional $10,000 each per year. Members of the Executive Committee receive an additional $10,000 per year. A non-executive Chairperson of the Board would receive an additional annual retainer of $50,000, but we currently have an Executive Chairperson, and he is not entitled to this retainer.</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29292B"/>
        </w:rPr>
        <w:t>All directors received reimbursement of their reasonable travel expenses in connection with their service.</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40</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45" w:name="page46"/>
    <w:bookmarkEnd w:id="45"/>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20"/>
                <w:szCs w:val="20"/>
                <w:color w:val="auto"/>
              </w:rPr>
            </w:pPr>
            <w:r>
              <w:rPr>
                <w:rFonts w:ascii="Arial" w:cs="Arial" w:eastAsia="Arial" w:hAnsi="Arial"/>
                <w:sz w:val="14"/>
                <w:szCs w:val="14"/>
                <w:color w:val="032E5C"/>
              </w:rPr>
              <w:t>Table of Contents</w:t>
            </w:r>
          </w:p>
        </w:tc>
        <w:tc>
          <w:tcPr>
            <w:tcW w:w="5780" w:type="dxa"/>
            <w:vAlign w:val="bottom"/>
            <w:vMerge w:val="restart"/>
          </w:tcPr>
          <w:p>
            <w:pPr>
              <w:ind w:left="4080"/>
              <w:spacing w:after="0"/>
              <w:rPr>
                <w:sz w:val="20"/>
                <w:szCs w:val="20"/>
                <w:color w:val="auto"/>
              </w:rPr>
            </w:pPr>
            <w:r>
              <w:rPr>
                <w:rFonts w:ascii="Arial" w:cs="Arial" w:eastAsia="Arial" w:hAnsi="Arial"/>
                <w:sz w:val="13"/>
                <w:szCs w:val="13"/>
                <w:b w:val="1"/>
                <w:bCs w:val="1"/>
                <w:color w:val="032E5C"/>
                <w:w w:val="94"/>
              </w:rPr>
              <w:t>DIRECTOR COMPENSATION</w:t>
            </w: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5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5951855</wp:posOffset>
            </wp:positionH>
            <wp:positionV relativeFrom="page">
              <wp:posOffset>106045</wp:posOffset>
            </wp:positionV>
            <wp:extent cx="1388745" cy="2400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88745" cy="24003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Director Equity Compensation</w:t>
      </w:r>
    </w:p>
    <w:p>
      <w:pPr>
        <w:spacing w:after="0" w:line="139"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The Company provides its non-employee directors with an annual grant of restricted share units (“RSUs”) as determined each year by the Compensation Committee. The RSUs vest on the first anniversary of the grant date. For fiscal 2024, each non-employee director received RSUs with a grant date value of $220,139, consisting of 1,031 RSUs granted on September 29, 2023, with the exception of Mr. Chambers and Ms. Knobloch, who were appointed to the Board during the fiscal year and accordingly had their annual grants of RSUs prorated based on the remaining service time in the fiscal year. The aggregate grant date fair value of these RSUs is set forth under the “Stock Awards” column of the Director Compensation Table and described in footnote 3 above.</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Limited Director Perquisites and Personal Benefits</w:t>
      </w:r>
    </w:p>
    <w:p>
      <w:pPr>
        <w:spacing w:after="0" w:line="19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Non-employee directors receive benefits consisting of lodging, ski school privileges, and discretionary spending on services or goods at our resorts for personal use in accordance with the terms of the Company’s Director Perquisite Fund Program. Each director is entitled to an annual $40,000 allowance to be used at the Company’s resorts in accordance with such program, under which directors may draw against the account to pay for services or goods at the market rate. Unused funds in each director’s account at the end of each fiscal year are forfeited. In accordance with SEC rules, the value of these benefits is measured on the basis of the estimated aggregate incremental cost to the Company. For this purpose, perquisites do not include benefits generally available on a non-discriminatory basis to all of our employees, such as skiing privileges.</w:t>
      </w:r>
    </w:p>
    <w:p>
      <w:pPr>
        <w:spacing w:after="0" w:line="105"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29292B"/>
        </w:rPr>
        <w:t>In addition, each year we allow each director to designate one charity as the recipient of a vacation package with a retail value of no more than $4,000 and to include only the same array of services that are eligible under the Company's Director Perquisite Fund Program. We also require that the package be given as part of a public event, dinner, or auction and that the Company receive appropriate credit and marketing presence.</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Stock Ownership Guidelines for Non-Employee Directors</w:t>
      </w:r>
    </w:p>
    <w:p>
      <w:pPr>
        <w:spacing w:after="0" w:line="19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29292B"/>
        </w:rPr>
        <w:t>Each non-employee director must own shares of our common stock equal to the greater of five times his or her annual cash retainer for Board service or $375,000 in value within five years of the date such director is elected or appointed to the Board. Directors are not permitted to sell any shares of common stock (except to pay the exercise price of a particular equity grant, if any, or taxes generated as a result of equity grants) until such time as the ownership guidelines have been satisfied and then only to the extent that such sales do not reduce such director’s ownership below the threshold requirement. Shares of common stock, stock owned in a directed retirement plan or IRA, and the intrinsic value of vested equity grants count as stock ownership for purposes of these guidelines.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41</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6" w:name="page47"/>
    <w:bookmarkEnd w:id="46"/>
    <w:p>
      <w:pPr>
        <w:spacing w:after="0"/>
        <w:rPr>
          <w:sz w:val="20"/>
          <w:szCs w:val="20"/>
          <w:color w:val="auto"/>
        </w:rPr>
      </w:pPr>
      <w:r>
        <w:rPr>
          <w:rFonts w:ascii="Arial" w:cs="Arial" w:eastAsia="Arial" w:hAnsi="Arial"/>
          <w:sz w:val="50"/>
          <w:szCs w:val="50"/>
          <w:b w:val="1"/>
          <w:bCs w:val="1"/>
          <w:color w:val="032E5C"/>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Related Party Transactions Policy and Procedures</w:t>
      </w:r>
    </w:p>
    <w:p>
      <w:pPr>
        <w:spacing w:after="0" w:line="19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We have adopted a written Related Party Transactions Policy that sets forth the Company’s policies and procedures regarding the identification, review, consideration and approval of “related party transactions.” For purposes of our policy only, a “related party transaction” is a transaction, contract, agreement, understanding, loan, advance, or guarantee (or any series of similar transactions or arrangements) in which the Company and any “related person” are participants involving an amount that exceeds $120,000. Transactions involving compensation for services provided to the Company solely in their capacity as an officer or director by a related person are not covered by this policy. A related person is any executive officer, director, or more than 5% stockholder of the Company, or any immediate family member of an executive officer or director, including any entity in which such persons are an officer or 10% or greater equity holder.</w:t>
      </w:r>
    </w:p>
    <w:p>
      <w:pPr>
        <w:spacing w:after="0" w:line="102"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29292B"/>
        </w:rPr>
        <w:t>Under the policy, where a transaction has been identified as a related party transaction, management must present information regarding the proposed related party transaction to the Chairperson of the Audit Committee, the full Audit Committee or the Board for consideration and approval, depending upon the size of the transaction involved. In considering related party transactions, the Audit Committee takes into account the fairness of the proposed transaction to the Company and whether the terms of such transaction are at least as favorable to the Company as it would receive or be likely to receive from an unrelated third party in a comparable or substantially comparable transaction.</w:t>
      </w:r>
    </w:p>
    <w:p>
      <w:pPr>
        <w:spacing w:after="0" w:line="104" w:lineRule="exact"/>
        <w:rPr>
          <w:sz w:val="20"/>
          <w:szCs w:val="20"/>
          <w:color w:val="auto"/>
        </w:rPr>
      </w:pPr>
    </w:p>
    <w:p>
      <w:pPr>
        <w:spacing w:after="0" w:line="310" w:lineRule="auto"/>
        <w:rPr>
          <w:sz w:val="20"/>
          <w:szCs w:val="20"/>
          <w:color w:val="auto"/>
        </w:rPr>
      </w:pPr>
      <w:r>
        <w:rPr>
          <w:rFonts w:ascii="Arial" w:cs="Arial" w:eastAsia="Arial" w:hAnsi="Arial"/>
          <w:sz w:val="16"/>
          <w:szCs w:val="16"/>
          <w:color w:val="29292B"/>
        </w:rPr>
        <w:t>To ensure that our existing procedures are successful in identifying related party transactions, the Company distributed questionnaires to its directors and executive officers shortly following the end of the fiscal year which included, among other things, inquiries about any transactions they have entered into with us.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29292B"/>
        </w:rPr>
        <w:t>During fiscal 2024 and through the date of this proxy statement, there were no related party transactions under the relevant standards described above.</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42</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47" w:name="page48"/>
    <w:bookmarkEnd w:id="47"/>
    <w:p>
      <w:pPr>
        <w:spacing w:after="0"/>
        <w:rPr>
          <w:sz w:val="20"/>
          <w:szCs w:val="20"/>
          <w:color w:val="auto"/>
        </w:rPr>
      </w:pPr>
      <w:r>
        <w:rPr>
          <w:rFonts w:ascii="Arial" w:cs="Arial" w:eastAsia="Arial" w:hAnsi="Arial"/>
          <w:sz w:val="50"/>
          <w:szCs w:val="50"/>
          <w:b w:val="1"/>
          <w:bCs w:val="1"/>
          <w:color w:val="032E5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Compensation Discussion and Analysis</w:t>
      </w:r>
    </w:p>
    <w:p>
      <w:pPr>
        <w:spacing w:after="0" w:line="195"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29292B"/>
        </w:rPr>
        <w:t>This Compensation Discussion and Analysis ("CD&amp;A") describes our executive compensation program, the various components of our program and the compensation-related decisions made for fiscal 2024 with respect to our named executive officers (“NEOs”). For purposes of this CD&amp;A and the compensation tables and narratives that follow, the NEOs for fiscal 2024 were:</w:t>
      </w:r>
    </w:p>
    <w:p>
      <w:pPr>
        <w:spacing w:after="0" w:line="90" w:lineRule="exact"/>
        <w:rPr>
          <w:sz w:val="20"/>
          <w:szCs w:val="20"/>
          <w:color w:val="auto"/>
        </w:rPr>
      </w:pPr>
    </w:p>
    <w:p>
      <w:pPr>
        <w:ind w:left="660" w:hanging="328"/>
        <w:spacing w:after="0"/>
        <w:tabs>
          <w:tab w:leader="none" w:pos="660" w:val="left"/>
        </w:tabs>
        <w:numPr>
          <w:ilvl w:val="1"/>
          <w:numId w:val="2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Kirsten A. Lynch</w:t>
      </w:r>
      <w:r>
        <w:rPr>
          <w:rFonts w:ascii="Arial" w:cs="Arial" w:eastAsia="Arial" w:hAnsi="Arial"/>
          <w:sz w:val="16"/>
          <w:szCs w:val="16"/>
          <w:color w:val="29292B"/>
        </w:rPr>
        <w:t>, Chief Executive Officer</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1"/>
          <w:numId w:val="2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Robert A. Katz</w:t>
      </w:r>
      <w:r>
        <w:rPr>
          <w:rFonts w:ascii="Arial" w:cs="Arial" w:eastAsia="Arial" w:hAnsi="Arial"/>
          <w:sz w:val="16"/>
          <w:szCs w:val="16"/>
          <w:color w:val="29292B"/>
        </w:rPr>
        <w:t>, Executive Chairperson and Former Chief Executive Officer</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1"/>
          <w:numId w:val="2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Angela A. Korch</w:t>
      </w:r>
      <w:r>
        <w:rPr>
          <w:rFonts w:ascii="Arial" w:cs="Arial" w:eastAsia="Arial" w:hAnsi="Arial"/>
          <w:sz w:val="16"/>
          <w:szCs w:val="16"/>
          <w:color w:val="29292B"/>
        </w:rPr>
        <w:t>, Executive Vice President and Chief Financial Officer</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1"/>
          <w:numId w:val="2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William C. Rock</w:t>
      </w:r>
      <w:r>
        <w:rPr>
          <w:rFonts w:ascii="Arial" w:cs="Arial" w:eastAsia="Arial" w:hAnsi="Arial"/>
          <w:sz w:val="16"/>
          <w:szCs w:val="16"/>
          <w:color w:val="29292B"/>
        </w:rPr>
        <w:t>, President – Mountain Division</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1"/>
          <w:numId w:val="2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David T. Shapiro</w:t>
      </w:r>
      <w:r>
        <w:rPr>
          <w:rFonts w:ascii="Arial" w:cs="Arial" w:eastAsia="Arial" w:hAnsi="Arial"/>
          <w:sz w:val="16"/>
          <w:szCs w:val="16"/>
          <w:color w:val="29292B"/>
        </w:rPr>
        <w:t>, Former Executive Vice President, General Counsel and Secretary</w:t>
      </w:r>
      <w:r>
        <w:rPr>
          <w:rFonts w:ascii="Arial" w:cs="Arial" w:eastAsia="Arial" w:hAnsi="Arial"/>
          <w:sz w:val="21"/>
          <w:szCs w:val="21"/>
          <w:color w:val="29292B"/>
          <w:vertAlign w:val="superscript"/>
        </w:rPr>
        <w:t>(1)</w:t>
      </w:r>
    </w:p>
    <w:p>
      <w:pPr>
        <w:spacing w:after="0" w:line="123"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1"/>
          <w:numId w:val="2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Gregory J. Sullivan</w:t>
      </w:r>
      <w:r>
        <w:rPr>
          <w:rFonts w:ascii="Arial" w:cs="Arial" w:eastAsia="Arial" w:hAnsi="Arial"/>
          <w:sz w:val="16"/>
          <w:szCs w:val="16"/>
          <w:color w:val="29292B"/>
        </w:rPr>
        <w:t>, Executive Vice President, Retail/Rental and Hospitality</w:t>
      </w:r>
    </w:p>
    <w:p>
      <w:pPr>
        <w:spacing w:after="0" w:line="144" w:lineRule="exact"/>
        <w:rPr>
          <w:rFonts w:ascii="Wingdings" w:cs="Wingdings" w:eastAsia="Wingdings" w:hAnsi="Wingdings"/>
          <w:sz w:val="16"/>
          <w:szCs w:val="16"/>
          <w:b w:val="1"/>
          <w:bCs w:val="1"/>
          <w:color w:val="auto"/>
          <w:shd w:val="clear" w:color="auto" w:fill="3E5C7C"/>
        </w:rPr>
      </w:pPr>
    </w:p>
    <w:p>
      <w:pPr>
        <w:jc w:val="both"/>
        <w:ind w:left="340" w:right="260" w:hanging="332"/>
        <w:spacing w:after="0" w:line="263" w:lineRule="auto"/>
        <w:tabs>
          <w:tab w:leader="none" w:pos="340" w:val="left"/>
        </w:tabs>
        <w:numPr>
          <w:ilvl w:val="0"/>
          <w:numId w:val="28"/>
        </w:numPr>
        <w:rPr>
          <w:rFonts w:ascii="Arial" w:cs="Arial" w:eastAsia="Arial" w:hAnsi="Arial"/>
          <w:sz w:val="14"/>
          <w:szCs w:val="14"/>
          <w:color w:val="29292B"/>
        </w:rPr>
      </w:pPr>
      <w:r>
        <w:rPr>
          <w:rFonts w:ascii="Arial" w:cs="Arial" w:eastAsia="Arial" w:hAnsi="Arial"/>
          <w:sz w:val="14"/>
          <w:szCs w:val="14"/>
          <w:color w:val="29292B"/>
        </w:rPr>
        <w:t>Effective February 23, 2024, Mr. Shapiro left the Company. Effective February 15, 2024, the Company appointed Julie A. DeCecco, the Company’s then Vice President, Deputy General Counsel, as Executive Vice President, General Counsel. Ms. DeCecco has been with the Company since 2017, and has served as the Deputy General Counsel since 2018. She was not an NEO for fiscal 2024.</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Company Performance Highlights</w:t>
      </w:r>
    </w:p>
    <w:p>
      <w:pPr>
        <w:spacing w:after="0" w:line="126" w:lineRule="exact"/>
        <w:rPr>
          <w:sz w:val="20"/>
          <w:szCs w:val="20"/>
          <w:color w:val="auto"/>
        </w:rPr>
      </w:pPr>
    </w:p>
    <w:p>
      <w:pPr>
        <w:ind w:left="660" w:hanging="328"/>
        <w:spacing w:after="0" w:line="303" w:lineRule="auto"/>
        <w:tabs>
          <w:tab w:leader="none" w:pos="657" w:val="left"/>
        </w:tabs>
        <w:numPr>
          <w:ilvl w:val="0"/>
          <w:numId w:val="2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Our fiscal 2024 net revenue was $2,885.2 million, a decrease of $4.2 million, or 0.1%, compared to fiscal 2023. Net income attributable to Vail Resorts, Inc. was $230.4 million for fiscal 2024 compared to net income attributable to Vail Resorts, Inc. of $268.1 million in fiscal 2023. The decrease was primarily due to: (i) an increase in our provision for income taxes; (ii) decreased Resort Reported EBITDA; (iii) an increase in interest expense due to an increase in variable interest rates associated with the unhedged portion of our term loan borrowings under our U.S. credit agreement during fiscal 2024; and (iv) an increase in depreciation and amortization expense, primarily due to capital projects recently completed at our resorts and assets acquired at Crans-Montana. Resort Reported EBITDA was $825.1 million for fiscal 2024, a decrease of $9.7 million, or 1.2%, compared to fiscal 2023.</w:t>
      </w:r>
    </w:p>
    <w:p>
      <w:pPr>
        <w:spacing w:after="0" w:line="102" w:lineRule="exact"/>
        <w:rPr>
          <w:rFonts w:ascii="Wingdings" w:cs="Wingdings" w:eastAsia="Wingdings" w:hAnsi="Wingdings"/>
          <w:sz w:val="16"/>
          <w:szCs w:val="16"/>
          <w:b w:val="1"/>
          <w:bCs w:val="1"/>
          <w:color w:val="auto"/>
          <w:shd w:val="clear" w:color="auto" w:fill="3E5C7C"/>
        </w:rPr>
      </w:pPr>
    </w:p>
    <w:p>
      <w:pPr>
        <w:ind w:left="660" w:right="100" w:hanging="328"/>
        <w:spacing w:after="0" w:line="339" w:lineRule="auto"/>
        <w:tabs>
          <w:tab w:leader="none" w:pos="657" w:val="left"/>
        </w:tabs>
        <w:numPr>
          <w:ilvl w:val="0"/>
          <w:numId w:val="2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Through September 20, 2024, our North American ski season pass sales decreased approximately 3% in units and increased approximately 3% in sales dollars as compared to the prior year through September 22, 2023.</w:t>
      </w:r>
    </w:p>
    <w:p>
      <w:pPr>
        <w:spacing w:after="0" w:line="74" w:lineRule="exact"/>
        <w:rPr>
          <w:rFonts w:ascii="Wingdings" w:cs="Wingdings" w:eastAsia="Wingdings" w:hAnsi="Wingdings"/>
          <w:sz w:val="16"/>
          <w:szCs w:val="16"/>
          <w:b w:val="1"/>
          <w:bCs w:val="1"/>
          <w:color w:val="auto"/>
          <w:shd w:val="clear" w:color="auto" w:fill="3E5C7C"/>
        </w:rPr>
      </w:pPr>
    </w:p>
    <w:p>
      <w:pPr>
        <w:ind w:left="660" w:right="180" w:hanging="328"/>
        <w:spacing w:after="0" w:line="306" w:lineRule="auto"/>
        <w:tabs>
          <w:tab w:leader="none" w:pos="657" w:val="left"/>
        </w:tabs>
        <w:numPr>
          <w:ilvl w:val="0"/>
          <w:numId w:val="2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The Company announced a two-year resource efficiency transformation plan including scaled operations, global shared services, and expanded workforce management to create organizational effectiveness and scale for operating leverage as the Company expands and grows globally. The Company expects to achieve $100 million in annualized savings by the end of fiscal 2026 before one-time costs, with approximately $27 million realized in fiscal 2025 before $15 million of one-time costs.</w:t>
      </w:r>
    </w:p>
    <w:p>
      <w:pPr>
        <w:spacing w:after="0" w:line="101"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2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We have continued to demonstrate the stability and strength of our business model and to execute on our long-term business strategies, including:</w:t>
      </w:r>
    </w:p>
    <w:p>
      <w:pPr>
        <w:spacing w:after="0" w:line="180" w:lineRule="exact"/>
        <w:rPr>
          <w:rFonts w:ascii="Wingdings" w:cs="Wingdings" w:eastAsia="Wingdings" w:hAnsi="Wingdings"/>
          <w:sz w:val="16"/>
          <w:szCs w:val="16"/>
          <w:b w:val="1"/>
          <w:bCs w:val="1"/>
          <w:color w:val="auto"/>
          <w:shd w:val="clear" w:color="auto" w:fill="3E5C7C"/>
        </w:rPr>
      </w:pPr>
    </w:p>
    <w:p>
      <w:pPr>
        <w:ind w:left="1060" w:right="560" w:hanging="323"/>
        <w:spacing w:after="0" w:line="321" w:lineRule="auto"/>
        <w:tabs>
          <w:tab w:leader="none" w:pos="1049" w:val="left"/>
        </w:tabs>
        <w:numPr>
          <w:ilvl w:val="1"/>
          <w:numId w:val="29"/>
        </w:numPr>
        <w:rPr>
          <w:rFonts w:ascii="Arial" w:cs="Arial" w:eastAsia="Arial" w:hAnsi="Arial"/>
          <w:sz w:val="16"/>
          <w:szCs w:val="16"/>
          <w:b w:val="1"/>
          <w:bCs w:val="1"/>
          <w:color w:val="3E5C7C"/>
        </w:rPr>
      </w:pPr>
      <w:r>
        <w:rPr>
          <w:rFonts w:ascii="Arial" w:cs="Arial" w:eastAsia="Arial" w:hAnsi="Arial"/>
          <w:sz w:val="16"/>
          <w:szCs w:val="16"/>
          <w:color w:val="29292B"/>
        </w:rPr>
        <w:t>In May 2024, we closed on our purchase of a majority stake in Crans-Montana Mountain Resort in Switzerland, the Company's second strategic investment to operate a ski resort in Europe as a part of our continued focus to expand our network of resort offerings.</w:t>
      </w:r>
    </w:p>
    <w:p>
      <w:pPr>
        <w:spacing w:after="0" w:line="88" w:lineRule="exact"/>
        <w:rPr>
          <w:rFonts w:ascii="Arial" w:cs="Arial" w:eastAsia="Arial" w:hAnsi="Arial"/>
          <w:sz w:val="16"/>
          <w:szCs w:val="16"/>
          <w:b w:val="1"/>
          <w:bCs w:val="1"/>
          <w:color w:val="3E5C7C"/>
        </w:rPr>
      </w:pPr>
    </w:p>
    <w:p>
      <w:pPr>
        <w:ind w:left="1060" w:right="100" w:hanging="323"/>
        <w:spacing w:after="0" w:line="339" w:lineRule="auto"/>
        <w:tabs>
          <w:tab w:leader="none" w:pos="1049" w:val="left"/>
        </w:tabs>
        <w:numPr>
          <w:ilvl w:val="1"/>
          <w:numId w:val="29"/>
        </w:numPr>
        <w:rPr>
          <w:rFonts w:ascii="Arial" w:cs="Arial" w:eastAsia="Arial" w:hAnsi="Arial"/>
          <w:sz w:val="16"/>
          <w:szCs w:val="16"/>
          <w:b w:val="1"/>
          <w:bCs w:val="1"/>
          <w:color w:val="3E5C7C"/>
        </w:rPr>
      </w:pPr>
      <w:r>
        <w:rPr>
          <w:rFonts w:ascii="Arial" w:cs="Arial" w:eastAsia="Arial" w:hAnsi="Arial"/>
          <w:sz w:val="16"/>
          <w:szCs w:val="16"/>
          <w:color w:val="29292B"/>
        </w:rPr>
        <w:t>We increased our quarterly dividend by approximately 8% during fiscal 2024 to $2.22 per share. We also returned capital to our shareholders through our share repurchase program.</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43</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060" w:right="20" w:hanging="323"/>
        <w:spacing w:after="0" w:line="319" w:lineRule="auto"/>
        <w:tabs>
          <w:tab w:leader="none" w:pos="1049" w:val="left"/>
        </w:tabs>
        <w:numPr>
          <w:ilvl w:val="0"/>
          <w:numId w:val="30"/>
        </w:numPr>
        <w:rPr>
          <w:rFonts w:ascii="Arial" w:cs="Arial" w:eastAsia="Arial" w:hAnsi="Arial"/>
          <w:sz w:val="16"/>
          <w:szCs w:val="16"/>
          <w:b w:val="1"/>
          <w:bCs w:val="1"/>
          <w:color w:val="3E5C7C"/>
        </w:rPr>
      </w:pPr>
      <w:r>
        <w:rPr>
          <w:rFonts w:ascii="Arial" w:cs="Arial" w:eastAsia="Arial" w:hAnsi="Arial"/>
          <w:sz w:val="16"/>
          <w:szCs w:val="16"/>
          <w:color w:val="29292B"/>
        </w:rPr>
        <w:t>We plan to complete our calendar year 2024 capital plan of $189 million to $194 million, excluding incremental capital investments in premium fleet and fulfillment infrastructure to support the official launch of My Epic Gear for the 2024/2025 winter season, growth capital investments at Andermatt-Sedrun, reimbursable capital, and investments at Crans-Montana Mountain Resort.</w:t>
      </w:r>
    </w:p>
    <w:p>
      <w:pPr>
        <w:spacing w:after="0" w:line="89" w:lineRule="exact"/>
        <w:rPr>
          <w:rFonts w:ascii="Arial" w:cs="Arial" w:eastAsia="Arial" w:hAnsi="Arial"/>
          <w:sz w:val="16"/>
          <w:szCs w:val="16"/>
          <w:b w:val="1"/>
          <w:bCs w:val="1"/>
          <w:color w:val="3E5C7C"/>
        </w:rPr>
      </w:pPr>
    </w:p>
    <w:p>
      <w:pPr>
        <w:ind w:left="1060" w:right="360" w:hanging="323"/>
        <w:spacing w:after="0" w:line="310" w:lineRule="auto"/>
        <w:tabs>
          <w:tab w:leader="none" w:pos="1049" w:val="left"/>
        </w:tabs>
        <w:numPr>
          <w:ilvl w:val="0"/>
          <w:numId w:val="30"/>
        </w:numPr>
        <w:rPr>
          <w:rFonts w:ascii="Arial" w:cs="Arial" w:eastAsia="Arial" w:hAnsi="Arial"/>
          <w:sz w:val="16"/>
          <w:szCs w:val="16"/>
          <w:b w:val="1"/>
          <w:bCs w:val="1"/>
          <w:color w:val="3E5C7C"/>
        </w:rPr>
      </w:pPr>
      <w:r>
        <w:rPr>
          <w:rFonts w:ascii="Arial" w:cs="Arial" w:eastAsia="Arial" w:hAnsi="Arial"/>
          <w:sz w:val="16"/>
          <w:szCs w:val="16"/>
          <w:color w:val="29292B"/>
        </w:rPr>
        <w:t>We continue to be disciplined stewards of our capital and remain committed to continuous investment in our people, strategic, high-return capital projects, strategic acquisition opportunities, and returning capital to our stockholders through our quarterly dividend and share repurchase program.</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Executive Summary of our Compensation Program</w:t>
      </w:r>
    </w:p>
    <w:p>
      <w:pPr>
        <w:spacing w:after="0" w:line="126"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29292B"/>
        </w:rPr>
        <w:t>Our executive compensation program is designed to align the interests of our executives with those of our shareholders by linking a significant portion of their compensation to the achievement of specific performance goals. The program is intended to reward our executive officers for sustained, high-level performance over the short and long-term as demonstrated by measurable, company-wide performance metrics and individual contributions that are consistent with our overall growth strategy and achievement of goals. We compensate our executive officers with a combination of cash compensation (in the form of base salary and annual cash incentive compensation) and equity awards, as well as a modest amount of benefits and perquisites. Our compensation program has been structured to enhance our ability to achieve our short-term and long-term strategic goals and to retain and motivate our executive officers and senior management to achieve such goals.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Our Executive Compensation Program Emphasizes Pay-for-Performance</w:t>
      </w:r>
    </w:p>
    <w:p>
      <w:pPr>
        <w:spacing w:after="0" w:line="132"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color w:val="29292B"/>
        </w:rPr>
        <w:t>The Compensation Committee sets rigorous performance targets that are aligned with our strategic objectives and emphasize pay-for-performance by incentivizing our executive officers to drive superior results and long-term stockholder value. We accomplish this objective in the following ways:</w:t>
      </w:r>
    </w:p>
    <w:p>
      <w:pPr>
        <w:spacing w:after="0" w:line="61" w:lineRule="exact"/>
        <w:rPr>
          <w:sz w:val="20"/>
          <w:szCs w:val="20"/>
          <w:color w:val="auto"/>
        </w:rPr>
      </w:pPr>
    </w:p>
    <w:p>
      <w:pPr>
        <w:ind w:left="660" w:hanging="328"/>
        <w:spacing w:after="0" w:line="304" w:lineRule="auto"/>
        <w:tabs>
          <w:tab w:leader="none" w:pos="657" w:val="left"/>
        </w:tabs>
        <w:numPr>
          <w:ilvl w:val="0"/>
          <w:numId w:val="3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Annual Incentive Awards. </w:t>
      </w:r>
      <w:r>
        <w:rPr>
          <w:rFonts w:ascii="Arial" w:cs="Arial" w:eastAsia="Arial" w:hAnsi="Arial"/>
          <w:sz w:val="16"/>
          <w:szCs w:val="16"/>
          <w:color w:val="29292B"/>
        </w:rPr>
        <w:t>Our Management Incentive Plan (“MIP”), which provides for the award of annual cash incentive compensation, referred to</w:t>
      </w:r>
      <w:r>
        <w:rPr>
          <w:rFonts w:ascii="Arial" w:cs="Arial" w:eastAsia="Arial" w:hAnsi="Arial"/>
          <w:sz w:val="16"/>
          <w:szCs w:val="16"/>
          <w:i w:val="1"/>
          <w:iCs w:val="1"/>
          <w:color w:val="29292B"/>
        </w:rPr>
        <w:t xml:space="preserve"> </w:t>
      </w:r>
      <w:r>
        <w:rPr>
          <w:rFonts w:ascii="Arial" w:cs="Arial" w:eastAsia="Arial" w:hAnsi="Arial"/>
          <w:sz w:val="16"/>
          <w:szCs w:val="16"/>
          <w:color w:val="29292B"/>
        </w:rPr>
        <w:t>in this CD&amp;A as a “MIP award,” is intended to focus our executive officers on the key corporate financial metrics that we believe drive our best results. The Compensation Committee selected Resort Reported EBITDA (earnings before interest, taxes, depreciation, and amortization, as reported for our Mountain and Lodging segments combined) as the primary performance metric for the MIP. The NEOs’ annual cash incentive fluctuates with our performance and the achievement of our annual goals as established by the Compensation Committee.</w:t>
      </w:r>
    </w:p>
    <w:p>
      <w:pPr>
        <w:spacing w:after="0" w:line="103" w:lineRule="exact"/>
        <w:rPr>
          <w:rFonts w:ascii="Wingdings" w:cs="Wingdings" w:eastAsia="Wingdings" w:hAnsi="Wingdings"/>
          <w:sz w:val="16"/>
          <w:szCs w:val="16"/>
          <w:b w:val="1"/>
          <w:bCs w:val="1"/>
          <w:color w:val="auto"/>
          <w:shd w:val="clear" w:color="auto" w:fill="3E5C7C"/>
        </w:rPr>
      </w:pPr>
    </w:p>
    <w:p>
      <w:pPr>
        <w:ind w:left="660" w:hanging="328"/>
        <w:spacing w:after="0" w:line="303" w:lineRule="auto"/>
        <w:tabs>
          <w:tab w:leader="none" w:pos="657" w:val="left"/>
        </w:tabs>
        <w:numPr>
          <w:ilvl w:val="0"/>
          <w:numId w:val="3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Long-Term Equity Awards. </w:t>
      </w:r>
      <w:r>
        <w:rPr>
          <w:rFonts w:ascii="Arial" w:cs="Arial" w:eastAsia="Arial" w:hAnsi="Arial"/>
          <w:sz w:val="16"/>
          <w:szCs w:val="16"/>
          <w:color w:val="29292B"/>
        </w:rPr>
        <w:t>A significant portion of our NEOs’ total annual compensation opportunity is in the form of long-term equity incentive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compensation, including share appreciation rights (“SARs”) and restricted share units (“RSUs”), which generally vest ratably over three years. Value for each of SARs and RSUs fluctuates with our stock price, and SARs only have value if the share price exceeds the exercise price. Consistent with our pay-for-performance philosophy and to align the interests of our CEO with our stockholders, the Compensation Committee made approximately 50% of our CEO’s annual equity grant in the form of SARs with an exercise price that is 10% greater than the closing price of our common stock on the grant date (“Premium SARs”). For fiscal 2024, the Compensation Committee granted Ms. Lynch long-term equity value consisting of approximately 50% Premium SARs and 50% time-based vesting RSUs.</w:t>
      </w:r>
    </w:p>
    <w:p>
      <w:pPr>
        <w:spacing w:after="0" w:line="102" w:lineRule="exact"/>
        <w:rPr>
          <w:rFonts w:ascii="Wingdings" w:cs="Wingdings" w:eastAsia="Wingdings" w:hAnsi="Wingdings"/>
          <w:sz w:val="16"/>
          <w:szCs w:val="16"/>
          <w:b w:val="1"/>
          <w:bCs w:val="1"/>
          <w:color w:val="auto"/>
          <w:shd w:val="clear" w:color="auto" w:fill="3E5C7C"/>
        </w:rPr>
      </w:pPr>
    </w:p>
    <w:p>
      <w:pPr>
        <w:jc w:val="both"/>
        <w:ind w:left="660" w:hanging="328"/>
        <w:spacing w:after="0" w:line="306" w:lineRule="auto"/>
        <w:tabs>
          <w:tab w:leader="none" w:pos="657" w:val="left"/>
        </w:tabs>
        <w:numPr>
          <w:ilvl w:val="0"/>
          <w:numId w:val="3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High Percentage of Compensation is Variable or “At-Risk.” </w:t>
      </w:r>
      <w:r>
        <w:rPr>
          <w:rFonts w:ascii="Arial" w:cs="Arial" w:eastAsia="Arial" w:hAnsi="Arial"/>
          <w:sz w:val="16"/>
          <w:szCs w:val="16"/>
          <w:color w:val="29292B"/>
        </w:rPr>
        <w:t>A significant percentage of our NEOs’ compensation is tied to incentives or appreciation</w:t>
      </w:r>
      <w:r>
        <w:rPr>
          <w:rFonts w:ascii="Arial" w:cs="Arial" w:eastAsia="Arial" w:hAnsi="Arial"/>
          <w:sz w:val="16"/>
          <w:szCs w:val="16"/>
          <w:i w:val="1"/>
          <w:iCs w:val="1"/>
          <w:color w:val="29292B"/>
        </w:rPr>
        <w:t xml:space="preserve"> </w:t>
      </w:r>
      <w:r>
        <w:rPr>
          <w:rFonts w:ascii="Arial" w:cs="Arial" w:eastAsia="Arial" w:hAnsi="Arial"/>
          <w:sz w:val="16"/>
          <w:szCs w:val="16"/>
          <w:color w:val="29292B"/>
        </w:rPr>
        <w:t>in our stock price, and as executive officers attain greater levels of responsibility, the percentage of their total target compensation that is variable or “at-risk” increases, and the percentage that is fixed decreases. Our commitment to emphasizing variable and “at-risk” compensation is illustrated by the following charts for fiscal 2024:</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44</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49" w:name="page50"/>
    <w:bookmarkEnd w:id="49"/>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000" w:type="dxa"/>
            <w:vAlign w:val="bottom"/>
          </w:tcPr>
          <w:p>
            <w:pPr>
              <w:jc w:val="center"/>
              <w:ind w:right="250"/>
              <w:spacing w:after="0"/>
              <w:rPr>
                <w:sz w:val="20"/>
                <w:szCs w:val="20"/>
                <w:color w:val="auto"/>
              </w:rPr>
            </w:pPr>
            <w:r>
              <w:rPr>
                <w:rFonts w:ascii="Arial" w:cs="Arial" w:eastAsia="Arial" w:hAnsi="Arial"/>
                <w:sz w:val="18"/>
                <w:szCs w:val="18"/>
                <w:b w:val="1"/>
                <w:bCs w:val="1"/>
                <w:color w:val="032E5C"/>
                <w:w w:val="98"/>
              </w:rPr>
              <w:t>CEO FISCAL 2024 TOTAL TARGET DIRECT</w:t>
            </w:r>
          </w:p>
        </w:tc>
        <w:tc>
          <w:tcPr>
            <w:tcW w:w="4700" w:type="dxa"/>
            <w:vAlign w:val="bottom"/>
          </w:tcPr>
          <w:p>
            <w:pPr>
              <w:jc w:val="center"/>
              <w:ind w:left="270"/>
              <w:spacing w:after="0"/>
              <w:rPr>
                <w:sz w:val="20"/>
                <w:szCs w:val="20"/>
                <w:color w:val="auto"/>
              </w:rPr>
            </w:pPr>
            <w:r>
              <w:rPr>
                <w:rFonts w:ascii="Arial" w:cs="Arial" w:eastAsia="Arial" w:hAnsi="Arial"/>
                <w:sz w:val="18"/>
                <w:szCs w:val="18"/>
                <w:b w:val="1"/>
                <w:bCs w:val="1"/>
                <w:color w:val="032E5C"/>
                <w:w w:val="99"/>
              </w:rPr>
              <w:t>OTHER NEO FISCAL 2024 TOTAL TARGET DIRECT</w:t>
            </w:r>
          </w:p>
        </w:tc>
      </w:tr>
      <w:tr>
        <w:trPr>
          <w:trHeight w:val="328"/>
        </w:trPr>
        <w:tc>
          <w:tcPr>
            <w:tcW w:w="4000" w:type="dxa"/>
            <w:vAlign w:val="bottom"/>
          </w:tcPr>
          <w:p>
            <w:pPr>
              <w:jc w:val="center"/>
              <w:ind w:right="250"/>
              <w:spacing w:after="0"/>
              <w:rPr>
                <w:sz w:val="20"/>
                <w:szCs w:val="20"/>
                <w:color w:val="auto"/>
              </w:rPr>
            </w:pPr>
            <w:r>
              <w:rPr>
                <w:rFonts w:ascii="Arial" w:cs="Arial" w:eastAsia="Arial" w:hAnsi="Arial"/>
                <w:sz w:val="18"/>
                <w:szCs w:val="18"/>
                <w:b w:val="1"/>
                <w:bCs w:val="1"/>
                <w:color w:val="032E5C"/>
                <w:w w:val="99"/>
              </w:rPr>
              <w:t>COMPENSATION</w:t>
            </w:r>
          </w:p>
        </w:tc>
        <w:tc>
          <w:tcPr>
            <w:tcW w:w="4700" w:type="dxa"/>
            <w:vAlign w:val="bottom"/>
          </w:tcPr>
          <w:p>
            <w:pPr>
              <w:jc w:val="center"/>
              <w:ind w:left="250"/>
              <w:spacing w:after="0"/>
              <w:rPr>
                <w:sz w:val="20"/>
                <w:szCs w:val="20"/>
                <w:color w:val="auto"/>
              </w:rPr>
            </w:pPr>
            <w:r>
              <w:rPr>
                <w:rFonts w:ascii="Arial" w:cs="Arial" w:eastAsia="Arial" w:hAnsi="Arial"/>
                <w:sz w:val="18"/>
                <w:szCs w:val="18"/>
                <w:b w:val="1"/>
                <w:bCs w:val="1"/>
                <w:color w:val="032E5C"/>
                <w:w w:val="96"/>
              </w:rPr>
              <w:t>COMPENSATION</w:t>
            </w:r>
            <w:r>
              <w:rPr>
                <w:rFonts w:ascii="Arial" w:cs="Arial" w:eastAsia="Arial" w:hAnsi="Arial"/>
                <w:sz w:val="23"/>
                <w:szCs w:val="23"/>
                <w:b w:val="1"/>
                <w:bCs w:val="1"/>
                <w:color w:val="032E5C"/>
                <w:w w:val="96"/>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18415</wp:posOffset>
            </wp:positionV>
            <wp:extent cx="5915025" cy="1929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1502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29292B"/>
        </w:rPr>
      </w:pPr>
      <w:r>
        <w:rPr>
          <w:rFonts w:ascii="Arial" w:cs="Arial" w:eastAsia="Arial" w:hAnsi="Arial"/>
          <w:sz w:val="14"/>
          <w:szCs w:val="14"/>
          <w:color w:val="29292B"/>
        </w:rPr>
        <w:t>Excludes compensation for Mr. Shapiro.</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Our Executive Compensation Program is Supported by Our Stockholders</w:t>
      </w:r>
    </w:p>
    <w:p>
      <w:pPr>
        <w:spacing w:after="0" w:line="132"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29292B"/>
        </w:rPr>
        <w:t>At our annual meeting of stockholders held on December 6, 2023, approximately 96% of the votes cast on the advisory vote to approve executive compensation were in support of the program. This reflected strong stockholder support of our executive compensation program and its emphasis on pay-for-performance. The Compensation Committee considered this support in deciding to maintain our current executive compensation program this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45</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Effective Corporate Governance Reinforces Our Executive Compensation Program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features of our executive compensation program are evidence of our commitment to good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26"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032E5C"/>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566160" cy="4911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566160" cy="4911725"/>
                    </a:xfrm>
                    <a:prstGeom prst="rect">
                      <a:avLst/>
                    </a:prstGeom>
                    <a:noFill/>
                  </pic:spPr>
                </pic:pic>
              </a:graphicData>
            </a:graphic>
          </wp:anchor>
        </w:drawing>
      </w:r>
    </w:p>
    <w:p>
      <w:pPr>
        <w:spacing w:after="0" w:line="152" w:lineRule="exact"/>
        <w:rPr>
          <w:sz w:val="20"/>
          <w:szCs w:val="20"/>
          <w:color w:val="auto"/>
        </w:rPr>
      </w:pPr>
    </w:p>
    <w:p>
      <w:pPr>
        <w:ind w:left="520" w:right="40" w:hanging="332"/>
        <w:spacing w:after="0" w:line="289" w:lineRule="auto"/>
        <w:tabs>
          <w:tab w:leader="none" w:pos="512" w:val="left"/>
        </w:tabs>
        <w:numPr>
          <w:ilvl w:val="0"/>
          <w:numId w:val="33"/>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Annual Advisory Vote to Approve Executive Compensation. </w:t>
      </w:r>
      <w:r>
        <w:rPr>
          <w:rFonts w:ascii="Arial" w:cs="Arial" w:eastAsia="Arial" w:hAnsi="Arial"/>
          <w:sz w:val="16"/>
          <w:szCs w:val="16"/>
          <w:color w:val="032E5C"/>
        </w:rPr>
        <w:t>We</w:t>
      </w:r>
      <w:r>
        <w:rPr>
          <w:rFonts w:ascii="Arial" w:cs="Arial" w:eastAsia="Arial" w:hAnsi="Arial"/>
          <w:sz w:val="16"/>
          <w:szCs w:val="16"/>
          <w:b w:val="1"/>
          <w:bCs w:val="1"/>
          <w:color w:val="032E5C"/>
        </w:rPr>
        <w:t xml:space="preserve"> </w:t>
      </w:r>
      <w:r>
        <w:rPr>
          <w:rFonts w:ascii="Arial" w:cs="Arial" w:eastAsia="Arial" w:hAnsi="Arial"/>
          <w:sz w:val="16"/>
          <w:szCs w:val="16"/>
          <w:color w:val="032E5C"/>
        </w:rPr>
        <w:t>provide our stockholders with an annual opportunity to vote on an advisory basis to approve the compensation paid to our NEOs as disclosed in this proxy statement.</w:t>
      </w:r>
    </w:p>
    <w:p>
      <w:pPr>
        <w:spacing w:after="0" w:line="85" w:lineRule="exact"/>
        <w:rPr>
          <w:rFonts w:ascii="Wingdings" w:cs="Wingdings" w:eastAsia="Wingdings" w:hAnsi="Wingdings"/>
          <w:sz w:val="16"/>
          <w:szCs w:val="16"/>
          <w:b w:val="1"/>
          <w:bCs w:val="1"/>
          <w:color w:val="auto"/>
          <w:shd w:val="clear" w:color="auto" w:fill="032E5C"/>
        </w:rPr>
      </w:pPr>
    </w:p>
    <w:p>
      <w:pPr>
        <w:ind w:left="520" w:right="180" w:hanging="332"/>
        <w:spacing w:after="0" w:line="287" w:lineRule="auto"/>
        <w:tabs>
          <w:tab w:leader="none" w:pos="512" w:val="left"/>
        </w:tabs>
        <w:numPr>
          <w:ilvl w:val="0"/>
          <w:numId w:val="33"/>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Independent Compensation Committee. </w:t>
      </w:r>
      <w:r>
        <w:rPr>
          <w:rFonts w:ascii="Arial" w:cs="Arial" w:eastAsia="Arial" w:hAnsi="Arial"/>
          <w:sz w:val="16"/>
          <w:szCs w:val="16"/>
          <w:color w:val="032E5C"/>
        </w:rPr>
        <w:t>Our executive</w:t>
      </w:r>
      <w:r>
        <w:rPr>
          <w:rFonts w:ascii="Arial" w:cs="Arial" w:eastAsia="Arial" w:hAnsi="Arial"/>
          <w:sz w:val="16"/>
          <w:szCs w:val="16"/>
          <w:b w:val="1"/>
          <w:bCs w:val="1"/>
          <w:color w:val="032E5C"/>
        </w:rPr>
        <w:t xml:space="preserve"> </w:t>
      </w:r>
      <w:r>
        <w:rPr>
          <w:rFonts w:ascii="Arial" w:cs="Arial" w:eastAsia="Arial" w:hAnsi="Arial"/>
          <w:sz w:val="16"/>
          <w:szCs w:val="16"/>
          <w:color w:val="032E5C"/>
        </w:rPr>
        <w:t>compensation program is reviewed annually by the Compensation Committee, which consists solely of independent directors and makes all final determinations regarding the compensation of our NEOs.</w:t>
      </w:r>
    </w:p>
    <w:p>
      <w:pPr>
        <w:spacing w:after="0" w:line="87" w:lineRule="exact"/>
        <w:rPr>
          <w:rFonts w:ascii="Wingdings" w:cs="Wingdings" w:eastAsia="Wingdings" w:hAnsi="Wingdings"/>
          <w:sz w:val="16"/>
          <w:szCs w:val="16"/>
          <w:b w:val="1"/>
          <w:bCs w:val="1"/>
          <w:color w:val="auto"/>
          <w:shd w:val="clear" w:color="auto" w:fill="032E5C"/>
        </w:rPr>
      </w:pPr>
    </w:p>
    <w:p>
      <w:pPr>
        <w:ind w:left="520" w:right="40" w:hanging="332"/>
        <w:spacing w:after="0" w:line="278" w:lineRule="auto"/>
        <w:tabs>
          <w:tab w:leader="none" w:pos="512" w:val="left"/>
        </w:tabs>
        <w:numPr>
          <w:ilvl w:val="0"/>
          <w:numId w:val="33"/>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Significant Portion of Executive Compensation Is Variable and At-Risk. </w:t>
      </w:r>
      <w:r>
        <w:rPr>
          <w:rFonts w:ascii="Arial" w:cs="Arial" w:eastAsia="Arial" w:hAnsi="Arial"/>
          <w:sz w:val="16"/>
          <w:szCs w:val="16"/>
          <w:color w:val="032E5C"/>
        </w:rPr>
        <w:t>A significant portion of our NEOs’ compensation is</w:t>
      </w:r>
      <w:r>
        <w:rPr>
          <w:rFonts w:ascii="Arial" w:cs="Arial" w:eastAsia="Arial" w:hAnsi="Arial"/>
          <w:sz w:val="16"/>
          <w:szCs w:val="16"/>
          <w:b w:val="1"/>
          <w:bCs w:val="1"/>
          <w:color w:val="032E5C"/>
        </w:rPr>
        <w:t xml:space="preserve"> </w:t>
      </w:r>
      <w:r>
        <w:rPr>
          <w:rFonts w:ascii="Arial" w:cs="Arial" w:eastAsia="Arial" w:hAnsi="Arial"/>
          <w:sz w:val="16"/>
          <w:szCs w:val="16"/>
          <w:color w:val="032E5C"/>
        </w:rPr>
        <w:t>comprised of elements of variable and at-risk compensation that are tied to defined corporate and individual performance goals or stock price performance. Our three-year average at-risk compensation is approximately 83.6% of our CEO’s total compensation and approximately 65.6% of our other NEOs’ total compensation. In addition, approximately 50% of the long-term equity incentives granted to our CEO each fiscal year consist of Premium SARs that have an exercise price that is 10% greater than the closing price of our common stock on the grant date.</w:t>
      </w:r>
    </w:p>
    <w:p>
      <w:pPr>
        <w:spacing w:after="0" w:line="112" w:lineRule="exact"/>
        <w:rPr>
          <w:rFonts w:ascii="Wingdings" w:cs="Wingdings" w:eastAsia="Wingdings" w:hAnsi="Wingdings"/>
          <w:sz w:val="16"/>
          <w:szCs w:val="16"/>
          <w:b w:val="1"/>
          <w:bCs w:val="1"/>
          <w:color w:val="auto"/>
          <w:shd w:val="clear" w:color="auto" w:fill="032E5C"/>
        </w:rPr>
      </w:pPr>
    </w:p>
    <w:p>
      <w:pPr>
        <w:ind w:left="520" w:hanging="332"/>
        <w:spacing w:after="0" w:line="274" w:lineRule="auto"/>
        <w:tabs>
          <w:tab w:leader="none" w:pos="512" w:val="left"/>
        </w:tabs>
        <w:numPr>
          <w:ilvl w:val="0"/>
          <w:numId w:val="33"/>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Significant Portion of Executive Compensation Delivered in the Form of Long-Term Equity-Based Incentives. </w:t>
      </w:r>
      <w:r>
        <w:rPr>
          <w:rFonts w:ascii="Arial" w:cs="Arial" w:eastAsia="Arial" w:hAnsi="Arial"/>
          <w:sz w:val="16"/>
          <w:szCs w:val="16"/>
          <w:color w:val="032E5C"/>
        </w:rPr>
        <w:t>A significant portion</w:t>
      </w:r>
      <w:r>
        <w:rPr>
          <w:rFonts w:ascii="Arial" w:cs="Arial" w:eastAsia="Arial" w:hAnsi="Arial"/>
          <w:sz w:val="16"/>
          <w:szCs w:val="16"/>
          <w:b w:val="1"/>
          <w:bCs w:val="1"/>
          <w:color w:val="032E5C"/>
        </w:rPr>
        <w:t xml:space="preserve"> </w:t>
      </w:r>
      <w:r>
        <w:rPr>
          <w:rFonts w:ascii="Arial" w:cs="Arial" w:eastAsia="Arial" w:hAnsi="Arial"/>
          <w:sz w:val="16"/>
          <w:szCs w:val="16"/>
          <w:color w:val="032E5C"/>
        </w:rPr>
        <w:t>of our NEOs’ compensation is comprised of long-term equity incentive awards, consisting of SARs and RSUs, which generally vest over three years. In the last three fiscal years, approximately</w:t>
      </w:r>
    </w:p>
    <w:p>
      <w:pPr>
        <w:spacing w:after="0" w:line="2" w:lineRule="exact"/>
        <w:rPr>
          <w:rFonts w:ascii="Wingdings" w:cs="Wingdings" w:eastAsia="Wingdings" w:hAnsi="Wingdings"/>
          <w:sz w:val="16"/>
          <w:szCs w:val="16"/>
          <w:b w:val="1"/>
          <w:bCs w:val="1"/>
          <w:color w:val="auto"/>
          <w:shd w:val="clear" w:color="auto" w:fill="032E5C"/>
        </w:rPr>
      </w:pPr>
    </w:p>
    <w:p>
      <w:pPr>
        <w:jc w:val="both"/>
        <w:ind w:left="520" w:right="140"/>
        <w:spacing w:after="0" w:line="292" w:lineRule="auto"/>
        <w:rPr>
          <w:rFonts w:ascii="Wingdings" w:cs="Wingdings" w:eastAsia="Wingdings" w:hAnsi="Wingdings"/>
          <w:sz w:val="16"/>
          <w:szCs w:val="16"/>
          <w:b w:val="1"/>
          <w:bCs w:val="1"/>
          <w:color w:val="auto"/>
          <w:shd w:val="clear" w:color="auto" w:fill="032E5C"/>
        </w:rPr>
      </w:pPr>
      <w:r>
        <w:rPr>
          <w:rFonts w:ascii="Arial" w:cs="Arial" w:eastAsia="Arial" w:hAnsi="Arial"/>
          <w:sz w:val="16"/>
          <w:szCs w:val="16"/>
          <w:color w:val="032E5C"/>
        </w:rPr>
        <w:t>74.3% of our CEO’s and 61.7% of other NEOs’ total compensation as reported in the Summary Compensation Table, has on average been in the form of long-term equity-based incentives.</w:t>
      </w:r>
    </w:p>
    <w:p>
      <w:pPr>
        <w:spacing w:after="0" w:line="97" w:lineRule="exact"/>
        <w:rPr>
          <w:rFonts w:ascii="Wingdings" w:cs="Wingdings" w:eastAsia="Wingdings" w:hAnsi="Wingdings"/>
          <w:sz w:val="16"/>
          <w:szCs w:val="16"/>
          <w:b w:val="1"/>
          <w:bCs w:val="1"/>
          <w:color w:val="auto"/>
          <w:shd w:val="clear" w:color="auto" w:fill="032E5C"/>
        </w:rPr>
      </w:pPr>
    </w:p>
    <w:p>
      <w:pPr>
        <w:ind w:left="520" w:right="60" w:hanging="332"/>
        <w:spacing w:after="0" w:line="282" w:lineRule="auto"/>
        <w:tabs>
          <w:tab w:leader="none" w:pos="512" w:val="left"/>
        </w:tabs>
        <w:numPr>
          <w:ilvl w:val="0"/>
          <w:numId w:val="33"/>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Market Alignment of Compensation but with Greater Emphasis on At-Risk Compensation. </w:t>
      </w:r>
      <w:r>
        <w:rPr>
          <w:rFonts w:ascii="Arial" w:cs="Arial" w:eastAsia="Arial" w:hAnsi="Arial"/>
          <w:sz w:val="16"/>
          <w:szCs w:val="16"/>
          <w:color w:val="032E5C"/>
        </w:rPr>
        <w:t>To attract and retain talented executive</w:t>
      </w:r>
      <w:r>
        <w:rPr>
          <w:rFonts w:ascii="Arial" w:cs="Arial" w:eastAsia="Arial" w:hAnsi="Arial"/>
          <w:sz w:val="16"/>
          <w:szCs w:val="16"/>
          <w:b w:val="1"/>
          <w:bCs w:val="1"/>
          <w:color w:val="032E5C"/>
        </w:rPr>
        <w:t xml:space="preserve"> </w:t>
      </w:r>
      <w:r>
        <w:rPr>
          <w:rFonts w:ascii="Arial" w:cs="Arial" w:eastAsia="Arial" w:hAnsi="Arial"/>
          <w:sz w:val="16"/>
          <w:szCs w:val="16"/>
          <w:color w:val="032E5C"/>
        </w:rPr>
        <w:t>officers, we align targeted compensation opportunity with comparable levels to our peer group, but we generally make at-risk compensation a more significant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0465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FFFFFF"/>
        </w:rPr>
        <w:t>What We Don't Do</w:t>
      </w:r>
    </w:p>
    <w:p>
      <w:pPr>
        <w:spacing w:after="0" w:line="172" w:lineRule="exact"/>
        <w:rPr>
          <w:sz w:val="20"/>
          <w:szCs w:val="20"/>
          <w:color w:val="auto"/>
        </w:rPr>
      </w:pPr>
    </w:p>
    <w:p>
      <w:pPr>
        <w:ind w:left="320" w:right="180" w:hanging="316"/>
        <w:spacing w:after="0" w:line="282" w:lineRule="auto"/>
        <w:tabs>
          <w:tab w:leader="none" w:pos="315" w:val="left"/>
        </w:tabs>
        <w:numPr>
          <w:ilvl w:val="0"/>
          <w:numId w:val="3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Excessive Perquisites. </w:t>
      </w:r>
      <w:r>
        <w:rPr>
          <w:rFonts w:ascii="Arial" w:cs="Arial" w:eastAsia="Arial" w:hAnsi="Arial"/>
          <w:sz w:val="16"/>
          <w:szCs w:val="16"/>
          <w:color w:val="032E5C"/>
        </w:rPr>
        <w:t>We provide our executive officers with</w:t>
      </w:r>
      <w:r>
        <w:rPr>
          <w:rFonts w:ascii="Arial" w:cs="Arial" w:eastAsia="Arial" w:hAnsi="Arial"/>
          <w:sz w:val="16"/>
          <w:szCs w:val="16"/>
          <w:b w:val="1"/>
          <w:bCs w:val="1"/>
          <w:color w:val="032E5C"/>
        </w:rPr>
        <w:t xml:space="preserve"> </w:t>
      </w:r>
      <w:r>
        <w:rPr>
          <w:rFonts w:ascii="Arial" w:cs="Arial" w:eastAsia="Arial" w:hAnsi="Arial"/>
          <w:sz w:val="16"/>
          <w:szCs w:val="16"/>
          <w:color w:val="032E5C"/>
        </w:rPr>
        <w:t>limited perquisites, which are generally limited to credit at our owned and operated properties and which are designed to incentivize our executive officers to visit and use our resorts in order to make informed decisions regarding our business and the guest experience and provide relevant feedback concerning our properties and services.</w:t>
      </w:r>
    </w:p>
    <w:p>
      <w:pPr>
        <w:spacing w:after="0" w:line="93" w:lineRule="exact"/>
        <w:rPr>
          <w:rFonts w:ascii="Wingdings" w:cs="Wingdings" w:eastAsia="Wingdings" w:hAnsi="Wingdings"/>
          <w:sz w:val="16"/>
          <w:szCs w:val="16"/>
          <w:b w:val="1"/>
          <w:bCs w:val="1"/>
          <w:color w:val="auto"/>
          <w:shd w:val="clear" w:color="auto" w:fill="032E5C"/>
        </w:rPr>
      </w:pPr>
    </w:p>
    <w:p>
      <w:pPr>
        <w:ind w:left="320" w:right="280" w:hanging="316"/>
        <w:spacing w:after="0" w:line="282" w:lineRule="auto"/>
        <w:tabs>
          <w:tab w:leader="none" w:pos="315" w:val="left"/>
        </w:tabs>
        <w:numPr>
          <w:ilvl w:val="0"/>
          <w:numId w:val="3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No Tax Gross-Ups on Perquisites, except for Standard Relocation Benefits</w:t>
      </w:r>
      <w:r>
        <w:rPr>
          <w:rFonts w:ascii="Arial" w:cs="Arial" w:eastAsia="Arial" w:hAnsi="Arial"/>
          <w:sz w:val="16"/>
          <w:szCs w:val="16"/>
          <w:color w:val="032E5C"/>
        </w:rPr>
        <w:t>. We do not pay tax gross-ups on the limited</w:t>
      </w:r>
      <w:r>
        <w:rPr>
          <w:rFonts w:ascii="Arial" w:cs="Arial" w:eastAsia="Arial" w:hAnsi="Arial"/>
          <w:sz w:val="16"/>
          <w:szCs w:val="16"/>
          <w:b w:val="1"/>
          <w:bCs w:val="1"/>
          <w:color w:val="032E5C"/>
        </w:rPr>
        <w:t xml:space="preserve"> </w:t>
      </w:r>
      <w:r>
        <w:rPr>
          <w:rFonts w:ascii="Arial" w:cs="Arial" w:eastAsia="Arial" w:hAnsi="Arial"/>
          <w:sz w:val="16"/>
          <w:szCs w:val="16"/>
          <w:color w:val="032E5C"/>
        </w:rPr>
        <w:t>perquisites that our executive officers receive, except in the case of standard relocation benefits available to all similarly situated employees.</w:t>
      </w:r>
    </w:p>
    <w:p>
      <w:pPr>
        <w:spacing w:after="0" w:line="107" w:lineRule="exact"/>
        <w:rPr>
          <w:rFonts w:ascii="Wingdings" w:cs="Wingdings" w:eastAsia="Wingdings" w:hAnsi="Wingdings"/>
          <w:sz w:val="16"/>
          <w:szCs w:val="16"/>
          <w:b w:val="1"/>
          <w:bCs w:val="1"/>
          <w:color w:val="auto"/>
          <w:shd w:val="clear" w:color="auto" w:fill="032E5C"/>
        </w:rPr>
      </w:pPr>
    </w:p>
    <w:p>
      <w:pPr>
        <w:jc w:val="both"/>
        <w:ind w:left="320" w:right="260" w:hanging="316"/>
        <w:spacing w:after="0" w:line="292" w:lineRule="auto"/>
        <w:tabs>
          <w:tab w:leader="none" w:pos="315" w:val="left"/>
        </w:tabs>
        <w:numPr>
          <w:ilvl w:val="0"/>
          <w:numId w:val="3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Excise Tax Gross-Ups. </w:t>
      </w:r>
      <w:r>
        <w:rPr>
          <w:rFonts w:ascii="Arial" w:cs="Arial" w:eastAsia="Arial" w:hAnsi="Arial"/>
          <w:sz w:val="16"/>
          <w:szCs w:val="16"/>
          <w:color w:val="032E5C"/>
        </w:rPr>
        <w:t>We do not pay excise tax gross-ups in</w:t>
      </w:r>
      <w:r>
        <w:rPr>
          <w:rFonts w:ascii="Arial" w:cs="Arial" w:eastAsia="Arial" w:hAnsi="Arial"/>
          <w:sz w:val="16"/>
          <w:szCs w:val="16"/>
          <w:b w:val="1"/>
          <w:bCs w:val="1"/>
          <w:color w:val="032E5C"/>
        </w:rPr>
        <w:t xml:space="preserve"> </w:t>
      </w:r>
      <w:r>
        <w:rPr>
          <w:rFonts w:ascii="Arial" w:cs="Arial" w:eastAsia="Arial" w:hAnsi="Arial"/>
          <w:sz w:val="16"/>
          <w:szCs w:val="16"/>
          <w:color w:val="032E5C"/>
        </w:rPr>
        <w:t>connection with the change in control arrangements provided to our executive officers.</w:t>
      </w:r>
    </w:p>
    <w:p>
      <w:pPr>
        <w:spacing w:after="0" w:line="97" w:lineRule="exact"/>
        <w:rPr>
          <w:rFonts w:ascii="Wingdings" w:cs="Wingdings" w:eastAsia="Wingdings" w:hAnsi="Wingdings"/>
          <w:sz w:val="16"/>
          <w:szCs w:val="16"/>
          <w:b w:val="1"/>
          <w:bCs w:val="1"/>
          <w:color w:val="auto"/>
          <w:shd w:val="clear" w:color="auto" w:fill="032E5C"/>
        </w:rPr>
      </w:pPr>
    </w:p>
    <w:p>
      <w:pPr>
        <w:jc w:val="both"/>
        <w:ind w:left="320" w:right="240" w:hanging="316"/>
        <w:spacing w:after="0" w:line="292" w:lineRule="auto"/>
        <w:tabs>
          <w:tab w:leader="none" w:pos="315" w:val="left"/>
        </w:tabs>
        <w:numPr>
          <w:ilvl w:val="0"/>
          <w:numId w:val="3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Automatic Salary Increases or Guaranteed Bonuses. </w:t>
      </w:r>
      <w:r>
        <w:rPr>
          <w:rFonts w:ascii="Arial" w:cs="Arial" w:eastAsia="Arial" w:hAnsi="Arial"/>
          <w:sz w:val="16"/>
          <w:szCs w:val="16"/>
          <w:color w:val="032E5C"/>
        </w:rPr>
        <w:t>We do</w:t>
      </w:r>
      <w:r>
        <w:rPr>
          <w:rFonts w:ascii="Arial" w:cs="Arial" w:eastAsia="Arial" w:hAnsi="Arial"/>
          <w:sz w:val="16"/>
          <w:szCs w:val="16"/>
          <w:b w:val="1"/>
          <w:bCs w:val="1"/>
          <w:color w:val="032E5C"/>
        </w:rPr>
        <w:t xml:space="preserve"> </w:t>
      </w:r>
      <w:r>
        <w:rPr>
          <w:rFonts w:ascii="Arial" w:cs="Arial" w:eastAsia="Arial" w:hAnsi="Arial"/>
          <w:sz w:val="16"/>
          <w:szCs w:val="16"/>
          <w:color w:val="032E5C"/>
        </w:rPr>
        <w:t>not guarantee annual salary increases or bonuses for any NEO and no employment with any NEO contains such provisions.</w:t>
      </w:r>
    </w:p>
    <w:p>
      <w:pPr>
        <w:spacing w:after="0" w:line="97" w:lineRule="exact"/>
        <w:rPr>
          <w:rFonts w:ascii="Wingdings" w:cs="Wingdings" w:eastAsia="Wingdings" w:hAnsi="Wingdings"/>
          <w:sz w:val="16"/>
          <w:szCs w:val="16"/>
          <w:b w:val="1"/>
          <w:bCs w:val="1"/>
          <w:color w:val="auto"/>
          <w:shd w:val="clear" w:color="auto" w:fill="032E5C"/>
        </w:rPr>
      </w:pPr>
    </w:p>
    <w:p>
      <w:pPr>
        <w:ind w:left="320" w:right="140" w:hanging="316"/>
        <w:spacing w:after="0" w:line="278" w:lineRule="auto"/>
        <w:tabs>
          <w:tab w:leader="none" w:pos="315" w:val="left"/>
        </w:tabs>
        <w:numPr>
          <w:ilvl w:val="0"/>
          <w:numId w:val="3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“Single Trigger” Automatic Cash Payments, Benefits or Equity Vesting Upon a Change in Control. </w:t>
      </w:r>
      <w:r>
        <w:rPr>
          <w:rFonts w:ascii="Arial" w:cs="Arial" w:eastAsia="Arial" w:hAnsi="Arial"/>
          <w:sz w:val="16"/>
          <w:szCs w:val="16"/>
          <w:color w:val="032E5C"/>
        </w:rPr>
        <w:t>The change in control</w:t>
      </w:r>
      <w:r>
        <w:rPr>
          <w:rFonts w:ascii="Arial" w:cs="Arial" w:eastAsia="Arial" w:hAnsi="Arial"/>
          <w:sz w:val="16"/>
          <w:szCs w:val="16"/>
          <w:b w:val="1"/>
          <w:bCs w:val="1"/>
          <w:color w:val="032E5C"/>
        </w:rPr>
        <w:t xml:space="preserve"> </w:t>
      </w:r>
      <w:r>
        <w:rPr>
          <w:rFonts w:ascii="Arial" w:cs="Arial" w:eastAsia="Arial" w:hAnsi="Arial"/>
          <w:sz w:val="16"/>
          <w:szCs w:val="16"/>
          <w:color w:val="032E5C"/>
        </w:rPr>
        <w:t>arrangements provided to our executive officers require a termination event (including a termination by the executive for “good reason”) following a change in control before any cash-based payments or benefits are triggered. Additionally, our CEO’s potential cash severance is two times her base salary plus prior year bonus. For equity awards granted in fiscal 2021 and beyond, in the event of a change in control, equity will only have accelerated vesting if an award is not assumed or replaced or in the event of a termination without cause within 12 months of a change in control event.</w:t>
      </w:r>
    </w:p>
    <w:p>
      <w:pPr>
        <w:spacing w:after="0" w:line="1042" w:lineRule="exact"/>
        <w:rPr>
          <w:sz w:val="20"/>
          <w:szCs w:val="20"/>
          <w:color w:val="auto"/>
        </w:rPr>
      </w:pPr>
    </w:p>
    <w:p>
      <w:pPr>
        <w:sectPr>
          <w:pgSz w:w="11900" w:h="16838" w:orient="portrait"/>
          <w:cols w:equalWidth="0" w:num="2">
            <w:col w:w="5420" w:space="380"/>
            <w:col w:w="5420"/>
          </w:cols>
          <w:pgMar w:left="320" w:top="167" w:right="359" w:bottom="1440" w:gutter="0" w:footer="0" w:header="0"/>
          <w:type w:val="continuous"/>
        </w:sect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46</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bookmarkStart w:id="51" w:name="page52"/>
    <w:bookmarkEnd w:id="51"/>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98BDE2"/>
          </w:tcPr>
          <w:p>
            <w:pPr>
              <w:ind w:left="2320"/>
              <w:spacing w:after="0"/>
              <w:rPr>
                <w:sz w:val="20"/>
                <w:szCs w:val="20"/>
                <w:color w:val="auto"/>
              </w:rPr>
            </w:pPr>
            <w:r>
              <w:rPr>
                <w:rFonts w:ascii="Arial" w:cs="Arial" w:eastAsia="Arial" w:hAnsi="Arial"/>
                <w:sz w:val="14"/>
                <w:szCs w:val="14"/>
                <w:b w:val="1"/>
                <w:bCs w:val="1"/>
                <w:color w:val="032E5C"/>
              </w:rPr>
              <w:t>What We Do</w:t>
            </w:r>
          </w:p>
        </w:tc>
        <w:tc>
          <w:tcPr>
            <w:tcW w:w="140" w:type="dxa"/>
            <w:vAlign w:val="bottom"/>
            <w:shd w:val="clear" w:color="auto" w:fill="98BDE2"/>
          </w:tcPr>
          <w:p>
            <w:pPr>
              <w:spacing w:after="0"/>
              <w:rPr>
                <w:sz w:val="18"/>
                <w:szCs w:val="18"/>
                <w:color w:val="auto"/>
              </w:rPr>
            </w:pPr>
          </w:p>
        </w:tc>
        <w:tc>
          <w:tcPr>
            <w:tcW w:w="5620" w:type="dxa"/>
            <w:vAlign w:val="bottom"/>
            <w:shd w:val="clear" w:color="auto" w:fill="3E5C7C"/>
          </w:tcPr>
          <w:p>
            <w:pPr>
              <w:ind w:left="2120"/>
              <w:spacing w:after="0"/>
              <w:rPr>
                <w:sz w:val="20"/>
                <w:szCs w:val="20"/>
                <w:color w:val="auto"/>
              </w:rPr>
            </w:pPr>
            <w:r>
              <w:rPr>
                <w:rFonts w:ascii="Arial" w:cs="Arial" w:eastAsia="Arial" w:hAnsi="Arial"/>
                <w:sz w:val="14"/>
                <w:szCs w:val="14"/>
                <w:b w:val="1"/>
                <w:bCs w:val="1"/>
                <w:color w:val="FFFFFF"/>
              </w:rPr>
              <w:t>What We Don't Do</w:t>
            </w:r>
          </w:p>
        </w:tc>
      </w:tr>
      <w:tr>
        <w:trPr>
          <w:trHeight w:val="101"/>
        </w:trPr>
        <w:tc>
          <w:tcPr>
            <w:tcW w:w="5480" w:type="dxa"/>
            <w:vAlign w:val="bottom"/>
            <w:shd w:val="clear" w:color="auto" w:fill="98BDE2"/>
          </w:tcPr>
          <w:p>
            <w:pPr>
              <w:spacing w:after="0"/>
              <w:rPr>
                <w:sz w:val="8"/>
                <w:szCs w:val="8"/>
                <w:color w:val="auto"/>
              </w:rPr>
            </w:pPr>
          </w:p>
        </w:tc>
        <w:tc>
          <w:tcPr>
            <w:tcW w:w="140" w:type="dxa"/>
            <w:vAlign w:val="bottom"/>
            <w:tcBorders>
              <w:bottom w:val="single" w:sz="8" w:color="F3EFE9"/>
            </w:tcBorders>
            <w:shd w:val="clear" w:color="auto" w:fill="98BDE2"/>
          </w:tcPr>
          <w:p>
            <w:pPr>
              <w:spacing w:after="0"/>
              <w:rPr>
                <w:sz w:val="8"/>
                <w:szCs w:val="8"/>
                <w:color w:val="auto"/>
              </w:rPr>
            </w:pPr>
          </w:p>
        </w:tc>
        <w:tc>
          <w:tcPr>
            <w:tcW w:w="5620" w:type="dxa"/>
            <w:vAlign w:val="bottom"/>
            <w:shd w:val="clear" w:color="auto" w:fill="3E5C7C"/>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40119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13" w:lineRule="exact"/>
        <w:rPr>
          <w:sz w:val="20"/>
          <w:szCs w:val="20"/>
          <w:color w:val="auto"/>
        </w:rPr>
      </w:pPr>
    </w:p>
    <w:p>
      <w:pPr>
        <w:ind w:left="520" w:right="480" w:hanging="332"/>
        <w:spacing w:after="0" w:line="301" w:lineRule="auto"/>
        <w:tabs>
          <w:tab w:leader="none" w:pos="512" w:val="left"/>
        </w:tabs>
        <w:numPr>
          <w:ilvl w:val="0"/>
          <w:numId w:val="35"/>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Independent Compensation Consultant. </w:t>
      </w:r>
      <w:r>
        <w:rPr>
          <w:rFonts w:ascii="Arial" w:cs="Arial" w:eastAsia="Arial" w:hAnsi="Arial"/>
          <w:sz w:val="16"/>
          <w:szCs w:val="16"/>
          <w:color w:val="032E5C"/>
        </w:rPr>
        <w:t>The Compensation</w:t>
      </w:r>
      <w:r>
        <w:rPr>
          <w:rFonts w:ascii="Arial" w:cs="Arial" w:eastAsia="Arial" w:hAnsi="Arial"/>
          <w:sz w:val="16"/>
          <w:szCs w:val="16"/>
          <w:b w:val="1"/>
          <w:bCs w:val="1"/>
          <w:color w:val="032E5C"/>
        </w:rPr>
        <w:t xml:space="preserve"> </w:t>
      </w:r>
      <w:r>
        <w:rPr>
          <w:rFonts w:ascii="Arial" w:cs="Arial" w:eastAsia="Arial" w:hAnsi="Arial"/>
          <w:sz w:val="16"/>
          <w:szCs w:val="16"/>
          <w:color w:val="032E5C"/>
        </w:rPr>
        <w:t>Committee periodically retains and receives advice from an independent compensation consultant.</w:t>
      </w:r>
    </w:p>
    <w:p>
      <w:pPr>
        <w:spacing w:after="0" w:line="77" w:lineRule="exact"/>
        <w:rPr>
          <w:rFonts w:ascii="Wingdings" w:cs="Wingdings" w:eastAsia="Wingdings" w:hAnsi="Wingdings"/>
          <w:sz w:val="16"/>
          <w:szCs w:val="16"/>
          <w:b w:val="1"/>
          <w:bCs w:val="1"/>
          <w:color w:val="auto"/>
          <w:shd w:val="clear" w:color="auto" w:fill="032E5C"/>
        </w:rPr>
      </w:pPr>
    </w:p>
    <w:p>
      <w:pPr>
        <w:ind w:left="520" w:right="180" w:hanging="332"/>
        <w:spacing w:after="0" w:line="287" w:lineRule="auto"/>
        <w:tabs>
          <w:tab w:leader="none" w:pos="512" w:val="left"/>
        </w:tabs>
        <w:numPr>
          <w:ilvl w:val="0"/>
          <w:numId w:val="35"/>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Clawback Policy. </w:t>
      </w:r>
      <w:r>
        <w:rPr>
          <w:rFonts w:ascii="Arial" w:cs="Arial" w:eastAsia="Arial" w:hAnsi="Arial"/>
          <w:sz w:val="16"/>
          <w:szCs w:val="16"/>
          <w:color w:val="032E5C"/>
        </w:rPr>
        <w:t>The Compensation Committee has adopted a</w:t>
      </w:r>
      <w:r>
        <w:rPr>
          <w:rFonts w:ascii="Arial" w:cs="Arial" w:eastAsia="Arial" w:hAnsi="Arial"/>
          <w:sz w:val="16"/>
          <w:szCs w:val="16"/>
          <w:b w:val="1"/>
          <w:bCs w:val="1"/>
          <w:color w:val="032E5C"/>
        </w:rPr>
        <w:t xml:space="preserve"> </w:t>
      </w:r>
      <w:r>
        <w:rPr>
          <w:rFonts w:ascii="Arial" w:cs="Arial" w:eastAsia="Arial" w:hAnsi="Arial"/>
          <w:sz w:val="16"/>
          <w:szCs w:val="16"/>
          <w:color w:val="032E5C"/>
        </w:rPr>
        <w:t>clawback policy that, in the event of a financial restatement, allows us to recoup cash or equity-based incentive compensation from executive officers that was paid based on the misstated financial information.</w:t>
      </w:r>
    </w:p>
    <w:p>
      <w:pPr>
        <w:spacing w:after="0" w:line="87" w:lineRule="exact"/>
        <w:rPr>
          <w:rFonts w:ascii="Wingdings" w:cs="Wingdings" w:eastAsia="Wingdings" w:hAnsi="Wingdings"/>
          <w:sz w:val="16"/>
          <w:szCs w:val="16"/>
          <w:b w:val="1"/>
          <w:bCs w:val="1"/>
          <w:color w:val="auto"/>
          <w:shd w:val="clear" w:color="auto" w:fill="032E5C"/>
        </w:rPr>
      </w:pPr>
    </w:p>
    <w:p>
      <w:pPr>
        <w:ind w:left="520" w:right="80" w:hanging="332"/>
        <w:spacing w:after="0" w:line="279" w:lineRule="auto"/>
        <w:tabs>
          <w:tab w:leader="none" w:pos="512" w:val="left"/>
        </w:tabs>
        <w:numPr>
          <w:ilvl w:val="0"/>
          <w:numId w:val="35"/>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Stock Ownership Guidelines. </w:t>
      </w:r>
      <w:r>
        <w:rPr>
          <w:rFonts w:ascii="Arial" w:cs="Arial" w:eastAsia="Arial" w:hAnsi="Arial"/>
          <w:sz w:val="16"/>
          <w:szCs w:val="16"/>
          <w:color w:val="032E5C"/>
        </w:rPr>
        <w:t>Our executive officers are subject to</w:t>
      </w:r>
      <w:r>
        <w:rPr>
          <w:rFonts w:ascii="Arial" w:cs="Arial" w:eastAsia="Arial" w:hAnsi="Arial"/>
          <w:sz w:val="16"/>
          <w:szCs w:val="16"/>
          <w:b w:val="1"/>
          <w:bCs w:val="1"/>
          <w:color w:val="032E5C"/>
        </w:rPr>
        <w:t xml:space="preserve"> </w:t>
      </w:r>
      <w:r>
        <w:rPr>
          <w:rFonts w:ascii="Arial" w:cs="Arial" w:eastAsia="Arial" w:hAnsi="Arial"/>
          <w:sz w:val="16"/>
          <w:szCs w:val="16"/>
          <w:color w:val="032E5C"/>
        </w:rPr>
        <w:t>meaningful stock ownership guidelines, requiring that they hold a meaningful amount of our common stock, which helps to align their interests with those of our stockholders. Additionally, until the applicable guideline is achieved for an executive, he or she is required to retain at least 75% of the net shares received from vesting of RSUs or exercise of SARs. All of our NEOs are in compliance with this policy.</w:t>
      </w:r>
    </w:p>
    <w:p>
      <w:pPr>
        <w:spacing w:after="0" w:line="111" w:lineRule="exact"/>
        <w:rPr>
          <w:rFonts w:ascii="Wingdings" w:cs="Wingdings" w:eastAsia="Wingdings" w:hAnsi="Wingdings"/>
          <w:sz w:val="16"/>
          <w:szCs w:val="16"/>
          <w:b w:val="1"/>
          <w:bCs w:val="1"/>
          <w:color w:val="auto"/>
          <w:shd w:val="clear" w:color="auto" w:fill="032E5C"/>
        </w:rPr>
      </w:pPr>
    </w:p>
    <w:p>
      <w:pPr>
        <w:ind w:left="520" w:right="480" w:hanging="332"/>
        <w:spacing w:after="0" w:line="289" w:lineRule="auto"/>
        <w:tabs>
          <w:tab w:leader="none" w:pos="512" w:val="left"/>
        </w:tabs>
        <w:numPr>
          <w:ilvl w:val="0"/>
          <w:numId w:val="35"/>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Use of Tally Sheets. </w:t>
      </w:r>
      <w:r>
        <w:rPr>
          <w:rFonts w:ascii="Arial" w:cs="Arial" w:eastAsia="Arial" w:hAnsi="Arial"/>
          <w:sz w:val="16"/>
          <w:szCs w:val="16"/>
          <w:color w:val="032E5C"/>
        </w:rPr>
        <w:t>The Compensation Committee uses tally</w:t>
      </w:r>
      <w:r>
        <w:rPr>
          <w:rFonts w:ascii="Arial" w:cs="Arial" w:eastAsia="Arial" w:hAnsi="Arial"/>
          <w:sz w:val="16"/>
          <w:szCs w:val="16"/>
          <w:b w:val="1"/>
          <w:bCs w:val="1"/>
          <w:color w:val="032E5C"/>
        </w:rPr>
        <w:t xml:space="preserve"> </w:t>
      </w:r>
      <w:r>
        <w:rPr>
          <w:rFonts w:ascii="Arial" w:cs="Arial" w:eastAsia="Arial" w:hAnsi="Arial"/>
          <w:sz w:val="16"/>
          <w:szCs w:val="16"/>
          <w:color w:val="032E5C"/>
        </w:rPr>
        <w:t>sheets that provide information as to all compensation that is potentially available to our NEOs when evaluating executive compensation.</w:t>
      </w:r>
    </w:p>
    <w:p>
      <w:pPr>
        <w:spacing w:after="0" w:line="85" w:lineRule="exact"/>
        <w:rPr>
          <w:rFonts w:ascii="Wingdings" w:cs="Wingdings" w:eastAsia="Wingdings" w:hAnsi="Wingdings"/>
          <w:sz w:val="16"/>
          <w:szCs w:val="16"/>
          <w:b w:val="1"/>
          <w:bCs w:val="1"/>
          <w:color w:val="auto"/>
          <w:shd w:val="clear" w:color="auto" w:fill="032E5C"/>
        </w:rPr>
      </w:pPr>
    </w:p>
    <w:p>
      <w:pPr>
        <w:ind w:left="520" w:hanging="332"/>
        <w:spacing w:after="0" w:line="282" w:lineRule="auto"/>
        <w:tabs>
          <w:tab w:leader="none" w:pos="512" w:val="left"/>
        </w:tabs>
        <w:numPr>
          <w:ilvl w:val="0"/>
          <w:numId w:val="35"/>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Annual Risk Assessment. </w:t>
      </w:r>
      <w:r>
        <w:rPr>
          <w:rFonts w:ascii="Arial" w:cs="Arial" w:eastAsia="Arial" w:hAnsi="Arial"/>
          <w:sz w:val="16"/>
          <w:szCs w:val="16"/>
          <w:color w:val="032E5C"/>
        </w:rPr>
        <w:t>The Compensation Committee, with the</w:t>
      </w:r>
      <w:r>
        <w:rPr>
          <w:rFonts w:ascii="Arial" w:cs="Arial" w:eastAsia="Arial" w:hAnsi="Arial"/>
          <w:sz w:val="16"/>
          <w:szCs w:val="16"/>
          <w:b w:val="1"/>
          <w:bCs w:val="1"/>
          <w:color w:val="032E5C"/>
        </w:rPr>
        <w:t xml:space="preserve"> </w:t>
      </w:r>
      <w:r>
        <w:rPr>
          <w:rFonts w:ascii="Arial" w:cs="Arial" w:eastAsia="Arial" w:hAnsi="Arial"/>
          <w:sz w:val="16"/>
          <w:szCs w:val="16"/>
          <w:color w:val="032E5C"/>
        </w:rPr>
        <w:t>assistance of our independent compensation consultant, annually conducts a compensation risk assessment and, for fiscal 2024, determined that the Company’s compensation policies and practices, or components thereof, do not create risks that are reasonably likely to have a material adverse effect on the Company.</w:t>
      </w:r>
    </w:p>
    <w:p>
      <w:pPr>
        <w:spacing w:after="0" w:line="20" w:lineRule="exact"/>
        <w:rPr>
          <w:sz w:val="20"/>
          <w:szCs w:val="20"/>
          <w:color w:val="auto"/>
        </w:rPr>
      </w:pPr>
      <w:r>
        <w:rPr>
          <w:sz w:val="20"/>
          <w:szCs w:val="20"/>
          <w:color w:val="auto"/>
        </w:rPr>
        <w:br w:type="column"/>
      </w:r>
    </w:p>
    <w:p>
      <w:pPr>
        <w:ind w:left="330" w:right="160" w:hanging="330"/>
        <w:spacing w:after="0" w:line="280" w:lineRule="auto"/>
        <w:tabs>
          <w:tab w:leader="none" w:pos="324" w:val="left"/>
        </w:tabs>
        <w:numPr>
          <w:ilvl w:val="0"/>
          <w:numId w:val="36"/>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Hedging or Pledging. </w:t>
      </w:r>
      <w:r>
        <w:rPr>
          <w:rFonts w:ascii="Arial" w:cs="Arial" w:eastAsia="Arial" w:hAnsi="Arial"/>
          <w:sz w:val="16"/>
          <w:szCs w:val="16"/>
          <w:color w:val="032E5C"/>
        </w:rPr>
        <w:t>Under our Insider Trading Compliance</w:t>
      </w:r>
      <w:r>
        <w:rPr>
          <w:rFonts w:ascii="Arial" w:cs="Arial" w:eastAsia="Arial" w:hAnsi="Arial"/>
          <w:sz w:val="16"/>
          <w:szCs w:val="16"/>
          <w:b w:val="1"/>
          <w:bCs w:val="1"/>
          <w:color w:val="032E5C"/>
        </w:rPr>
        <w:t xml:space="preserve"> </w:t>
      </w:r>
      <w:r>
        <w:rPr>
          <w:rFonts w:ascii="Arial" w:cs="Arial" w:eastAsia="Arial" w:hAnsi="Arial"/>
          <w:sz w:val="16"/>
          <w:szCs w:val="16"/>
          <w:color w:val="032E5C"/>
        </w:rPr>
        <w:t>Program, senior level employees, including our executive officers, as well as our directors, are prohibited from conducting short sales or using derivatives or other instruments designed to hedge against the risk of ownership of our securities or otherwise offset any decrease in the market value of our securities, including put and call options and collar transactions. The Insider Trading Compliance Program also prohibits directors and senior level employees, including our executive officers, from pledging shares of the Company’s stock or holding them in a margin account as collateral for a loan.</w:t>
      </w:r>
    </w:p>
    <w:p>
      <w:pPr>
        <w:spacing w:after="0" w:line="94" w:lineRule="exact"/>
        <w:rPr>
          <w:rFonts w:ascii="Wingdings" w:cs="Wingdings" w:eastAsia="Wingdings" w:hAnsi="Wingdings"/>
          <w:sz w:val="16"/>
          <w:szCs w:val="16"/>
          <w:b w:val="1"/>
          <w:bCs w:val="1"/>
          <w:color w:val="auto"/>
          <w:shd w:val="clear" w:color="auto" w:fill="032E5C"/>
        </w:rPr>
      </w:pPr>
    </w:p>
    <w:p>
      <w:pPr>
        <w:ind w:left="330" w:right="840" w:hanging="330"/>
        <w:spacing w:after="0" w:line="321" w:lineRule="auto"/>
        <w:tabs>
          <w:tab w:leader="none" w:pos="324" w:val="left"/>
        </w:tabs>
        <w:numPr>
          <w:ilvl w:val="0"/>
          <w:numId w:val="36"/>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Equity Repricing. </w:t>
      </w:r>
      <w:r>
        <w:rPr>
          <w:rFonts w:ascii="Arial" w:cs="Arial" w:eastAsia="Arial" w:hAnsi="Arial"/>
          <w:sz w:val="16"/>
          <w:szCs w:val="16"/>
          <w:color w:val="032E5C"/>
        </w:rPr>
        <w:t>We expressly prohibit the repricing of</w:t>
      </w:r>
      <w:r>
        <w:rPr>
          <w:rFonts w:ascii="Arial" w:cs="Arial" w:eastAsia="Arial" w:hAnsi="Arial"/>
          <w:sz w:val="16"/>
          <w:szCs w:val="16"/>
          <w:b w:val="1"/>
          <w:bCs w:val="1"/>
          <w:color w:val="032E5C"/>
        </w:rPr>
        <w:t xml:space="preserve"> </w:t>
      </w:r>
      <w:r>
        <w:rPr>
          <w:rFonts w:ascii="Arial" w:cs="Arial" w:eastAsia="Arial" w:hAnsi="Arial"/>
          <w:sz w:val="16"/>
          <w:szCs w:val="16"/>
          <w:color w:val="032E5C"/>
        </w:rPr>
        <w:t>underwater SARs without stockholder approval.</w:t>
      </w:r>
    </w:p>
    <w:p>
      <w:pPr>
        <w:spacing w:after="0" w:line="61" w:lineRule="exact"/>
        <w:rPr>
          <w:rFonts w:ascii="Wingdings" w:cs="Wingdings" w:eastAsia="Wingdings" w:hAnsi="Wingdings"/>
          <w:sz w:val="16"/>
          <w:szCs w:val="16"/>
          <w:b w:val="1"/>
          <w:bCs w:val="1"/>
          <w:color w:val="auto"/>
          <w:shd w:val="clear" w:color="auto" w:fill="032E5C"/>
        </w:rPr>
      </w:pPr>
    </w:p>
    <w:p>
      <w:pPr>
        <w:ind w:left="330" w:right="560" w:hanging="330"/>
        <w:spacing w:after="0" w:line="301" w:lineRule="auto"/>
        <w:tabs>
          <w:tab w:leader="none" w:pos="324" w:val="left"/>
        </w:tabs>
        <w:numPr>
          <w:ilvl w:val="0"/>
          <w:numId w:val="36"/>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Pension Plans or SERPs. </w:t>
      </w:r>
      <w:r>
        <w:rPr>
          <w:rFonts w:ascii="Arial" w:cs="Arial" w:eastAsia="Arial" w:hAnsi="Arial"/>
          <w:sz w:val="16"/>
          <w:szCs w:val="16"/>
          <w:color w:val="032E5C"/>
        </w:rPr>
        <w:t>We do not provide our executive</w:t>
      </w:r>
      <w:r>
        <w:rPr>
          <w:rFonts w:ascii="Arial" w:cs="Arial" w:eastAsia="Arial" w:hAnsi="Arial"/>
          <w:sz w:val="16"/>
          <w:szCs w:val="16"/>
          <w:b w:val="1"/>
          <w:bCs w:val="1"/>
          <w:color w:val="032E5C"/>
        </w:rPr>
        <w:t xml:space="preserve"> </w:t>
      </w:r>
      <w:r>
        <w:rPr>
          <w:rFonts w:ascii="Arial" w:cs="Arial" w:eastAsia="Arial" w:hAnsi="Arial"/>
          <w:sz w:val="16"/>
          <w:szCs w:val="16"/>
          <w:color w:val="032E5C"/>
        </w:rPr>
        <w:t>officers with tax-qualified defined benefit pension plans or supplemental executive retirement plans.</w:t>
      </w:r>
    </w:p>
    <w:p>
      <w:pPr>
        <w:spacing w:after="0" w:line="2762" w:lineRule="exact"/>
        <w:rPr>
          <w:sz w:val="20"/>
          <w:szCs w:val="20"/>
          <w:color w:val="auto"/>
        </w:rPr>
      </w:pPr>
    </w:p>
    <w:p>
      <w:pPr>
        <w:sectPr>
          <w:pgSz w:w="11900" w:h="16838" w:orient="portrait"/>
          <w:cols w:equalWidth="0" w:num="2">
            <w:col w:w="5460" w:space="330"/>
            <w:col w:w="5450"/>
          </w:cols>
          <w:pgMar w:left="320" w:top="184" w:right="339" w:bottom="1440" w:gutter="0" w:footer="0" w:header="0"/>
          <w:type w:val="continuous"/>
        </w:sect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Key Objectives of Our Executive Compensation Program</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Our executive compensation program focuses on the following three key objectives:</w:t>
      </w:r>
    </w:p>
    <w:p>
      <w:pPr>
        <w:spacing w:after="0" w:line="181" w:lineRule="exact"/>
        <w:rPr>
          <w:sz w:val="20"/>
          <w:szCs w:val="20"/>
          <w:color w:val="auto"/>
        </w:rPr>
      </w:pPr>
    </w:p>
    <w:p>
      <w:pPr>
        <w:ind w:left="660" w:right="380" w:hanging="328"/>
        <w:spacing w:after="0" w:line="339" w:lineRule="auto"/>
        <w:tabs>
          <w:tab w:leader="none" w:pos="657" w:val="left"/>
        </w:tabs>
        <w:numPr>
          <w:ilvl w:val="0"/>
          <w:numId w:val="3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Emphasizing Pay-for-Performance. </w:t>
      </w:r>
      <w:r>
        <w:rPr>
          <w:rFonts w:ascii="Arial" w:cs="Arial" w:eastAsia="Arial" w:hAnsi="Arial"/>
          <w:sz w:val="16"/>
          <w:szCs w:val="16"/>
          <w:color w:val="29292B"/>
        </w:rPr>
        <w:t>Emphasize pay-for-performance by tying annual and long-term compensation incentives to achievement of</w:t>
      </w:r>
      <w:r>
        <w:rPr>
          <w:rFonts w:ascii="Arial" w:cs="Arial" w:eastAsia="Arial" w:hAnsi="Arial"/>
          <w:sz w:val="16"/>
          <w:szCs w:val="16"/>
          <w:i w:val="1"/>
          <w:iCs w:val="1"/>
          <w:color w:val="29292B"/>
        </w:rPr>
        <w:t xml:space="preserve"> </w:t>
      </w:r>
      <w:r>
        <w:rPr>
          <w:rFonts w:ascii="Arial" w:cs="Arial" w:eastAsia="Arial" w:hAnsi="Arial"/>
          <w:sz w:val="16"/>
          <w:szCs w:val="16"/>
          <w:color w:val="29292B"/>
        </w:rPr>
        <w:t>specified performance objectives or overall stock performance.</w:t>
      </w:r>
    </w:p>
    <w:p>
      <w:pPr>
        <w:spacing w:after="0" w:line="74" w:lineRule="exact"/>
        <w:rPr>
          <w:rFonts w:ascii="Wingdings" w:cs="Wingdings" w:eastAsia="Wingdings" w:hAnsi="Wingdings"/>
          <w:sz w:val="16"/>
          <w:szCs w:val="16"/>
          <w:b w:val="1"/>
          <w:bCs w:val="1"/>
          <w:color w:val="auto"/>
          <w:shd w:val="clear" w:color="auto" w:fill="3E5C7C"/>
        </w:rPr>
      </w:pPr>
    </w:p>
    <w:p>
      <w:pPr>
        <w:ind w:left="660" w:right="220" w:hanging="328"/>
        <w:spacing w:after="0" w:line="321" w:lineRule="auto"/>
        <w:tabs>
          <w:tab w:leader="none" w:pos="657" w:val="left"/>
        </w:tabs>
        <w:numPr>
          <w:ilvl w:val="0"/>
          <w:numId w:val="3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Attracting, Retaining, and Motivating. </w:t>
      </w:r>
      <w:r>
        <w:rPr>
          <w:rFonts w:ascii="Arial" w:cs="Arial" w:eastAsia="Arial" w:hAnsi="Arial"/>
          <w:sz w:val="16"/>
          <w:szCs w:val="16"/>
          <w:color w:val="29292B"/>
        </w:rPr>
        <w:t>Attract, retain, and motivate talented executives who will determine our long-term success. We have</w:t>
      </w:r>
      <w:r>
        <w:rPr>
          <w:rFonts w:ascii="Arial" w:cs="Arial" w:eastAsia="Arial" w:hAnsi="Arial"/>
          <w:sz w:val="16"/>
          <w:szCs w:val="16"/>
          <w:i w:val="1"/>
          <w:iCs w:val="1"/>
          <w:color w:val="29292B"/>
        </w:rPr>
        <w:t xml:space="preserve"> </w:t>
      </w:r>
      <w:r>
        <w:rPr>
          <w:rFonts w:ascii="Arial" w:cs="Arial" w:eastAsia="Arial" w:hAnsi="Arial"/>
          <w:sz w:val="16"/>
          <w:szCs w:val="16"/>
          <w:color w:val="29292B"/>
        </w:rPr>
        <w:t>structured our executive compensation program to be competitive with compensation paid by companies in the same market for executive talent.</w:t>
      </w:r>
    </w:p>
    <w:p>
      <w:pPr>
        <w:spacing w:after="0" w:line="88" w:lineRule="exact"/>
        <w:rPr>
          <w:rFonts w:ascii="Wingdings" w:cs="Wingdings" w:eastAsia="Wingdings" w:hAnsi="Wingdings"/>
          <w:sz w:val="16"/>
          <w:szCs w:val="16"/>
          <w:b w:val="1"/>
          <w:bCs w:val="1"/>
          <w:color w:val="auto"/>
          <w:shd w:val="clear" w:color="auto" w:fill="3E5C7C"/>
        </w:rPr>
      </w:pPr>
    </w:p>
    <w:p>
      <w:pPr>
        <w:ind w:left="660" w:right="160" w:hanging="328"/>
        <w:spacing w:after="0" w:line="319" w:lineRule="auto"/>
        <w:tabs>
          <w:tab w:leader="none" w:pos="657" w:val="left"/>
        </w:tabs>
        <w:numPr>
          <w:ilvl w:val="0"/>
          <w:numId w:val="3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Rewarding Contributions and Creating Long-Term Value</w:t>
      </w:r>
      <w:r>
        <w:rPr>
          <w:rFonts w:ascii="Arial" w:cs="Arial" w:eastAsia="Arial" w:hAnsi="Arial"/>
          <w:sz w:val="16"/>
          <w:szCs w:val="16"/>
          <w:color w:val="29292B"/>
        </w:rPr>
        <w:t>. We have structured our compensation program to recognize and reward contributions of</w:t>
      </w:r>
      <w:r>
        <w:rPr>
          <w:rFonts w:ascii="Arial" w:cs="Arial" w:eastAsia="Arial" w:hAnsi="Arial"/>
          <w:sz w:val="16"/>
          <w:szCs w:val="16"/>
          <w:i w:val="1"/>
          <w:iCs w:val="1"/>
          <w:color w:val="29292B"/>
        </w:rPr>
        <w:t xml:space="preserve"> </w:t>
      </w:r>
      <w:r>
        <w:rPr>
          <w:rFonts w:ascii="Arial" w:cs="Arial" w:eastAsia="Arial" w:hAnsi="Arial"/>
          <w:sz w:val="16"/>
          <w:szCs w:val="16"/>
          <w:color w:val="29292B"/>
        </w:rPr>
        <w:t>all employees, including executive officers, in achieving strategic goals and business objectives, while aligning the program with stockholder interests.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47</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Compensation Decision Process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Role of the Compensation Committee</w:t>
      </w:r>
    </w:p>
    <w:p>
      <w:pPr>
        <w:spacing w:after="0" w:line="11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The Compensation Committee is responsible for determining the compensation of our executive officers, including our NEOs. In appropriate circumstances, such as when new market data supports a market adjustment, the Compensation Committee, in its sole discretion, considers the recommendations of our CEO in setting executive compensation, including the compensation of the other NEOs. The Compensation Committee, however, makes all final determinations regarding these awards (subject to any matters requiring approval by the Board and/or our stockholders), and no executive officer is involved in the deliberations or the determination with respect to his or her own compensation. The non-management directors’ practice is to meet in executive session following the Board meeting in September of each year to review and ratify the Compensation Committee’s annual review of the CEO.</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Role of Management</w:t>
      </w:r>
    </w:p>
    <w:p>
      <w:pPr>
        <w:spacing w:after="0" w:line="132"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29292B"/>
        </w:rPr>
        <w:t>For executive officers other than herself, our CEO makes pay recommendations to the Compensation Committee based on competitive market data and an assessment of individual performance. Her recommendations to the Compensation Committee establish appropriate and market-competitive compensation opportunities for our executive officers, consistent with our overall pay philosophy. The Compensation Committee reviews and discusses the recommendations, in conjunction with the Compensation Committee’s independent compensation consultant, in making compensation decisions or recommendations to the full Board. No executive officer participates directly in the final deliberations or determinations regarding his or her own compensation package.</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Role of the Independent Compensation Consultant</w:t>
      </w:r>
    </w:p>
    <w:p>
      <w:pPr>
        <w:spacing w:after="0" w:line="132"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29292B"/>
        </w:rPr>
        <w:t>The Compensation Committee retains the services of Aon as its independent compensation consultant in accordance with the Compensation Committee’s charter. Aon reports directly to the Compensation Committee. The Compensation Committee retains sole authority to hire or terminate Aon, approves its professional fees, determines the nature and scope of its services, and evaluates its performance. Upon request, a representative of Aon attends Compensation Committee meetings and communicates with the Compensation Committee chair between meetings. The Compensation Committee makes all final decisions regarding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9292B"/>
        </w:rPr>
        <w:t>Aon’s specific compensation consultation roles include, but are not limited to, the following:</w:t>
      </w:r>
    </w:p>
    <w:p>
      <w:pPr>
        <w:spacing w:after="0" w:line="181" w:lineRule="exact"/>
        <w:rPr>
          <w:sz w:val="20"/>
          <w:szCs w:val="20"/>
          <w:color w:val="auto"/>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advising the Compensation Committee on director and executive compensation trends and regulatory developments;</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developing a peer group of companies for determining competitive compensation rates;</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providing a total compensation study for executives and independent non-employee board members against peer companies;</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providing advice to the Compensation Committee on corporate governance best practices, as well as any other areas of concern or risk;</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serving as a resource to the Compensation Committee chair for meeting agendas and supporting materials in advance of each meeting;</w:t>
      </w:r>
    </w:p>
    <w:p>
      <w:pPr>
        <w:spacing w:after="0" w:line="180" w:lineRule="exact"/>
        <w:rPr>
          <w:rFonts w:ascii="Wingdings" w:cs="Wingdings" w:eastAsia="Wingdings" w:hAnsi="Wingdings"/>
          <w:sz w:val="16"/>
          <w:szCs w:val="16"/>
          <w:b w:val="1"/>
          <w:bCs w:val="1"/>
          <w:color w:val="auto"/>
          <w:shd w:val="clear" w:color="auto" w:fill="3E5C7C"/>
        </w:rPr>
      </w:pPr>
    </w:p>
    <w:p>
      <w:pPr>
        <w:ind w:left="660" w:right="20" w:hanging="328"/>
        <w:spacing w:after="0" w:line="339" w:lineRule="auto"/>
        <w:tabs>
          <w:tab w:leader="none" w:pos="657"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reviewing and commenting on proxy statement disclosure items, including preparation of the CD&amp;A and the Company's 2024 Omnibus Equity Plan; and</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advising the Compensation Committee on management’s pay recommendations.</w:t>
      </w:r>
    </w:p>
    <w:p>
      <w:pPr>
        <w:spacing w:after="0" w:line="181" w:lineRule="exact"/>
        <w:rPr>
          <w:sz w:val="20"/>
          <w:szCs w:val="20"/>
          <w:color w:val="auto"/>
        </w:rPr>
      </w:pPr>
    </w:p>
    <w:p>
      <w:pPr>
        <w:jc w:val="both"/>
        <w:ind w:right="120"/>
        <w:spacing w:after="0" w:line="310" w:lineRule="auto"/>
        <w:rPr>
          <w:sz w:val="20"/>
          <w:szCs w:val="20"/>
          <w:color w:val="auto"/>
        </w:rPr>
      </w:pPr>
      <w:r>
        <w:rPr>
          <w:rFonts w:ascii="Arial" w:cs="Arial" w:eastAsia="Arial" w:hAnsi="Arial"/>
          <w:sz w:val="16"/>
          <w:szCs w:val="16"/>
          <w:color w:val="29292B"/>
        </w:rPr>
        <w:t>The Compensation Committee has assessed the independence of Aon as required by the NYSE listing standards. The Compensation Committee reviewed its relationship with Aon and considered all relevant factors, including those set forth in Rule 10C-1(b)(4)(i) through (vi) of the Exchange Act. Based on this review, the Compensation Committee concluded that there are no conflicts of interest raised by the work performed by Aon.</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48</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53" w:name="page54"/>
    <w:bookmarkEnd w:id="53"/>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Role of Peer Companies and Competitive Market Data</w:t>
      </w:r>
    </w:p>
    <w:p>
      <w:pPr>
        <w:spacing w:after="0" w:line="13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To achieve our executive compensation objectives, the Compensation Committee periodically analyzes market data and evaluates individual executive performance with a goal of setting compensation at levels the Compensation Committee believes, based on its general business and industry knowledge and experience, are comparable with executives in other companies operating in the leisure, travel, gaming, and hospitality industries, which we refer to as our “peer group.” We face a somewhat unique challenge in establishing a peer group because few publicly-traded companies participate in more than one of our operating segments. Thus, when evaluating executive compensation, the Compensation Committee includes in our peer group a variety of leisure, travel, gaming, and hospitality companies with whom we may compete for executive talent.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peer group development criteria were used to assist with peer group development for the fiscal 2024 pay study:</w:t>
      </w:r>
    </w:p>
    <w:p>
      <w:pPr>
        <w:spacing w:after="0" w:line="181" w:lineRule="exact"/>
        <w:rPr>
          <w:sz w:val="20"/>
          <w:szCs w:val="20"/>
          <w:color w:val="auto"/>
        </w:rPr>
      </w:pPr>
    </w:p>
    <w:p>
      <w:pPr>
        <w:ind w:left="660" w:hanging="328"/>
        <w:spacing w:after="0"/>
        <w:tabs>
          <w:tab w:leader="none" w:pos="660" w:val="left"/>
        </w:tabs>
        <w:numPr>
          <w:ilvl w:val="0"/>
          <w:numId w:val="3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Industries: </w:t>
      </w:r>
      <w:r>
        <w:rPr>
          <w:rFonts w:ascii="Arial" w:cs="Arial" w:eastAsia="Arial" w:hAnsi="Arial"/>
          <w:sz w:val="16"/>
          <w:szCs w:val="16"/>
          <w:color w:val="29292B"/>
        </w:rPr>
        <w:t>similar to the Company in the leisure, travel, gaming, and hospitality industries;</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Company size: </w:t>
      </w:r>
      <w:r>
        <w:rPr>
          <w:rFonts w:ascii="Arial" w:cs="Arial" w:eastAsia="Arial" w:hAnsi="Arial"/>
          <w:sz w:val="16"/>
          <w:szCs w:val="16"/>
          <w:color w:val="29292B"/>
        </w:rPr>
        <w:t>approximately 0.4 times to 3 times the Company's annual revenues, with a secondary focus on market cap;</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Peers: </w:t>
      </w:r>
      <w:r>
        <w:rPr>
          <w:rFonts w:ascii="Arial" w:cs="Arial" w:eastAsia="Arial" w:hAnsi="Arial"/>
          <w:sz w:val="16"/>
          <w:szCs w:val="16"/>
          <w:color w:val="29292B"/>
        </w:rPr>
        <w:t>companies using the Company in their compensation peer group;</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Peers of peers: </w:t>
      </w:r>
      <w:r>
        <w:rPr>
          <w:rFonts w:ascii="Arial" w:cs="Arial" w:eastAsia="Arial" w:hAnsi="Arial"/>
          <w:sz w:val="16"/>
          <w:szCs w:val="16"/>
          <w:color w:val="29292B"/>
        </w:rPr>
        <w:t>companies used in the peer groups of potential peer companies; and</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Competitors: </w:t>
      </w:r>
      <w:r>
        <w:rPr>
          <w:rFonts w:ascii="Arial" w:cs="Arial" w:eastAsia="Arial" w:hAnsi="Arial"/>
          <w:sz w:val="16"/>
          <w:szCs w:val="16"/>
          <w:color w:val="29292B"/>
        </w:rPr>
        <w:t>companies that compete with the Company for business and management talent.</w:t>
      </w:r>
    </w:p>
    <w:p>
      <w:pPr>
        <w:spacing w:after="0" w:line="181"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29292B"/>
        </w:rPr>
        <w:t>When performing its annual executive compensation review, the Compensation Committee has sole authority to engage an independent compensation consultant to assist in obtaining market data and analyzing the competitive nature of our compensation programs. In August 2023, the Compensation Committee engaged Aon to conduct a competitive market study to assist with fiscal 2024 pay decisions. The study included market data from Aon’s proprietary global compensation survey for similar-sized companies, and proxy disclosures for publicly-traded peer companies from the leisure, travel, gaming, and hospitality industries, as approved by the Compensation Committee. Our peer group approved by the Compensation Committee to assist with fiscal 2024 compensation decisions included:</w:t>
      </w:r>
    </w:p>
    <w:p>
      <w:pPr>
        <w:spacing w:after="0" w:line="213" w:lineRule="exact"/>
        <w:rPr>
          <w:sz w:val="20"/>
          <w:szCs w:val="20"/>
          <w:color w:val="auto"/>
        </w:rPr>
      </w:pPr>
    </w:p>
    <w:tbl>
      <w:tblPr>
        <w:tblLayout w:type="fixed"/>
        <w:tblInd w:w="860" w:type="dxa"/>
        <w:tblCellMar>
          <w:top w:w="0" w:type="dxa"/>
          <w:left w:w="0" w:type="dxa"/>
          <w:bottom w:w="0" w:type="dxa"/>
          <w:right w:w="0" w:type="dxa"/>
        </w:tblCellMar>
      </w:tblPr>
      <w:tr>
        <w:trPr>
          <w:trHeight w:val="376"/>
        </w:trPr>
        <w:tc>
          <w:tcPr>
            <w:tcW w:w="488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Boyd Gaming Corporation</w:t>
            </w:r>
          </w:p>
        </w:tc>
        <w:tc>
          <w:tcPr>
            <w:tcW w:w="464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PENN Entertainment, Inc.</w:t>
            </w:r>
          </w:p>
        </w:tc>
      </w:tr>
      <w:tr>
        <w:trPr>
          <w:trHeight w:val="337"/>
        </w:trPr>
        <w:tc>
          <w:tcPr>
            <w:tcW w:w="488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Cedar Fair, L.P.</w:t>
            </w:r>
          </w:p>
        </w:tc>
        <w:tc>
          <w:tcPr>
            <w:tcW w:w="464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Red Rock Resorts Inc.</w:t>
            </w:r>
          </w:p>
        </w:tc>
      </w:tr>
      <w:tr>
        <w:trPr>
          <w:trHeight w:val="351"/>
        </w:trPr>
        <w:tc>
          <w:tcPr>
            <w:tcW w:w="488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Choice Hotels International Churchill Downs Inc.</w:t>
            </w:r>
          </w:p>
        </w:tc>
        <w:tc>
          <w:tcPr>
            <w:tcW w:w="464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Royal Caribbean Cruises Ltd.</w:t>
            </w:r>
          </w:p>
        </w:tc>
      </w:tr>
      <w:tr>
        <w:trPr>
          <w:trHeight w:val="338"/>
        </w:trPr>
        <w:tc>
          <w:tcPr>
            <w:tcW w:w="488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Hilton Grand Vacations</w:t>
            </w:r>
          </w:p>
        </w:tc>
        <w:tc>
          <w:tcPr>
            <w:tcW w:w="464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Six Flags Entertainment Corporation</w:t>
            </w:r>
          </w:p>
        </w:tc>
      </w:tr>
      <w:tr>
        <w:trPr>
          <w:trHeight w:val="351"/>
        </w:trPr>
        <w:tc>
          <w:tcPr>
            <w:tcW w:w="488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Hyatt Hotels Corporation</w:t>
            </w:r>
          </w:p>
        </w:tc>
        <w:tc>
          <w:tcPr>
            <w:tcW w:w="464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Travel + Leisure Co.</w:t>
            </w:r>
          </w:p>
        </w:tc>
      </w:tr>
      <w:tr>
        <w:trPr>
          <w:trHeight w:val="338"/>
        </w:trPr>
        <w:tc>
          <w:tcPr>
            <w:tcW w:w="488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Marriott Vacations Worldwide</w:t>
            </w:r>
          </w:p>
        </w:tc>
        <w:tc>
          <w:tcPr>
            <w:tcW w:w="464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Wyndham Hotels &amp; Resorts, Inc.</w:t>
            </w:r>
          </w:p>
        </w:tc>
      </w:tr>
      <w:tr>
        <w:trPr>
          <w:trHeight w:val="351"/>
        </w:trPr>
        <w:tc>
          <w:tcPr>
            <w:tcW w:w="488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Norwegian Cruise Line Holdings Ltd</w:t>
            </w:r>
          </w:p>
        </w:tc>
        <w:tc>
          <w:tcPr>
            <w:tcW w:w="464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Wynn Resorts Ltd.</w:t>
            </w:r>
          </w:p>
        </w:tc>
      </w:tr>
      <w:tr>
        <w:trPr>
          <w:trHeight w:val="326"/>
        </w:trPr>
        <w:tc>
          <w:tcPr>
            <w:tcW w:w="4880" w:type="dxa"/>
            <w:vAlign w:val="bottom"/>
            <w:shd w:val="clear" w:color="auto" w:fill="F3EFE9"/>
          </w:tcPr>
          <w:p>
            <w:pPr>
              <w:spacing w:after="0"/>
              <w:rPr>
                <w:sz w:val="24"/>
                <w:szCs w:val="24"/>
                <w:color w:val="auto"/>
              </w:rPr>
            </w:pPr>
          </w:p>
        </w:tc>
        <w:tc>
          <w:tcPr>
            <w:tcW w:w="4640" w:type="dxa"/>
            <w:vAlign w:val="bottom"/>
            <w:shd w:val="clear" w:color="auto" w:fill="F3EFE9"/>
          </w:tcPr>
          <w:p>
            <w:pPr>
              <w:spacing w:after="0"/>
              <w:rPr>
                <w:sz w:val="24"/>
                <w:szCs w:val="24"/>
                <w:color w:val="auto"/>
              </w:rPr>
            </w:pPr>
          </w:p>
        </w:tc>
      </w:tr>
    </w:tbl>
    <w:p>
      <w:pPr>
        <w:spacing w:after="0" w:line="296"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At the time of Compensation Committee’s review, the 25th percentile of our fiscal 2024 peer group had a market cap of $3,733,000,000 and annual revenue of $1,737,000,000, the median of our fiscal 2024 peer group had a market cap of $5,522,000,000 and annual revenue of $3,567,000,000, and the 75th percentile of our fiscal 2024 peer group had a market cap of $8,242,000,000 and annual revenue of $4,750,000,000. Royal Caribbean Cruises Ltd. was added to the fiscal 2024 peer group because of their common use as part of the compensation peer group of our peers, strong brand, and comparable annual revenues.</w:t>
      </w:r>
    </w:p>
    <w:p>
      <w:pPr>
        <w:spacing w:after="0" w:line="10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29292B"/>
        </w:rPr>
        <w:t>The Compensation Committee uses competitive compensation data from the annual total compensation study of peer companies and survey data to inform its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49</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29292B"/>
        </w:rPr>
        <w:t>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The Compensation Committee also evaluates the compensation programs of other companies which, while not in the peer set, have similar characteristics of the Company’s business model, complexity, and sophistication.</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Role of Tally Sheets and Company-Specific Factors</w:t>
      </w:r>
    </w:p>
    <w:p>
      <w:pPr>
        <w:spacing w:after="0" w:line="118"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29292B"/>
        </w:rPr>
        <w:t>In addition to considering market data with respect to executive compensation practices of companies within our peer group, the Compensation Committee takes into account individual performance, our retention needs, our relative performance, and our own strategic goals. We also conduct an annual review of the aggregate level of our executive compensation program as part of our annual budget review and annual performance review processes, which includes determining the operating metrics and non-financial elements used to measure our performance and to compensate our executive officers.</w:t>
      </w:r>
    </w:p>
    <w:p>
      <w:pPr>
        <w:spacing w:after="0" w:line="96" w:lineRule="exact"/>
        <w:rPr>
          <w:sz w:val="20"/>
          <w:szCs w:val="20"/>
          <w:color w:val="auto"/>
        </w:rPr>
      </w:pPr>
    </w:p>
    <w:p>
      <w:pPr>
        <w:spacing w:after="0" w:line="299" w:lineRule="auto"/>
        <w:rPr>
          <w:sz w:val="20"/>
          <w:szCs w:val="20"/>
          <w:color w:val="auto"/>
        </w:rPr>
      </w:pPr>
      <w:r>
        <w:rPr>
          <w:rFonts w:ascii="Arial" w:cs="Arial" w:eastAsia="Arial" w:hAnsi="Arial"/>
          <w:sz w:val="16"/>
          <w:szCs w:val="16"/>
          <w:color w:val="29292B"/>
        </w:rPr>
        <w:t>The Compensation Committee, in conjunction with data and recommendations provided by our independent compensation consultant in any given year, also annually analyzes tally sheets prepared for each NEO. These tally sheets present the dollar amount of each component of the NEO’s compensation, including current cash compensation (base salary and the MIP award for the applicable fiscal year), perquisites and the value of equity awards previously granted to the NEO as of the applicable fiscal year end, as well as the amounts that would have been payable to the NEO if employment had been terminated under various scenarios as of the end of the most recently completed fiscal year. The Compensation Committee uses these tally sheets, which provide substantially the same information as is provided in the tables included in this proxy statement, together with peer group data, primarily for purposes of analyzing our NEOs’ total compensation and determining whether it is appropriate to adjust the compensation mix for our NEOs on a going-forward basis. In its most recent review of tally sheets, the Compensation Committee determined that total compensation amounts for our NEOs remained consistent with our executive compensation philosophy and objectives.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Determination of CEO Compensation</w:t>
      </w:r>
    </w:p>
    <w:p>
      <w:pPr>
        <w:spacing w:after="0" w:line="132"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29292B"/>
        </w:rPr>
        <w:t>At its second regularly scheduled meeting of the fiscal year, the Compensation Committee reviews and evaluates CEO performance, and determines performance achievement levels, for the prior fiscal year. The Committee also reviews competitive compensation data. Following review and discussion of the Company's financial performance at the first regularly scheduled Board meeting of the fiscal year, the Committee approves the CEO’s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Elements of Compensation</w:t>
      </w:r>
    </w:p>
    <w:p>
      <w:pPr>
        <w:spacing w:after="0" w:line="126" w:lineRule="exact"/>
        <w:rPr>
          <w:sz w:val="20"/>
          <w:szCs w:val="20"/>
          <w:color w:val="auto"/>
        </w:rPr>
      </w:pPr>
    </w:p>
    <w:p>
      <w:pPr>
        <w:ind w:right="640"/>
        <w:spacing w:after="0" w:line="339" w:lineRule="auto"/>
        <w:rPr>
          <w:sz w:val="20"/>
          <w:szCs w:val="20"/>
          <w:color w:val="auto"/>
        </w:rPr>
      </w:pPr>
      <w:r>
        <w:rPr>
          <w:rFonts w:ascii="Arial" w:cs="Arial" w:eastAsia="Arial" w:hAnsi="Arial"/>
          <w:sz w:val="16"/>
          <w:szCs w:val="16"/>
          <w:color w:val="29292B"/>
        </w:rPr>
        <w:t>Our executive compensation program consists of the following elements, which are reviewed annually by the Compensation Committee and may be adjusted to align with market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2" w:lineRule="exact"/>
        <w:rPr>
          <w:sz w:val="20"/>
          <w:szCs w:val="20"/>
          <w:color w:val="auto"/>
        </w:rPr>
      </w:pPr>
    </w:p>
    <w:p>
      <w:pPr>
        <w:spacing w:after="0"/>
        <w:tabs>
          <w:tab w:leader="none" w:pos="2200" w:val="left"/>
          <w:tab w:leader="none" w:pos="4940" w:val="left"/>
        </w:tabs>
        <w:rPr>
          <w:sz w:val="20"/>
          <w:szCs w:val="20"/>
          <w:color w:val="auto"/>
        </w:rPr>
      </w:pPr>
      <w:r>
        <w:rPr>
          <w:sz w:val="1"/>
          <w:szCs w:val="1"/>
          <w:color w:val="auto"/>
        </w:rPr>
        <w:drawing>
          <wp:inline distT="0" distB="0" distL="0" distR="0">
            <wp:extent cx="51435" cy="18034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180340"/>
                    </a:xfrm>
                    <a:prstGeom prst="rect">
                      <a:avLst/>
                    </a:prstGeom>
                    <a:noFill/>
                    <a:ln>
                      <a:noFill/>
                    </a:ln>
                  </pic:spPr>
                </pic:pic>
              </a:graphicData>
            </a:graphic>
          </wp:inline>
        </w:drawing>
      </w:r>
      <w:r>
        <w:rPr>
          <w:rFonts w:ascii="Arial" w:cs="Arial" w:eastAsia="Arial" w:hAnsi="Arial"/>
          <w:sz w:val="14"/>
          <w:szCs w:val="14"/>
          <w:b w:val="1"/>
          <w:bCs w:val="1"/>
          <w:color w:val="032E5C"/>
        </w:rPr>
        <w:t xml:space="preserve"> Compensation Element</w:t>
      </w:r>
      <w:r>
        <w:rPr>
          <w:sz w:val="20"/>
          <w:szCs w:val="20"/>
          <w:color w:val="auto"/>
        </w:rPr>
        <w:tab/>
      </w:r>
      <w:r>
        <w:rPr>
          <w:rFonts w:ascii="Arial" w:cs="Arial" w:eastAsia="Arial" w:hAnsi="Arial"/>
          <w:sz w:val="14"/>
          <w:szCs w:val="14"/>
          <w:b w:val="1"/>
          <w:bCs w:val="1"/>
          <w:color w:val="032E5C"/>
        </w:rPr>
        <w:t>Objective</w:t>
      </w:r>
      <w:r>
        <w:rPr>
          <w:sz w:val="20"/>
          <w:szCs w:val="20"/>
          <w:color w:val="auto"/>
        </w:rPr>
        <w:tab/>
      </w:r>
      <w:r>
        <w:rPr>
          <w:rFonts w:ascii="Arial" w:cs="Arial" w:eastAsia="Arial" w:hAnsi="Arial"/>
          <w:sz w:val="14"/>
          <w:szCs w:val="14"/>
          <w:b w:val="1"/>
          <w:bCs w:val="1"/>
          <w:color w:val="032E5C"/>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7080885"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80885" cy="3429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Base Salary</w:t>
            </w:r>
          </w:p>
        </w:tc>
        <w:tc>
          <w:tcPr>
            <w:tcW w:w="2400" w:type="dxa"/>
            <w:vAlign w:val="bottom"/>
          </w:tcPr>
          <w:p>
            <w:pPr>
              <w:ind w:left="160"/>
              <w:spacing w:after="0"/>
              <w:rPr>
                <w:sz w:val="20"/>
                <w:szCs w:val="20"/>
                <w:color w:val="auto"/>
              </w:rPr>
            </w:pPr>
            <w:r>
              <w:rPr>
                <w:rFonts w:ascii="Arial" w:cs="Arial" w:eastAsia="Arial" w:hAnsi="Arial"/>
                <w:sz w:val="16"/>
                <w:szCs w:val="16"/>
                <w:color w:val="032E5C"/>
                <w:w w:val="99"/>
              </w:rPr>
              <w:t>To attract and retain executives</w:t>
            </w:r>
          </w:p>
        </w:tc>
      </w:tr>
      <w:tr>
        <w:trPr>
          <w:trHeight w:val="215"/>
        </w:trPr>
        <w:tc>
          <w:tcPr>
            <w:tcW w:w="2060" w:type="dxa"/>
            <w:vAlign w:val="bottom"/>
            <w:shd w:val="clear" w:color="auto" w:fill="F3EFE9"/>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6"/>
                <w:szCs w:val="16"/>
                <w:color w:val="032E5C"/>
              </w:rPr>
              <w:t>with a proven track record of</w:t>
            </w:r>
          </w:p>
        </w:tc>
      </w:tr>
      <w:tr>
        <w:trPr>
          <w:trHeight w:val="216"/>
        </w:trPr>
        <w:tc>
          <w:tcPr>
            <w:tcW w:w="2060" w:type="dxa"/>
            <w:vAlign w:val="bottom"/>
            <w:shd w:val="clear" w:color="auto" w:fill="F3EFE9"/>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6"/>
                <w:szCs w:val="16"/>
                <w:color w:val="032E5C"/>
              </w:rPr>
              <w:t>performance</w:t>
            </w:r>
          </w:p>
        </w:tc>
      </w:tr>
      <w:tr>
        <w:trPr>
          <w:trHeight w:val="1149"/>
        </w:trPr>
        <w:tc>
          <w:tcPr>
            <w:tcW w:w="2060" w:type="dxa"/>
            <w:vAlign w:val="bottom"/>
            <w:shd w:val="clear" w:color="auto" w:fill="F3EFE9"/>
          </w:tcPr>
          <w:p>
            <w:pPr>
              <w:spacing w:after="0"/>
              <w:rPr>
                <w:sz w:val="24"/>
                <w:szCs w:val="24"/>
                <w:color w:val="auto"/>
              </w:rPr>
            </w:pPr>
          </w:p>
        </w:tc>
        <w:tc>
          <w:tcPr>
            <w:tcW w:w="2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333" w:right="140" w:hanging="333"/>
        <w:spacing w:after="0" w:line="282" w:lineRule="auto"/>
        <w:tabs>
          <w:tab w:leader="none" w:pos="330" w:val="left"/>
        </w:tabs>
        <w:numPr>
          <w:ilvl w:val="0"/>
          <w:numId w:val="4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Based primarily on the scope of an executive officer’s responsibilities, taking into account individual performance and experience, competitive market compensation for similar positions, as well as seniority of the individual, our ability to replace the individual, the impact the individual’s loss would have on the Company, and other factors which may be deemed to be relevant by the Compensation Committee.</w:t>
      </w:r>
    </w:p>
    <w:p>
      <w:pPr>
        <w:spacing w:after="0" w:line="93" w:lineRule="exact"/>
        <w:rPr>
          <w:rFonts w:ascii="Wingdings" w:cs="Wingdings" w:eastAsia="Wingdings" w:hAnsi="Wingdings"/>
          <w:sz w:val="16"/>
          <w:szCs w:val="16"/>
          <w:b w:val="1"/>
          <w:bCs w:val="1"/>
          <w:color w:val="auto"/>
          <w:shd w:val="clear" w:color="auto" w:fill="3E5C7C"/>
        </w:rPr>
      </w:pPr>
    </w:p>
    <w:p>
      <w:pPr>
        <w:ind w:left="313" w:hanging="313"/>
        <w:spacing w:after="0"/>
        <w:tabs>
          <w:tab w:leader="none" w:pos="313" w:val="left"/>
        </w:tabs>
        <w:numPr>
          <w:ilvl w:val="0"/>
          <w:numId w:val="4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No guaranteed increases to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132080</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08" w:lineRule="exact"/>
        <w:rPr>
          <w:sz w:val="20"/>
          <w:szCs w:val="20"/>
          <w:color w:val="auto"/>
        </w:rPr>
      </w:pPr>
    </w:p>
    <w:p>
      <w:pPr>
        <w:sectPr>
          <w:pgSz w:w="11900" w:h="16838" w:orient="portrait"/>
          <w:cols w:equalWidth="0" w:num="2">
            <w:col w:w="4460" w:space="507"/>
            <w:col w:w="6253"/>
          </w:cols>
          <w:pgMar w:left="320" w:top="167" w:right="359" w:bottom="1440" w:gutter="0" w:footer="0" w:header="0"/>
          <w:type w:val="continuous"/>
        </w:sectPr>
      </w:pP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50</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bookmarkStart w:id="55" w:name="page56"/>
    <w:bookmarkEnd w:id="55"/>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3192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2200" w:val="left"/>
          <w:tab w:leader="none" w:pos="4940" w:val="left"/>
        </w:tabs>
        <w:rPr>
          <w:sz w:val="20"/>
          <w:szCs w:val="20"/>
          <w:color w:val="auto"/>
        </w:rPr>
      </w:pPr>
      <w:r>
        <w:rPr>
          <w:sz w:val="1"/>
          <w:szCs w:val="1"/>
          <w:color w:val="auto"/>
        </w:rPr>
        <w:drawing>
          <wp:inline distT="0" distB="0" distL="0" distR="0">
            <wp:extent cx="51435" cy="17970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179705"/>
                    </a:xfrm>
                    <a:prstGeom prst="rect">
                      <a:avLst/>
                    </a:prstGeom>
                    <a:noFill/>
                    <a:ln>
                      <a:noFill/>
                    </a:ln>
                  </pic:spPr>
                </pic:pic>
              </a:graphicData>
            </a:graphic>
          </wp:inline>
        </w:drawing>
      </w:r>
      <w:r>
        <w:rPr>
          <w:rFonts w:ascii="Arial" w:cs="Arial" w:eastAsia="Arial" w:hAnsi="Arial"/>
          <w:sz w:val="14"/>
          <w:szCs w:val="14"/>
          <w:b w:val="1"/>
          <w:bCs w:val="1"/>
          <w:color w:val="032E5C"/>
        </w:rPr>
        <w:t xml:space="preserve"> Compensation Element</w:t>
      </w:r>
      <w:r>
        <w:rPr>
          <w:sz w:val="20"/>
          <w:szCs w:val="20"/>
          <w:color w:val="auto"/>
        </w:rPr>
        <w:tab/>
      </w:r>
      <w:r>
        <w:rPr>
          <w:rFonts w:ascii="Arial" w:cs="Arial" w:eastAsia="Arial" w:hAnsi="Arial"/>
          <w:sz w:val="14"/>
          <w:szCs w:val="14"/>
          <w:b w:val="1"/>
          <w:bCs w:val="1"/>
          <w:color w:val="032E5C"/>
        </w:rPr>
        <w:t>Objective</w:t>
      </w:r>
      <w:r>
        <w:rPr>
          <w:sz w:val="20"/>
          <w:szCs w:val="20"/>
          <w:color w:val="auto"/>
        </w:rPr>
        <w:tab/>
      </w:r>
      <w:r>
        <w:rPr>
          <w:rFonts w:ascii="Arial" w:cs="Arial" w:eastAsia="Arial" w:hAnsi="Arial"/>
          <w:sz w:val="14"/>
          <w:szCs w:val="14"/>
          <w:b w:val="1"/>
          <w:bCs w:val="1"/>
          <w:color w:val="032E5C"/>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7080885"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80885" cy="3429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Annual MIP Award</w:t>
            </w:r>
          </w:p>
        </w:tc>
        <w:tc>
          <w:tcPr>
            <w:tcW w:w="2360" w:type="dxa"/>
            <w:vAlign w:val="bottom"/>
          </w:tcPr>
          <w:p>
            <w:pPr>
              <w:ind w:left="160"/>
              <w:spacing w:after="0"/>
              <w:rPr>
                <w:sz w:val="20"/>
                <w:szCs w:val="20"/>
                <w:color w:val="auto"/>
              </w:rPr>
            </w:pPr>
            <w:r>
              <w:rPr>
                <w:rFonts w:ascii="Arial" w:cs="Arial" w:eastAsia="Arial" w:hAnsi="Arial"/>
                <w:sz w:val="16"/>
                <w:szCs w:val="16"/>
                <w:color w:val="032E5C"/>
              </w:rPr>
              <w:t>To motivate achievement of</w:t>
            </w:r>
          </w:p>
        </w:tc>
      </w:tr>
      <w:tr>
        <w:trPr>
          <w:trHeight w:val="215"/>
        </w:trPr>
        <w:tc>
          <w:tcPr>
            <w:tcW w:w="2060" w:type="dxa"/>
            <w:vAlign w:val="bottom"/>
            <w:shd w:val="clear" w:color="auto" w:fill="F3EFE9"/>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032E5C"/>
              </w:rPr>
              <w:t>annual financial, operational,</w:t>
            </w:r>
          </w:p>
        </w:tc>
      </w:tr>
      <w:tr>
        <w:trPr>
          <w:trHeight w:val="204"/>
        </w:trPr>
        <w:tc>
          <w:tcPr>
            <w:tcW w:w="2060" w:type="dxa"/>
            <w:vAlign w:val="bottom"/>
            <w:shd w:val="clear" w:color="auto" w:fill="F3EFE9"/>
          </w:tcPr>
          <w:p>
            <w:pPr>
              <w:spacing w:after="0"/>
              <w:rPr>
                <w:sz w:val="17"/>
                <w:szCs w:val="17"/>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032E5C"/>
              </w:rPr>
              <w:t>and strategic goals and</w:t>
            </w:r>
          </w:p>
        </w:tc>
      </w:tr>
      <w:tr>
        <w:trPr>
          <w:trHeight w:val="215"/>
        </w:trPr>
        <w:tc>
          <w:tcPr>
            <w:tcW w:w="2060" w:type="dxa"/>
            <w:vAlign w:val="bottom"/>
            <w:shd w:val="clear" w:color="auto" w:fill="F3EFE9"/>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032E5C"/>
              </w:rPr>
              <w:t>achievement of individual</w:t>
            </w:r>
          </w:p>
        </w:tc>
      </w:tr>
      <w:tr>
        <w:trPr>
          <w:trHeight w:val="216"/>
        </w:trPr>
        <w:tc>
          <w:tcPr>
            <w:tcW w:w="2060" w:type="dxa"/>
            <w:vAlign w:val="bottom"/>
            <w:shd w:val="clear" w:color="auto" w:fill="F3EFE9"/>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032E5C"/>
              </w:rPr>
              <w:t>annual performance objectives</w:t>
            </w:r>
          </w:p>
        </w:tc>
      </w:tr>
      <w:tr>
        <w:trPr>
          <w:trHeight w:val="752"/>
        </w:trPr>
        <w:tc>
          <w:tcPr>
            <w:tcW w:w="2060" w:type="dxa"/>
            <w:vAlign w:val="bottom"/>
            <w:tcBorders>
              <w:bottom w:val="single" w:sz="8" w:color="ECE8E6"/>
            </w:tcBorders>
            <w:shd w:val="clear" w:color="auto" w:fill="F3EFE9"/>
          </w:tcPr>
          <w:p>
            <w:pPr>
              <w:spacing w:after="0"/>
              <w:rPr>
                <w:sz w:val="24"/>
                <w:szCs w:val="24"/>
                <w:color w:val="auto"/>
              </w:rPr>
            </w:pPr>
          </w:p>
        </w:tc>
        <w:tc>
          <w:tcPr>
            <w:tcW w:w="2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333" w:right="160" w:hanging="333"/>
        <w:spacing w:after="0" w:line="282" w:lineRule="auto"/>
        <w:tabs>
          <w:tab w:leader="none" w:pos="330" w:val="left"/>
        </w:tabs>
        <w:numPr>
          <w:ilvl w:val="0"/>
          <w:numId w:val="4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For each fiscal year, Company performance drives the overall funding of the MIP. Additionally, individual MIP payments are subject to an individual performance multiplier for all NEOs, except for Ms. Lynch whose award is based solely on the funded amount of target MIP determined by Company performance because, unlike other NEOs, she is responsible for all aspects of Company performance, and Mr. Katz, who is not eligible for an MIP award.</w:t>
      </w:r>
    </w:p>
    <w:p>
      <w:pPr>
        <w:spacing w:after="0" w:line="106" w:lineRule="exact"/>
        <w:rPr>
          <w:rFonts w:ascii="Wingdings" w:cs="Wingdings" w:eastAsia="Wingdings" w:hAnsi="Wingdings"/>
          <w:sz w:val="16"/>
          <w:szCs w:val="16"/>
          <w:b w:val="1"/>
          <w:bCs w:val="1"/>
          <w:color w:val="auto"/>
          <w:shd w:val="clear" w:color="auto" w:fill="3E5C7C"/>
        </w:rPr>
      </w:pPr>
    </w:p>
    <w:p>
      <w:pPr>
        <w:ind w:left="313" w:hanging="313"/>
        <w:spacing w:after="0"/>
        <w:tabs>
          <w:tab w:leader="none" w:pos="313" w:val="left"/>
        </w:tabs>
        <w:numPr>
          <w:ilvl w:val="0"/>
          <w:numId w:val="4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MIP awards are paid in cash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123825</wp:posOffset>
            </wp:positionV>
            <wp:extent cx="7132320" cy="40373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4420" w:space="547"/>
            <w:col w:w="6273"/>
          </w:cols>
          <w:pgMar w:left="320" w:top="184" w:right="339" w:bottom="1440" w:gutter="0" w:footer="0" w:header="0"/>
          <w:type w:val="continuous"/>
        </w:sectPr>
      </w:pPr>
    </w:p>
    <w:p>
      <w:pPr>
        <w:ind w:left="100"/>
        <w:spacing w:after="0"/>
        <w:tabs>
          <w:tab w:leader="none" w:pos="2200" w:val="left"/>
        </w:tabs>
        <w:rPr>
          <w:sz w:val="20"/>
          <w:szCs w:val="20"/>
          <w:color w:val="auto"/>
        </w:rPr>
      </w:pPr>
      <w:r>
        <w:rPr>
          <w:rFonts w:ascii="Arial" w:cs="Arial" w:eastAsia="Arial" w:hAnsi="Arial"/>
          <w:sz w:val="16"/>
          <w:szCs w:val="16"/>
          <w:b w:val="1"/>
          <w:bCs w:val="1"/>
          <w:color w:val="032E5C"/>
        </w:rPr>
        <w:t>Equity Incentive Awards</w:t>
      </w:r>
      <w:r>
        <w:rPr>
          <w:sz w:val="20"/>
          <w:szCs w:val="20"/>
          <w:color w:val="auto"/>
        </w:rPr>
        <w:tab/>
      </w:r>
      <w:r>
        <w:rPr>
          <w:rFonts w:ascii="Arial" w:cs="Arial" w:eastAsia="Arial" w:hAnsi="Arial"/>
          <w:sz w:val="15"/>
          <w:szCs w:val="15"/>
          <w:color w:val="032E5C"/>
        </w:rPr>
        <w:t>To motivate and reward</w:t>
      </w:r>
    </w:p>
    <w:p>
      <w:pPr>
        <w:spacing w:after="0" w:line="39" w:lineRule="exact"/>
        <w:rPr>
          <w:sz w:val="20"/>
          <w:szCs w:val="20"/>
          <w:color w:val="auto"/>
        </w:rPr>
      </w:pPr>
    </w:p>
    <w:p>
      <w:pPr>
        <w:ind w:left="2220"/>
        <w:spacing w:after="0"/>
        <w:rPr>
          <w:sz w:val="20"/>
          <w:szCs w:val="20"/>
          <w:color w:val="auto"/>
        </w:rPr>
      </w:pPr>
      <w:r>
        <w:rPr>
          <w:rFonts w:ascii="Arial" w:cs="Arial" w:eastAsia="Arial" w:hAnsi="Arial"/>
          <w:sz w:val="16"/>
          <w:szCs w:val="16"/>
          <w:color w:val="032E5C"/>
        </w:rPr>
        <w:t>executive officers to achieve</w:t>
      </w:r>
    </w:p>
    <w:p>
      <w:pPr>
        <w:spacing w:after="0" w:line="25" w:lineRule="exact"/>
        <w:rPr>
          <w:sz w:val="20"/>
          <w:szCs w:val="20"/>
          <w:color w:val="auto"/>
        </w:rPr>
      </w:pPr>
    </w:p>
    <w:p>
      <w:pPr>
        <w:ind w:left="2220"/>
        <w:spacing w:after="0"/>
        <w:rPr>
          <w:sz w:val="20"/>
          <w:szCs w:val="20"/>
          <w:color w:val="auto"/>
        </w:rPr>
      </w:pPr>
      <w:r>
        <w:rPr>
          <w:rFonts w:ascii="Arial" w:cs="Arial" w:eastAsia="Arial" w:hAnsi="Arial"/>
          <w:sz w:val="16"/>
          <w:szCs w:val="16"/>
          <w:color w:val="032E5C"/>
        </w:rPr>
        <w:t>multi-year strategic goals, align</w:t>
      </w:r>
    </w:p>
    <w:p>
      <w:pPr>
        <w:spacing w:after="0" w:line="31" w:lineRule="exact"/>
        <w:rPr>
          <w:sz w:val="20"/>
          <w:szCs w:val="20"/>
          <w:color w:val="auto"/>
        </w:rPr>
      </w:pPr>
    </w:p>
    <w:p>
      <w:pPr>
        <w:ind w:left="2220"/>
        <w:spacing w:after="0"/>
        <w:rPr>
          <w:sz w:val="20"/>
          <w:szCs w:val="20"/>
          <w:color w:val="auto"/>
        </w:rPr>
      </w:pPr>
      <w:r>
        <w:rPr>
          <w:rFonts w:ascii="Arial" w:cs="Arial" w:eastAsia="Arial" w:hAnsi="Arial"/>
          <w:sz w:val="16"/>
          <w:szCs w:val="16"/>
          <w:color w:val="032E5C"/>
        </w:rPr>
        <w:t>interests with shareholders, and</w:t>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032E5C"/>
        </w:rPr>
        <w:t>to deliver sustained long-term</w:t>
      </w:r>
    </w:p>
    <w:p>
      <w:pPr>
        <w:spacing w:after="0" w:line="31" w:lineRule="exact"/>
        <w:rPr>
          <w:sz w:val="20"/>
          <w:szCs w:val="20"/>
          <w:color w:val="auto"/>
        </w:rPr>
      </w:pPr>
    </w:p>
    <w:p>
      <w:pPr>
        <w:ind w:left="2220"/>
        <w:spacing w:after="0"/>
        <w:rPr>
          <w:sz w:val="20"/>
          <w:szCs w:val="20"/>
          <w:color w:val="auto"/>
        </w:rPr>
      </w:pPr>
      <w:r>
        <w:rPr>
          <w:rFonts w:ascii="Arial" w:cs="Arial" w:eastAsia="Arial" w:hAnsi="Arial"/>
          <w:sz w:val="16"/>
          <w:szCs w:val="16"/>
          <w:color w:val="032E5C"/>
        </w:rPr>
        <w:t>value to shareholders, as well</w:t>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032E5C"/>
        </w:rPr>
        <w:t>as to attract and retain</w:t>
      </w:r>
    </w:p>
    <w:p>
      <w:pPr>
        <w:spacing w:after="0" w:line="32" w:lineRule="exact"/>
        <w:rPr>
          <w:sz w:val="20"/>
          <w:szCs w:val="20"/>
          <w:color w:val="auto"/>
        </w:rPr>
      </w:pPr>
    </w:p>
    <w:p>
      <w:pPr>
        <w:ind w:left="2220"/>
        <w:spacing w:after="0"/>
        <w:rPr>
          <w:sz w:val="20"/>
          <w:szCs w:val="20"/>
          <w:color w:val="auto"/>
        </w:rPr>
      </w:pPr>
      <w:r>
        <w:rPr>
          <w:rFonts w:ascii="Arial" w:cs="Arial" w:eastAsia="Arial" w:hAnsi="Arial"/>
          <w:sz w:val="16"/>
          <w:szCs w:val="16"/>
          <w:color w:val="032E5C"/>
        </w:rPr>
        <w:t>executive officers</w:t>
      </w:r>
    </w:p>
    <w:p>
      <w:pPr>
        <w:spacing w:after="0" w:line="20" w:lineRule="exact"/>
        <w:rPr>
          <w:sz w:val="20"/>
          <w:szCs w:val="20"/>
          <w:color w:val="auto"/>
        </w:rPr>
      </w:pPr>
      <w:r>
        <w:rPr>
          <w:sz w:val="20"/>
          <w:szCs w:val="20"/>
          <w:color w:val="auto"/>
        </w:rPr>
        <w:br w:type="column"/>
      </w:r>
    </w:p>
    <w:p>
      <w:pPr>
        <w:ind w:left="333" w:right="620" w:hanging="333"/>
        <w:spacing w:after="0" w:line="321" w:lineRule="auto"/>
        <w:tabs>
          <w:tab w:leader="none" w:pos="330" w:val="left"/>
        </w:tabs>
        <w:numPr>
          <w:ilvl w:val="0"/>
          <w:numId w:val="4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Equity awards are granted under our stockholder-approved 2015 Omnibus Incentive Plan, referred to in this proxy statement as the 2015 Plan.</w:t>
      </w:r>
    </w:p>
    <w:p>
      <w:pPr>
        <w:spacing w:after="0" w:line="74" w:lineRule="exact"/>
        <w:rPr>
          <w:rFonts w:ascii="Wingdings" w:cs="Wingdings" w:eastAsia="Wingdings" w:hAnsi="Wingdings"/>
          <w:sz w:val="16"/>
          <w:szCs w:val="16"/>
          <w:b w:val="1"/>
          <w:bCs w:val="1"/>
          <w:color w:val="auto"/>
          <w:shd w:val="clear" w:color="auto" w:fill="3E5C7C"/>
        </w:rPr>
      </w:pPr>
    </w:p>
    <w:p>
      <w:pPr>
        <w:ind w:left="333" w:right="280" w:hanging="333"/>
        <w:spacing w:after="0" w:line="282" w:lineRule="auto"/>
        <w:tabs>
          <w:tab w:leader="none" w:pos="330" w:val="left"/>
        </w:tabs>
        <w:numPr>
          <w:ilvl w:val="0"/>
          <w:numId w:val="4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For fiscal 2024, we granted time-based vesting RSUs and SARs to provide a balanced portfolio of potential wealth accumulation and alignment to our shareholders’ long-term investment interests. Value in both programs fluctuates with our stock price, and SARs only have value if the share price exceeds the exercise price.</w:t>
      </w:r>
    </w:p>
    <w:p>
      <w:pPr>
        <w:spacing w:after="0" w:line="107" w:lineRule="exact"/>
        <w:rPr>
          <w:rFonts w:ascii="Wingdings" w:cs="Wingdings" w:eastAsia="Wingdings" w:hAnsi="Wingdings"/>
          <w:sz w:val="16"/>
          <w:szCs w:val="16"/>
          <w:b w:val="1"/>
          <w:bCs w:val="1"/>
          <w:color w:val="auto"/>
          <w:shd w:val="clear" w:color="auto" w:fill="3E5C7C"/>
        </w:rPr>
      </w:pPr>
    </w:p>
    <w:p>
      <w:pPr>
        <w:ind w:left="333" w:right="280" w:hanging="333"/>
        <w:spacing w:after="0" w:line="282" w:lineRule="auto"/>
        <w:tabs>
          <w:tab w:leader="none" w:pos="330" w:val="left"/>
        </w:tabs>
        <w:numPr>
          <w:ilvl w:val="0"/>
          <w:numId w:val="4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SARs are granted with an exercise price of no less than the closing price of our common stock on the grant date. For Ms. Lynch, we grant Premium SARs with the exercise price set 10% higher than the fair market value on the grant date. Shareholders realize a 10% return before Ms. Lynch may recognize personal gains.</w:t>
      </w:r>
    </w:p>
    <w:p>
      <w:pPr>
        <w:spacing w:after="0" w:line="93" w:lineRule="exact"/>
        <w:rPr>
          <w:rFonts w:ascii="Wingdings" w:cs="Wingdings" w:eastAsia="Wingdings" w:hAnsi="Wingdings"/>
          <w:sz w:val="16"/>
          <w:szCs w:val="16"/>
          <w:b w:val="1"/>
          <w:bCs w:val="1"/>
          <w:color w:val="auto"/>
          <w:shd w:val="clear" w:color="auto" w:fill="3E5C7C"/>
        </w:rPr>
      </w:pPr>
    </w:p>
    <w:p>
      <w:pPr>
        <w:ind w:left="333" w:right="140" w:hanging="333"/>
        <w:spacing w:after="0" w:line="282" w:lineRule="auto"/>
        <w:tabs>
          <w:tab w:leader="none" w:pos="330" w:val="left"/>
        </w:tabs>
        <w:numPr>
          <w:ilvl w:val="0"/>
          <w:numId w:val="4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For equity awards granted in fiscal 2021 and beyond, in the event of a change in control, equity vesting will only accelerate if an award is not assumed or replaced or in the event of a “double trigger” termination without cause within 12 months of a change in control event. Accordingly, no outstanding unvested awards provide for accelerated vesting if such awards are assumed or replaced, or in the event of a termination without cause.</w:t>
      </w:r>
    </w:p>
    <w:p>
      <w:pPr>
        <w:spacing w:after="0" w:line="200" w:lineRule="exact"/>
        <w:rPr>
          <w:sz w:val="20"/>
          <w:szCs w:val="20"/>
          <w:color w:val="auto"/>
        </w:rPr>
      </w:pPr>
    </w:p>
    <w:p>
      <w:pPr>
        <w:sectPr>
          <w:pgSz w:w="11900" w:h="16838" w:orient="portrait"/>
          <w:cols w:equalWidth="0" w:num="2">
            <w:col w:w="4500" w:space="467"/>
            <w:col w:w="6273"/>
          </w:cols>
          <w:pgMar w:left="320" w:top="184" w:right="339" w:bottom="1440" w:gutter="0" w:footer="0" w:header="0"/>
          <w:type w:val="continuous"/>
        </w:sectPr>
      </w:pPr>
    </w:p>
    <w:p>
      <w:pPr>
        <w:spacing w:after="0" w:line="1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6"/>
                <w:szCs w:val="16"/>
                <w:b w:val="1"/>
                <w:bCs w:val="1"/>
                <w:color w:val="032E5C"/>
              </w:rPr>
              <w:t>Limited</w:t>
            </w:r>
          </w:p>
        </w:tc>
        <w:tc>
          <w:tcPr>
            <w:tcW w:w="2920" w:type="dxa"/>
            <w:vAlign w:val="bottom"/>
          </w:tcPr>
          <w:p>
            <w:pPr>
              <w:ind w:left="620"/>
              <w:spacing w:after="0"/>
              <w:rPr>
                <w:sz w:val="20"/>
                <w:szCs w:val="20"/>
                <w:color w:val="auto"/>
              </w:rPr>
            </w:pPr>
            <w:r>
              <w:rPr>
                <w:rFonts w:ascii="Arial" w:cs="Arial" w:eastAsia="Arial" w:hAnsi="Arial"/>
                <w:sz w:val="16"/>
                <w:szCs w:val="16"/>
                <w:color w:val="032E5C"/>
              </w:rPr>
              <w:t>To incentivize executives to use</w:t>
            </w:r>
          </w:p>
        </w:tc>
      </w:tr>
      <w:tr>
        <w:trPr>
          <w:trHeight w:val="216"/>
        </w:trPr>
        <w:tc>
          <w:tcPr>
            <w:tcW w:w="1500" w:type="dxa"/>
            <w:vAlign w:val="bottom"/>
          </w:tcPr>
          <w:p>
            <w:pPr>
              <w:spacing w:after="0"/>
              <w:rPr>
                <w:sz w:val="20"/>
                <w:szCs w:val="20"/>
                <w:color w:val="auto"/>
              </w:rPr>
            </w:pPr>
            <w:r>
              <w:rPr>
                <w:rFonts w:ascii="Arial" w:cs="Arial" w:eastAsia="Arial" w:hAnsi="Arial"/>
                <w:sz w:val="16"/>
                <w:szCs w:val="16"/>
                <w:b w:val="1"/>
                <w:bCs w:val="1"/>
                <w:color w:val="032E5C"/>
              </w:rPr>
              <w:t>Perquisites</w:t>
            </w:r>
          </w:p>
        </w:tc>
        <w:tc>
          <w:tcPr>
            <w:tcW w:w="2920" w:type="dxa"/>
            <w:vAlign w:val="bottom"/>
          </w:tcPr>
          <w:p>
            <w:pPr>
              <w:ind w:left="620"/>
              <w:spacing w:after="0"/>
              <w:rPr>
                <w:sz w:val="20"/>
                <w:szCs w:val="20"/>
                <w:color w:val="auto"/>
              </w:rPr>
            </w:pPr>
            <w:r>
              <w:rPr>
                <w:rFonts w:ascii="Arial" w:cs="Arial" w:eastAsia="Arial" w:hAnsi="Arial"/>
                <w:sz w:val="16"/>
                <w:szCs w:val="16"/>
                <w:color w:val="032E5C"/>
                <w:w w:val="99"/>
              </w:rPr>
              <w:t>the Company’s services in order</w:t>
            </w:r>
          </w:p>
        </w:tc>
      </w:tr>
      <w:tr>
        <w:trPr>
          <w:trHeight w:val="203"/>
        </w:trPr>
        <w:tc>
          <w:tcPr>
            <w:tcW w:w="1500" w:type="dxa"/>
            <w:vAlign w:val="bottom"/>
          </w:tcPr>
          <w:p>
            <w:pPr>
              <w:spacing w:after="0"/>
              <w:rPr>
                <w:sz w:val="17"/>
                <w:szCs w:val="17"/>
                <w:color w:val="auto"/>
              </w:rPr>
            </w:pPr>
          </w:p>
        </w:tc>
        <w:tc>
          <w:tcPr>
            <w:tcW w:w="2920" w:type="dxa"/>
            <w:vAlign w:val="bottom"/>
          </w:tcPr>
          <w:p>
            <w:pPr>
              <w:ind w:left="620"/>
              <w:spacing w:after="0"/>
              <w:rPr>
                <w:sz w:val="20"/>
                <w:szCs w:val="20"/>
                <w:color w:val="auto"/>
              </w:rPr>
            </w:pPr>
            <w:r>
              <w:rPr>
                <w:rFonts w:ascii="Arial" w:cs="Arial" w:eastAsia="Arial" w:hAnsi="Arial"/>
                <w:sz w:val="16"/>
                <w:szCs w:val="16"/>
                <w:color w:val="032E5C"/>
              </w:rPr>
              <w:t>to help them in their</w:t>
            </w:r>
          </w:p>
        </w:tc>
      </w:tr>
      <w:tr>
        <w:trPr>
          <w:trHeight w:val="215"/>
        </w:trPr>
        <w:tc>
          <w:tcPr>
            <w:tcW w:w="1500" w:type="dxa"/>
            <w:vAlign w:val="bottom"/>
          </w:tcPr>
          <w:p>
            <w:pPr>
              <w:spacing w:after="0"/>
              <w:rPr>
                <w:sz w:val="18"/>
                <w:szCs w:val="18"/>
                <w:color w:val="auto"/>
              </w:rPr>
            </w:pPr>
          </w:p>
        </w:tc>
        <w:tc>
          <w:tcPr>
            <w:tcW w:w="2920" w:type="dxa"/>
            <w:vAlign w:val="bottom"/>
          </w:tcPr>
          <w:p>
            <w:pPr>
              <w:ind w:left="620"/>
              <w:spacing w:after="0"/>
              <w:rPr>
                <w:sz w:val="20"/>
                <w:szCs w:val="20"/>
                <w:color w:val="auto"/>
              </w:rPr>
            </w:pPr>
            <w:r>
              <w:rPr>
                <w:rFonts w:ascii="Arial" w:cs="Arial" w:eastAsia="Arial" w:hAnsi="Arial"/>
                <w:sz w:val="16"/>
                <w:szCs w:val="16"/>
                <w:color w:val="032E5C"/>
              </w:rPr>
              <w:t>performance by allowing them</w:t>
            </w:r>
          </w:p>
        </w:tc>
      </w:tr>
    </w:tbl>
    <w:p>
      <w:pPr>
        <w:spacing w:after="0" w:line="1" w:lineRule="exact"/>
        <w:rPr>
          <w:sz w:val="20"/>
          <w:szCs w:val="20"/>
          <w:color w:val="auto"/>
        </w:rPr>
      </w:pPr>
    </w:p>
    <w:p>
      <w:pPr>
        <w:ind w:left="2220"/>
        <w:spacing w:after="0"/>
        <w:rPr>
          <w:sz w:val="20"/>
          <w:szCs w:val="20"/>
          <w:color w:val="auto"/>
        </w:rPr>
      </w:pPr>
      <w:r>
        <w:rPr>
          <w:rFonts w:ascii="Arial" w:cs="Arial" w:eastAsia="Arial" w:hAnsi="Arial"/>
          <w:sz w:val="16"/>
          <w:szCs w:val="16"/>
          <w:color w:val="032E5C"/>
        </w:rPr>
        <w:t>to evaluate our resorts and</w:t>
      </w:r>
    </w:p>
    <w:p>
      <w:pPr>
        <w:spacing w:after="0" w:line="31" w:lineRule="exact"/>
        <w:rPr>
          <w:sz w:val="20"/>
          <w:szCs w:val="20"/>
          <w:color w:val="auto"/>
        </w:rPr>
      </w:pPr>
    </w:p>
    <w:p>
      <w:pPr>
        <w:ind w:left="2220"/>
        <w:spacing w:after="0"/>
        <w:rPr>
          <w:sz w:val="20"/>
          <w:szCs w:val="20"/>
          <w:color w:val="auto"/>
        </w:rPr>
      </w:pPr>
      <w:r>
        <w:rPr>
          <w:rFonts w:ascii="Arial" w:cs="Arial" w:eastAsia="Arial" w:hAnsi="Arial"/>
          <w:sz w:val="16"/>
          <w:szCs w:val="16"/>
          <w:color w:val="032E5C"/>
        </w:rPr>
        <w:t>services based upon firsthand</w:t>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032E5C"/>
        </w:rPr>
        <w:t>knowledge</w:t>
      </w:r>
    </w:p>
    <w:p>
      <w:pPr>
        <w:spacing w:after="0" w:line="20" w:lineRule="exact"/>
        <w:rPr>
          <w:sz w:val="20"/>
          <w:szCs w:val="20"/>
          <w:color w:val="auto"/>
        </w:rPr>
      </w:pPr>
      <w:r>
        <w:rPr>
          <w:sz w:val="20"/>
          <w:szCs w:val="20"/>
          <w:color w:val="auto"/>
        </w:rPr>
        <w:br w:type="column"/>
      </w:r>
    </w:p>
    <w:p>
      <w:pPr>
        <w:ind w:left="333" w:right="140" w:hanging="333"/>
        <w:spacing w:after="0" w:line="282" w:lineRule="auto"/>
        <w:tabs>
          <w:tab w:leader="none" w:pos="330" w:val="left"/>
        </w:tabs>
        <w:numPr>
          <w:ilvl w:val="0"/>
          <w:numId w:val="4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Includes our Perquisite Fund Program, under which certain of our senior management, receive an annual allowance, based on executive level, to be used at the Company’s owned or operated resorts. Executives may draw against the account to pay for services or goods, at the market rate for the applicable resort or services. Amounts used by executives are taxed as ordinary income, like other compensation. Unused funds at the end of each fiscal year are forfeited.</w:t>
      </w:r>
    </w:p>
    <w:p>
      <w:pPr>
        <w:spacing w:after="0" w:line="106" w:lineRule="exact"/>
        <w:rPr>
          <w:rFonts w:ascii="Wingdings" w:cs="Wingdings" w:eastAsia="Wingdings" w:hAnsi="Wingdings"/>
          <w:sz w:val="16"/>
          <w:szCs w:val="16"/>
          <w:b w:val="1"/>
          <w:bCs w:val="1"/>
          <w:color w:val="auto"/>
          <w:shd w:val="clear" w:color="auto" w:fill="3E5C7C"/>
        </w:rPr>
      </w:pPr>
    </w:p>
    <w:p>
      <w:pPr>
        <w:ind w:left="313" w:hanging="313"/>
        <w:spacing w:after="0"/>
        <w:tabs>
          <w:tab w:leader="none" w:pos="313" w:val="left"/>
        </w:tabs>
        <w:numPr>
          <w:ilvl w:val="0"/>
          <w:numId w:val="4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All Company employees enjoy skiing privileges, including our executives.</w:t>
      </w:r>
    </w:p>
    <w:p>
      <w:pPr>
        <w:spacing w:after="0" w:line="200" w:lineRule="exact"/>
        <w:rPr>
          <w:sz w:val="20"/>
          <w:szCs w:val="20"/>
          <w:color w:val="auto"/>
        </w:rPr>
      </w:pPr>
    </w:p>
    <w:p>
      <w:pPr>
        <w:sectPr>
          <w:pgSz w:w="11900" w:h="16838" w:orient="portrait"/>
          <w:cols w:equalWidth="0" w:num="2">
            <w:col w:w="4520" w:space="447"/>
            <w:col w:w="6273"/>
          </w:cols>
          <w:pgMar w:left="320" w:top="184" w:right="339" w:bottom="1440" w:gutter="0" w:footer="0" w:header="0"/>
          <w:type w:val="continuous"/>
        </w:sect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51</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2024 Compensation Decisions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29292B"/>
        </w:rPr>
        <w:t>The Compensation Committee approved the following fiscal 2024 compensation program for Ms. Lynch:</w:t>
      </w:r>
    </w:p>
    <w:p>
      <w:pPr>
        <w:spacing w:after="0" w:line="167" w:lineRule="exact"/>
        <w:rPr>
          <w:sz w:val="20"/>
          <w:szCs w:val="20"/>
          <w:color w:val="auto"/>
        </w:rPr>
      </w:pPr>
    </w:p>
    <w:p>
      <w:pPr>
        <w:ind w:left="660" w:hanging="328"/>
        <w:spacing w:after="0"/>
        <w:tabs>
          <w:tab w:leader="none" w:pos="660" w:val="left"/>
        </w:tabs>
        <w:numPr>
          <w:ilvl w:val="0"/>
          <w:numId w:val="4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Annual base salary of $1,091,800;</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4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Annual MIP target equal to 100% of her base salary, subject to the terms and conditions of the Company’s MIP;</w:t>
      </w:r>
    </w:p>
    <w:p>
      <w:pPr>
        <w:spacing w:after="0" w:line="180" w:lineRule="exact"/>
        <w:rPr>
          <w:rFonts w:ascii="Wingdings" w:cs="Wingdings" w:eastAsia="Wingdings" w:hAnsi="Wingdings"/>
          <w:sz w:val="16"/>
          <w:szCs w:val="16"/>
          <w:b w:val="1"/>
          <w:bCs w:val="1"/>
          <w:color w:val="auto"/>
          <w:shd w:val="clear" w:color="auto" w:fill="3E5C7C"/>
        </w:rPr>
      </w:pPr>
    </w:p>
    <w:p>
      <w:pPr>
        <w:ind w:left="660" w:right="320" w:hanging="328"/>
        <w:spacing w:after="0" w:line="339" w:lineRule="auto"/>
        <w:tabs>
          <w:tab w:leader="none" w:pos="657" w:val="left"/>
        </w:tabs>
        <w:numPr>
          <w:ilvl w:val="0"/>
          <w:numId w:val="4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Annual equity target of approximately $4,913,100 comprised of 50% RSUs and 50% Premium SARs at a 10% premium to market, which vest in three equal installments beginning on the first anniversary of the grant date; and</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4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Participation in the Perquisite Fund Program with an annual allowance of $80,000 per year to be used at the Company’s owned or operated resorts.</w:t>
      </w:r>
    </w:p>
    <w:p>
      <w:pPr>
        <w:spacing w:after="0" w:line="167"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29292B"/>
        </w:rPr>
        <w:t>For fiscal 2024, the Compensation Committee approved a salary of $1,091,800 for Mr. Katz, our Executive Chairperson, and target equity awards under the 2015 Plan of approximately $1,091,800. The equity awards were comprised of 50% RSUs and 50% SARs, each of which vest in three equal installments beginning on the first anniversary of the grant date. Mr. Katz is not eligible to participate in the Company’s MIP.</w:t>
      </w:r>
    </w:p>
    <w:p>
      <w:pPr>
        <w:spacing w:after="0" w:line="90"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i w:val="1"/>
          <w:iCs w:val="1"/>
          <w:color w:val="29292B"/>
        </w:rPr>
        <w:t xml:space="preserve">Base Salary. </w:t>
      </w:r>
      <w:r>
        <w:rPr>
          <w:rFonts w:ascii="Arial" w:cs="Arial" w:eastAsia="Arial" w:hAnsi="Arial"/>
          <w:sz w:val="16"/>
          <w:szCs w:val="16"/>
          <w:color w:val="29292B"/>
        </w:rPr>
        <w:t>The Compensation Committee generally reviews and adjusts base salaries annually at its September committee meeting, with new salaries</w:t>
      </w:r>
      <w:r>
        <w:rPr>
          <w:rFonts w:ascii="Arial" w:cs="Arial" w:eastAsia="Arial" w:hAnsi="Arial"/>
          <w:sz w:val="16"/>
          <w:szCs w:val="16"/>
          <w:i w:val="1"/>
          <w:iCs w:val="1"/>
          <w:color w:val="29292B"/>
        </w:rPr>
        <w:t xml:space="preserve"> </w:t>
      </w:r>
      <w:r>
        <w:rPr>
          <w:rFonts w:ascii="Arial" w:cs="Arial" w:eastAsia="Arial" w:hAnsi="Arial"/>
          <w:sz w:val="16"/>
          <w:szCs w:val="16"/>
          <w:color w:val="29292B"/>
        </w:rPr>
        <w:t>effective as of the following pay period.</w:t>
      </w:r>
    </w:p>
    <w:p>
      <w:pPr>
        <w:spacing w:after="0" w:line="61" w:lineRule="exact"/>
        <w:rPr>
          <w:sz w:val="20"/>
          <w:szCs w:val="20"/>
          <w:color w:val="auto"/>
        </w:rPr>
      </w:pPr>
    </w:p>
    <w:p>
      <w:pPr>
        <w:ind w:right="740"/>
        <w:spacing w:after="0" w:line="339" w:lineRule="auto"/>
        <w:rPr>
          <w:sz w:val="20"/>
          <w:szCs w:val="20"/>
          <w:color w:val="auto"/>
        </w:rPr>
      </w:pPr>
      <w:r>
        <w:rPr>
          <w:rFonts w:ascii="Arial" w:cs="Arial" w:eastAsia="Arial" w:hAnsi="Arial"/>
          <w:sz w:val="16"/>
          <w:szCs w:val="16"/>
          <w:color w:val="29292B"/>
        </w:rPr>
        <w:t>Fiscal 2024 approved salaries reflect a recognition of individual performance, a thorough review of competitive market data from the Aon executive compensation study, and the overall growth and results of the Company in fiscal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3320" w:type="dxa"/>
            <w:vAlign w:val="bottom"/>
            <w:shd w:val="clear" w:color="auto" w:fill="98BDE2"/>
          </w:tcPr>
          <w:p>
            <w:pPr>
              <w:spacing w:after="0"/>
              <w:rPr>
                <w:sz w:val="16"/>
                <w:szCs w:val="16"/>
                <w:color w:val="auto"/>
              </w:rPr>
            </w:pPr>
          </w:p>
        </w:tc>
        <w:tc>
          <w:tcPr>
            <w:tcW w:w="3100" w:type="dxa"/>
            <w:vAlign w:val="bottom"/>
            <w:shd w:val="clear" w:color="auto" w:fill="98BDE2"/>
          </w:tcPr>
          <w:p>
            <w:pPr>
              <w:jc w:val="right"/>
              <w:ind w:right="448"/>
              <w:spacing w:after="0"/>
              <w:rPr>
                <w:sz w:val="20"/>
                <w:szCs w:val="20"/>
                <w:color w:val="auto"/>
              </w:rPr>
            </w:pPr>
            <w:r>
              <w:rPr>
                <w:rFonts w:ascii="Arial" w:cs="Arial" w:eastAsia="Arial" w:hAnsi="Arial"/>
                <w:sz w:val="14"/>
                <w:szCs w:val="14"/>
                <w:b w:val="1"/>
                <w:bCs w:val="1"/>
                <w:color w:val="032E5C"/>
              </w:rPr>
              <w:t>Fiscal 2023 Approved</w:t>
            </w:r>
          </w:p>
        </w:tc>
        <w:tc>
          <w:tcPr>
            <w:tcW w:w="2580" w:type="dxa"/>
            <w:vAlign w:val="bottom"/>
            <w:shd w:val="clear" w:color="auto" w:fill="98BDE2"/>
          </w:tcPr>
          <w:p>
            <w:pPr>
              <w:jc w:val="right"/>
              <w:ind w:right="508"/>
              <w:spacing w:after="0"/>
              <w:rPr>
                <w:sz w:val="20"/>
                <w:szCs w:val="20"/>
                <w:color w:val="auto"/>
              </w:rPr>
            </w:pPr>
            <w:r>
              <w:rPr>
                <w:rFonts w:ascii="Arial" w:cs="Arial" w:eastAsia="Arial" w:hAnsi="Arial"/>
                <w:sz w:val="14"/>
                <w:szCs w:val="14"/>
                <w:b w:val="1"/>
                <w:bCs w:val="1"/>
                <w:color w:val="032E5C"/>
              </w:rPr>
              <w:t>Fiscal 2024 Approved</w:t>
            </w:r>
          </w:p>
        </w:tc>
        <w:tc>
          <w:tcPr>
            <w:tcW w:w="216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 Change</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332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3100" w:type="dxa"/>
            <w:vAlign w:val="bottom"/>
            <w:shd w:val="clear" w:color="auto" w:fill="98BDE2"/>
          </w:tcPr>
          <w:p>
            <w:pPr>
              <w:jc w:val="right"/>
              <w:ind w:right="448"/>
              <w:spacing w:after="0"/>
              <w:rPr>
                <w:sz w:val="20"/>
                <w:szCs w:val="20"/>
                <w:color w:val="auto"/>
              </w:rPr>
            </w:pPr>
            <w:r>
              <w:rPr>
                <w:rFonts w:ascii="Arial" w:cs="Arial" w:eastAsia="Arial" w:hAnsi="Arial"/>
                <w:sz w:val="14"/>
                <w:szCs w:val="14"/>
                <w:b w:val="1"/>
                <w:bCs w:val="1"/>
                <w:color w:val="032E5C"/>
              </w:rPr>
              <w:t>Base Salary</w:t>
            </w:r>
          </w:p>
        </w:tc>
        <w:tc>
          <w:tcPr>
            <w:tcW w:w="2580" w:type="dxa"/>
            <w:vAlign w:val="bottom"/>
            <w:shd w:val="clear" w:color="auto" w:fill="98BDE2"/>
          </w:tcPr>
          <w:p>
            <w:pPr>
              <w:jc w:val="right"/>
              <w:ind w:right="508"/>
              <w:spacing w:after="0"/>
              <w:rPr>
                <w:sz w:val="20"/>
                <w:szCs w:val="20"/>
                <w:color w:val="auto"/>
              </w:rPr>
            </w:pPr>
            <w:r>
              <w:rPr>
                <w:rFonts w:ascii="Arial" w:cs="Arial" w:eastAsia="Arial" w:hAnsi="Arial"/>
                <w:sz w:val="14"/>
                <w:szCs w:val="14"/>
                <w:b w:val="1"/>
                <w:bCs w:val="1"/>
                <w:color w:val="032E5C"/>
              </w:rPr>
              <w:t>Base Salary</w:t>
            </w:r>
          </w:p>
        </w:tc>
        <w:tc>
          <w:tcPr>
            <w:tcW w:w="21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Approved Base Salary</w:t>
            </w:r>
          </w:p>
        </w:tc>
        <w:tc>
          <w:tcPr>
            <w:tcW w:w="0" w:type="dxa"/>
            <w:vAlign w:val="bottom"/>
          </w:tcPr>
          <w:p>
            <w:pPr>
              <w:spacing w:after="0"/>
              <w:rPr>
                <w:sz w:val="1"/>
                <w:szCs w:val="1"/>
                <w:color w:val="auto"/>
              </w:rPr>
            </w:pPr>
          </w:p>
        </w:tc>
      </w:tr>
      <w:tr>
        <w:trPr>
          <w:trHeight w:val="232"/>
        </w:trPr>
        <w:tc>
          <w:tcPr>
            <w:tcW w:w="80" w:type="dxa"/>
            <w:vAlign w:val="bottom"/>
            <w:tcBorders>
              <w:bottom w:val="single" w:sz="8" w:color="98BDE2"/>
            </w:tcBorders>
            <w:shd w:val="clear" w:color="auto" w:fill="98BDE2"/>
          </w:tcPr>
          <w:p>
            <w:pPr>
              <w:spacing w:after="0"/>
              <w:rPr>
                <w:sz w:val="20"/>
                <w:szCs w:val="20"/>
                <w:color w:val="auto"/>
              </w:rPr>
            </w:pPr>
          </w:p>
        </w:tc>
        <w:tc>
          <w:tcPr>
            <w:tcW w:w="3320" w:type="dxa"/>
            <w:vAlign w:val="bottom"/>
            <w:tcBorders>
              <w:bottom w:val="single" w:sz="8" w:color="98BDE2"/>
            </w:tcBorders>
            <w:vMerge w:val="continue"/>
            <w:shd w:val="clear" w:color="auto" w:fill="98BDE2"/>
          </w:tcPr>
          <w:p>
            <w:pPr>
              <w:spacing w:after="0"/>
              <w:rPr>
                <w:sz w:val="20"/>
                <w:szCs w:val="20"/>
                <w:color w:val="auto"/>
              </w:rPr>
            </w:pPr>
          </w:p>
        </w:tc>
        <w:tc>
          <w:tcPr>
            <w:tcW w:w="3100" w:type="dxa"/>
            <w:vAlign w:val="bottom"/>
            <w:tcBorders>
              <w:bottom w:val="single" w:sz="8" w:color="98BDE2"/>
            </w:tcBorders>
            <w:shd w:val="clear" w:color="auto" w:fill="98BDE2"/>
          </w:tcPr>
          <w:p>
            <w:pPr>
              <w:jc w:val="right"/>
              <w:ind w:right="448"/>
              <w:spacing w:after="0"/>
              <w:rPr>
                <w:sz w:val="20"/>
                <w:szCs w:val="20"/>
                <w:color w:val="auto"/>
              </w:rPr>
            </w:pPr>
            <w:r>
              <w:rPr>
                <w:rFonts w:ascii="Arial" w:cs="Arial" w:eastAsia="Arial" w:hAnsi="Arial"/>
                <w:sz w:val="14"/>
                <w:szCs w:val="14"/>
                <w:b w:val="1"/>
                <w:bCs w:val="1"/>
                <w:color w:val="032E5C"/>
              </w:rPr>
              <w:t>($)</w:t>
            </w:r>
          </w:p>
        </w:tc>
        <w:tc>
          <w:tcPr>
            <w:tcW w:w="2580" w:type="dxa"/>
            <w:vAlign w:val="bottom"/>
            <w:tcBorders>
              <w:bottom w:val="single" w:sz="8" w:color="98BDE2"/>
            </w:tcBorders>
            <w:shd w:val="clear" w:color="auto" w:fill="98BDE2"/>
          </w:tcPr>
          <w:p>
            <w:pPr>
              <w:jc w:val="right"/>
              <w:ind w:right="468"/>
              <w:spacing w:after="0"/>
              <w:rPr>
                <w:sz w:val="20"/>
                <w:szCs w:val="20"/>
                <w:color w:val="auto"/>
              </w:rPr>
            </w:pPr>
            <w:r>
              <w:rPr>
                <w:rFonts w:ascii="Arial" w:cs="Arial" w:eastAsia="Arial" w:hAnsi="Arial"/>
                <w:sz w:val="14"/>
                <w:szCs w:val="14"/>
                <w:b w:val="1"/>
                <w:bCs w:val="1"/>
                <w:color w:val="032E5C"/>
              </w:rPr>
              <w:t>($)</w:t>
            </w:r>
          </w:p>
        </w:tc>
        <w:tc>
          <w:tcPr>
            <w:tcW w:w="216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Kirsten A. Lynch</w:t>
            </w:r>
          </w:p>
        </w:tc>
        <w:tc>
          <w:tcPr>
            <w:tcW w:w="310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1,060,000</w:t>
            </w:r>
          </w:p>
        </w:tc>
        <w:tc>
          <w:tcPr>
            <w:tcW w:w="258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1,091,800</w:t>
            </w:r>
          </w:p>
        </w:tc>
        <w:tc>
          <w:tcPr>
            <w:tcW w:w="216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3.0</w:t>
            </w: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310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1,060,000</w:t>
            </w:r>
          </w:p>
        </w:tc>
        <w:tc>
          <w:tcPr>
            <w:tcW w:w="258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1,091,800</w:t>
            </w:r>
          </w:p>
        </w:tc>
        <w:tc>
          <w:tcPr>
            <w:tcW w:w="216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3.0</w:t>
            </w: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310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550,000</w:t>
            </w:r>
          </w:p>
        </w:tc>
        <w:tc>
          <w:tcPr>
            <w:tcW w:w="258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590,000</w:t>
            </w:r>
          </w:p>
        </w:tc>
        <w:tc>
          <w:tcPr>
            <w:tcW w:w="216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7.3</w:t>
            </w:r>
          </w:p>
        </w:tc>
        <w:tc>
          <w:tcPr>
            <w:tcW w:w="0" w:type="dxa"/>
            <w:vAlign w:val="bottom"/>
          </w:tcPr>
          <w:p>
            <w:pPr>
              <w:spacing w:after="0"/>
              <w:rPr>
                <w:sz w:val="1"/>
                <w:szCs w:val="1"/>
                <w:color w:val="auto"/>
              </w:rPr>
            </w:pP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William C. Rock</w:t>
            </w:r>
          </w:p>
        </w:tc>
        <w:tc>
          <w:tcPr>
            <w:tcW w:w="310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500,000</w:t>
            </w:r>
          </w:p>
        </w:tc>
        <w:tc>
          <w:tcPr>
            <w:tcW w:w="258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515,000</w:t>
            </w:r>
          </w:p>
        </w:tc>
        <w:tc>
          <w:tcPr>
            <w:tcW w:w="216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3.0</w:t>
            </w:r>
          </w:p>
        </w:tc>
        <w:tc>
          <w:tcPr>
            <w:tcW w:w="0" w:type="dxa"/>
            <w:vAlign w:val="bottom"/>
          </w:tcPr>
          <w:p>
            <w:pPr>
              <w:spacing w:after="0"/>
              <w:rPr>
                <w:sz w:val="1"/>
                <w:szCs w:val="1"/>
                <w:color w:val="auto"/>
              </w:rPr>
            </w:pPr>
          </w:p>
        </w:tc>
      </w:tr>
      <w:tr>
        <w:trPr>
          <w:trHeight w:val="230"/>
        </w:trPr>
        <w:tc>
          <w:tcPr>
            <w:tcW w:w="80" w:type="dxa"/>
            <w:vAlign w:val="bottom"/>
            <w:tcBorders>
              <w:bottom w:val="single" w:sz="8" w:color="98BDE2"/>
            </w:tcBorders>
            <w:shd w:val="clear" w:color="auto" w:fill="F3EFE9"/>
          </w:tcPr>
          <w:p>
            <w:pPr>
              <w:spacing w:after="0"/>
              <w:rPr>
                <w:sz w:val="19"/>
                <w:szCs w:val="19"/>
                <w:color w:val="auto"/>
              </w:rPr>
            </w:pPr>
          </w:p>
        </w:tc>
        <w:tc>
          <w:tcPr>
            <w:tcW w:w="33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David T. Shapiro</w:t>
            </w:r>
            <w:r>
              <w:rPr>
                <w:rFonts w:ascii="Arial" w:cs="Arial" w:eastAsia="Arial" w:hAnsi="Arial"/>
                <w:sz w:val="18"/>
                <w:szCs w:val="18"/>
                <w:b w:val="1"/>
                <w:bCs w:val="1"/>
                <w:color w:val="032E5C"/>
                <w:vertAlign w:val="superscript"/>
              </w:rPr>
              <w:t>(1)</w:t>
            </w:r>
          </w:p>
        </w:tc>
        <w:tc>
          <w:tcPr>
            <w:tcW w:w="310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609,500</w:t>
            </w:r>
          </w:p>
        </w:tc>
        <w:tc>
          <w:tcPr>
            <w:tcW w:w="258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627,785</w:t>
            </w:r>
          </w:p>
        </w:tc>
        <w:tc>
          <w:tcPr>
            <w:tcW w:w="216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3.0</w:t>
            </w: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shd w:val="clear" w:color="auto" w:fill="F3EFE9"/>
          </w:tcPr>
          <w:p>
            <w:pPr>
              <w:spacing w:after="0"/>
              <w:rPr>
                <w:sz w:val="20"/>
                <w:szCs w:val="20"/>
                <w:color w:val="auto"/>
              </w:rPr>
            </w:pPr>
          </w:p>
        </w:tc>
        <w:tc>
          <w:tcPr>
            <w:tcW w:w="3320" w:type="dxa"/>
            <w:vAlign w:val="bottom"/>
            <w:tcBorders>
              <w:bottom w:val="single" w:sz="8" w:color="3E5C7C"/>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Gregory J. Sullivan</w:t>
            </w:r>
          </w:p>
        </w:tc>
        <w:tc>
          <w:tcPr>
            <w:tcW w:w="3100" w:type="dxa"/>
            <w:vAlign w:val="bottom"/>
            <w:tcBorders>
              <w:bottom w:val="single" w:sz="8" w:color="3E5C7C"/>
            </w:tcBorders>
          </w:tcPr>
          <w:p>
            <w:pPr>
              <w:jc w:val="right"/>
              <w:ind w:right="508"/>
              <w:spacing w:after="0"/>
              <w:rPr>
                <w:sz w:val="20"/>
                <w:szCs w:val="20"/>
                <w:color w:val="auto"/>
              </w:rPr>
            </w:pPr>
            <w:r>
              <w:rPr>
                <w:rFonts w:ascii="Arial" w:cs="Arial" w:eastAsia="Arial" w:hAnsi="Arial"/>
                <w:sz w:val="14"/>
                <w:szCs w:val="14"/>
                <w:color w:val="032E5C"/>
              </w:rPr>
              <w:t>427,869</w:t>
            </w:r>
          </w:p>
        </w:tc>
        <w:tc>
          <w:tcPr>
            <w:tcW w:w="2580" w:type="dxa"/>
            <w:vAlign w:val="bottom"/>
            <w:tcBorders>
              <w:bottom w:val="single" w:sz="8" w:color="3E5C7C"/>
            </w:tcBorders>
          </w:tcPr>
          <w:p>
            <w:pPr>
              <w:jc w:val="right"/>
              <w:ind w:right="508"/>
              <w:spacing w:after="0"/>
              <w:rPr>
                <w:sz w:val="20"/>
                <w:szCs w:val="20"/>
                <w:color w:val="auto"/>
              </w:rPr>
            </w:pPr>
            <w:r>
              <w:rPr>
                <w:rFonts w:ascii="Arial" w:cs="Arial" w:eastAsia="Arial" w:hAnsi="Arial"/>
                <w:sz w:val="14"/>
                <w:szCs w:val="14"/>
                <w:color w:val="032E5C"/>
              </w:rPr>
              <w:t>440,705</w:t>
            </w:r>
          </w:p>
        </w:tc>
        <w:tc>
          <w:tcPr>
            <w:tcW w:w="2160" w:type="dxa"/>
            <w:vAlign w:val="bottom"/>
            <w:tcBorders>
              <w:bottom w:val="single" w:sz="8" w:color="3E5C7C"/>
            </w:tcBorders>
          </w:tcPr>
          <w:p>
            <w:pPr>
              <w:jc w:val="right"/>
              <w:ind w:right="88"/>
              <w:spacing w:after="0"/>
              <w:rPr>
                <w:sz w:val="20"/>
                <w:szCs w:val="20"/>
                <w:color w:val="auto"/>
              </w:rPr>
            </w:pPr>
            <w:r>
              <w:rPr>
                <w:rFonts w:ascii="Arial" w:cs="Arial" w:eastAsia="Arial" w:hAnsi="Arial"/>
                <w:sz w:val="14"/>
                <w:szCs w:val="14"/>
                <w:color w:val="032E5C"/>
              </w:rPr>
              <w:t>3.0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620" w:hanging="332"/>
        <w:spacing w:after="0" w:line="305" w:lineRule="auto"/>
        <w:tabs>
          <w:tab w:leader="none" w:pos="340" w:val="left"/>
        </w:tabs>
        <w:numPr>
          <w:ilvl w:val="0"/>
          <w:numId w:val="45"/>
        </w:numPr>
        <w:rPr>
          <w:rFonts w:ascii="Arial" w:cs="Arial" w:eastAsia="Arial" w:hAnsi="Arial"/>
          <w:sz w:val="14"/>
          <w:szCs w:val="14"/>
          <w:color w:val="29292B"/>
        </w:rPr>
      </w:pPr>
      <w:r>
        <w:rPr>
          <w:rFonts w:ascii="Arial" w:cs="Arial" w:eastAsia="Arial" w:hAnsi="Arial"/>
          <w:sz w:val="14"/>
          <w:szCs w:val="14"/>
          <w:color w:val="29292B"/>
        </w:rPr>
        <w:t>Mr. Shapiro's 2024 fiscal year salary reflects his approved full year base salary. Mr. Shapiro's actual salary through the date of his departure from the Company on February 23, 2024 was $371,443.</w:t>
      </w:r>
    </w:p>
    <w:p>
      <w:pPr>
        <w:spacing w:after="0" w:line="166"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i w:val="1"/>
          <w:iCs w:val="1"/>
          <w:color w:val="29292B"/>
        </w:rPr>
        <w:t xml:space="preserve">Annual MIP Awards. </w:t>
      </w:r>
      <w:r>
        <w:rPr>
          <w:rFonts w:ascii="Arial" w:cs="Arial" w:eastAsia="Arial" w:hAnsi="Arial"/>
          <w:sz w:val="16"/>
          <w:szCs w:val="16"/>
          <w:color w:val="29292B"/>
        </w:rPr>
        <w:t>Certain of our NEOs were eligible to receive an annual MIP award for fiscal 2024 based upon the Company’s performance and for all</w:t>
      </w:r>
      <w:r>
        <w:rPr>
          <w:rFonts w:ascii="Arial" w:cs="Arial" w:eastAsia="Arial" w:hAnsi="Arial"/>
          <w:sz w:val="16"/>
          <w:szCs w:val="16"/>
          <w:i w:val="1"/>
          <w:iCs w:val="1"/>
          <w:color w:val="29292B"/>
        </w:rPr>
        <w:t xml:space="preserve"> </w:t>
      </w:r>
      <w:r>
        <w:rPr>
          <w:rFonts w:ascii="Arial" w:cs="Arial" w:eastAsia="Arial" w:hAnsi="Arial"/>
          <w:sz w:val="16"/>
          <w:szCs w:val="16"/>
          <w:color w:val="29292B"/>
        </w:rPr>
        <w:t>NEOs other than Ms. Lynch, the NEO’s individual performance during fiscal 2024. As Executive Chairperson, Mr. Katz is not eligible to participate in the MIP.</w:t>
      </w:r>
    </w:p>
    <w:p>
      <w:pPr>
        <w:spacing w:after="0" w:line="6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29292B"/>
        </w:rPr>
        <w:t xml:space="preserve">Annual Funding of the MIP. </w:t>
      </w:r>
      <w:r>
        <w:rPr>
          <w:rFonts w:ascii="Arial" w:cs="Arial" w:eastAsia="Arial" w:hAnsi="Arial"/>
          <w:sz w:val="16"/>
          <w:szCs w:val="16"/>
          <w:color w:val="29292B"/>
        </w:rPr>
        <w:t>The Compensation Committee has established Resort Reported EBITDA as the primary performance measure to determine MIP</w:t>
      </w:r>
      <w:r>
        <w:rPr>
          <w:rFonts w:ascii="Arial" w:cs="Arial" w:eastAsia="Arial" w:hAnsi="Arial"/>
          <w:sz w:val="16"/>
          <w:szCs w:val="16"/>
          <w:i w:val="1"/>
          <w:iCs w:val="1"/>
          <w:color w:val="29292B"/>
        </w:rPr>
        <w:t xml:space="preserve"> </w:t>
      </w:r>
      <w:r>
        <w:rPr>
          <w:rFonts w:ascii="Arial" w:cs="Arial" w:eastAsia="Arial" w:hAnsi="Arial"/>
          <w:sz w:val="16"/>
          <w:szCs w:val="16"/>
          <w:color w:val="29292B"/>
        </w:rPr>
        <w:t>funding. The Compensation Committee bases the Resort Reported EBITDA target on the target set by our Board annually when approving the Company’s financial budget. In setting the performance measures and goals, the Compensation Committee considers our past performance, broader economic trends that may impact us in the upcoming year, and our historical performance against MIP targets.</w:t>
      </w:r>
    </w:p>
    <w:p>
      <w:pPr>
        <w:spacing w:after="0" w:line="96" w:lineRule="exact"/>
        <w:rPr>
          <w:sz w:val="20"/>
          <w:szCs w:val="20"/>
          <w:color w:val="auto"/>
        </w:rPr>
      </w:pPr>
    </w:p>
    <w:p>
      <w:pPr>
        <w:jc w:val="both"/>
        <w:ind w:right="460"/>
        <w:spacing w:after="0" w:line="310" w:lineRule="auto"/>
        <w:rPr>
          <w:sz w:val="20"/>
          <w:szCs w:val="20"/>
          <w:color w:val="auto"/>
        </w:rPr>
      </w:pPr>
      <w:r>
        <w:rPr>
          <w:rFonts w:ascii="Arial" w:cs="Arial" w:eastAsia="Arial" w:hAnsi="Arial"/>
          <w:sz w:val="16"/>
          <w:szCs w:val="16"/>
          <w:color w:val="29292B"/>
        </w:rPr>
        <w:t>Please see pages 44, 45, and 54 of our Annual Report on Form 10-K filed on September 26, 2024 for information regarding our use of the non-GAAP financial measures discussed in this CD&amp;A. For a reconciliation of the differences between Resort Reported EBITDA and the most directly comparable GAAP financial measures, see Appendix A of this proxy statement.</w:t>
      </w:r>
    </w:p>
    <w:p>
      <w:pPr>
        <w:spacing w:after="0" w:line="9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i w:val="1"/>
          <w:iCs w:val="1"/>
          <w:color w:val="29292B"/>
        </w:rPr>
        <w:t xml:space="preserve">Resort Reported EBITDA Target. </w:t>
      </w:r>
      <w:r>
        <w:rPr>
          <w:rFonts w:ascii="Arial" w:cs="Arial" w:eastAsia="Arial" w:hAnsi="Arial"/>
          <w:sz w:val="16"/>
          <w:szCs w:val="16"/>
          <w:color w:val="29292B"/>
        </w:rPr>
        <w:t>For fiscal 2024, the Resort Reported EBITDA target was set at $940 million, which was based upon our approved budget</w:t>
      </w:r>
      <w:r>
        <w:rPr>
          <w:rFonts w:ascii="Arial" w:cs="Arial" w:eastAsia="Arial" w:hAnsi="Arial"/>
          <w:sz w:val="16"/>
          <w:szCs w:val="16"/>
          <w:i w:val="1"/>
          <w:iCs w:val="1"/>
          <w:color w:val="29292B"/>
        </w:rPr>
        <w:t xml:space="preserve"> </w:t>
      </w:r>
      <w:r>
        <w:rPr>
          <w:rFonts w:ascii="Arial" w:cs="Arial" w:eastAsia="Arial" w:hAnsi="Arial"/>
          <w:sz w:val="16"/>
          <w:szCs w:val="16"/>
          <w:color w:val="29292B"/>
        </w:rPr>
        <w:t>for fiscal 2024. This target excludes (i) any EBITDA and related closing, acquisition, and integration related expenses associated with any acquisitions completed or signed during fiscal 2024 (including Crans-Montana Mountain Resort), (ii) the impact of any exercises of SARs by the CEO or Executive Chairperson during the fiscal year (of which there were none for fiscal 2024), and (iii) the impact of any currency fluctuations on the Company’s results.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52</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57" w:name="page58"/>
    <w:bookmarkEnd w:id="57"/>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29292B"/>
        </w:rPr>
        <w:t>The Compensation Committee established the performance measure at the beginning of the fiscal year with the expectation that the target level of performance of these goals would require significant effort and substantial progress toward our strategic plan goals in light of the business environment at that time.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summarizes funding opportunity from threshold to maximum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MIP Funding for Resort Reported EBITDA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shd w:val="clear" w:color="auto" w:fill="98BDE2"/>
          </w:tcPr>
          <w:p>
            <w:pPr>
              <w:jc w:val="center"/>
              <w:ind w:left="508"/>
              <w:spacing w:after="0"/>
              <w:rPr>
                <w:sz w:val="20"/>
                <w:szCs w:val="20"/>
                <w:color w:val="auto"/>
              </w:rPr>
            </w:pPr>
            <w:r>
              <w:rPr>
                <w:rFonts w:ascii="Arial" w:cs="Arial" w:eastAsia="Arial" w:hAnsi="Arial"/>
                <w:sz w:val="14"/>
                <w:szCs w:val="14"/>
                <w:b w:val="1"/>
                <w:bCs w:val="1"/>
                <w:color w:val="032E5C"/>
              </w:rPr>
              <w:t>Percentage of Target</w:t>
            </w:r>
          </w:p>
        </w:tc>
        <w:tc>
          <w:tcPr>
            <w:tcW w:w="470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Percentage of Annual Target Funding Level Available</w:t>
            </w:r>
          </w:p>
        </w:tc>
        <w:tc>
          <w:tcPr>
            <w:tcW w:w="3280" w:type="dxa"/>
            <w:vAlign w:val="bottom"/>
            <w:shd w:val="clear" w:color="auto" w:fill="98BDE2"/>
          </w:tcPr>
          <w:p>
            <w:pPr>
              <w:jc w:val="center"/>
              <w:ind w:right="508"/>
              <w:spacing w:after="0"/>
              <w:rPr>
                <w:sz w:val="20"/>
                <w:szCs w:val="20"/>
                <w:color w:val="auto"/>
              </w:rPr>
            </w:pPr>
            <w:r>
              <w:rPr>
                <w:rFonts w:ascii="Arial" w:cs="Arial" w:eastAsia="Arial" w:hAnsi="Arial"/>
                <w:sz w:val="14"/>
                <w:szCs w:val="14"/>
                <w:b w:val="1"/>
                <w:bCs w:val="1"/>
                <w:color w:val="032E5C"/>
              </w:rPr>
              <w:t>Fiscal 2024 Resort</w:t>
            </w:r>
          </w:p>
        </w:tc>
      </w:tr>
      <w:tr>
        <w:trPr>
          <w:trHeight w:val="175"/>
        </w:trPr>
        <w:tc>
          <w:tcPr>
            <w:tcW w:w="3240" w:type="dxa"/>
            <w:vAlign w:val="bottom"/>
            <w:shd w:val="clear" w:color="auto" w:fill="98BDE2"/>
          </w:tcPr>
          <w:p>
            <w:pPr>
              <w:jc w:val="center"/>
              <w:ind w:left="528"/>
              <w:spacing w:after="0"/>
              <w:rPr>
                <w:sz w:val="20"/>
                <w:szCs w:val="20"/>
                <w:color w:val="auto"/>
              </w:rPr>
            </w:pPr>
            <w:r>
              <w:rPr>
                <w:rFonts w:ascii="Arial" w:cs="Arial" w:eastAsia="Arial" w:hAnsi="Arial"/>
                <w:sz w:val="14"/>
                <w:szCs w:val="14"/>
                <w:b w:val="1"/>
                <w:bCs w:val="1"/>
                <w:color w:val="032E5C"/>
              </w:rPr>
              <w:t>Performance Achieved</w:t>
            </w:r>
          </w:p>
        </w:tc>
        <w:tc>
          <w:tcPr>
            <w:tcW w:w="470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under the MIP</w:t>
            </w:r>
          </w:p>
        </w:tc>
        <w:tc>
          <w:tcPr>
            <w:tcW w:w="3280" w:type="dxa"/>
            <w:vAlign w:val="bottom"/>
            <w:shd w:val="clear" w:color="auto" w:fill="98BDE2"/>
          </w:tcPr>
          <w:p>
            <w:pPr>
              <w:jc w:val="center"/>
              <w:ind w:right="508"/>
              <w:spacing w:after="0"/>
              <w:rPr>
                <w:sz w:val="20"/>
                <w:szCs w:val="20"/>
                <w:color w:val="auto"/>
              </w:rPr>
            </w:pPr>
            <w:r>
              <w:rPr>
                <w:rFonts w:ascii="Arial" w:cs="Arial" w:eastAsia="Arial" w:hAnsi="Arial"/>
                <w:sz w:val="14"/>
                <w:szCs w:val="14"/>
                <w:b w:val="1"/>
                <w:bCs w:val="1"/>
                <w:color w:val="032E5C"/>
              </w:rPr>
              <w:t>Reported EBITDA Value</w:t>
            </w:r>
          </w:p>
        </w:tc>
      </w:tr>
      <w:tr>
        <w:trPr>
          <w:trHeight w:val="232"/>
        </w:trPr>
        <w:tc>
          <w:tcPr>
            <w:tcW w:w="3240" w:type="dxa"/>
            <w:vAlign w:val="bottom"/>
            <w:tcBorders>
              <w:bottom w:val="single" w:sz="8" w:color="98BDE2"/>
            </w:tcBorders>
            <w:shd w:val="clear" w:color="auto" w:fill="98BDE2"/>
          </w:tcPr>
          <w:p>
            <w:pPr>
              <w:jc w:val="center"/>
              <w:ind w:left="548"/>
              <w:spacing w:after="0"/>
              <w:rPr>
                <w:sz w:val="20"/>
                <w:szCs w:val="20"/>
                <w:color w:val="auto"/>
              </w:rPr>
            </w:pPr>
            <w:r>
              <w:rPr>
                <w:rFonts w:ascii="Arial" w:cs="Arial" w:eastAsia="Arial" w:hAnsi="Arial"/>
                <w:sz w:val="14"/>
                <w:szCs w:val="14"/>
                <w:b w:val="1"/>
                <w:bCs w:val="1"/>
                <w:color w:val="032E5C"/>
              </w:rPr>
              <w:t>(%)</w:t>
            </w:r>
          </w:p>
        </w:tc>
        <w:tc>
          <w:tcPr>
            <w:tcW w:w="470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032E5C"/>
              </w:rPr>
              <w:t>(%)</w:t>
            </w:r>
          </w:p>
        </w:tc>
        <w:tc>
          <w:tcPr>
            <w:tcW w:w="3280" w:type="dxa"/>
            <w:vAlign w:val="bottom"/>
            <w:tcBorders>
              <w:bottom w:val="single" w:sz="8" w:color="98BDE2"/>
            </w:tcBorders>
            <w:shd w:val="clear" w:color="auto" w:fill="98BDE2"/>
          </w:tcPr>
          <w:p>
            <w:pPr>
              <w:jc w:val="center"/>
              <w:ind w:right="508"/>
              <w:spacing w:after="0"/>
              <w:rPr>
                <w:sz w:val="20"/>
                <w:szCs w:val="20"/>
                <w:color w:val="auto"/>
              </w:rPr>
            </w:pPr>
            <w:r>
              <w:rPr>
                <w:rFonts w:ascii="Arial" w:cs="Arial" w:eastAsia="Arial" w:hAnsi="Arial"/>
                <w:sz w:val="14"/>
                <w:szCs w:val="14"/>
                <w:b w:val="1"/>
                <w:bCs w:val="1"/>
                <w:color w:val="032E5C"/>
              </w:rPr>
              <w:t>($)</w:t>
            </w:r>
          </w:p>
        </w:tc>
      </w:tr>
      <w:tr>
        <w:trPr>
          <w:trHeight w:val="208"/>
        </w:trPr>
        <w:tc>
          <w:tcPr>
            <w:tcW w:w="3240" w:type="dxa"/>
            <w:vAlign w:val="bottom"/>
          </w:tcPr>
          <w:p>
            <w:pPr>
              <w:jc w:val="center"/>
              <w:ind w:left="528"/>
              <w:spacing w:after="0"/>
              <w:rPr>
                <w:sz w:val="20"/>
                <w:szCs w:val="20"/>
                <w:color w:val="auto"/>
              </w:rPr>
            </w:pPr>
            <w:r>
              <w:rPr>
                <w:rFonts w:ascii="Arial" w:cs="Arial" w:eastAsia="Arial" w:hAnsi="Arial"/>
                <w:sz w:val="14"/>
                <w:szCs w:val="14"/>
                <w:color w:val="032E5C"/>
              </w:rPr>
              <w:t>Less than 80%</w:t>
            </w:r>
          </w:p>
        </w:tc>
        <w:tc>
          <w:tcPr>
            <w:tcW w:w="4700" w:type="dxa"/>
            <w:vAlign w:val="bottom"/>
          </w:tcPr>
          <w:p>
            <w:pPr>
              <w:jc w:val="center"/>
              <w:spacing w:after="0"/>
              <w:rPr>
                <w:sz w:val="20"/>
                <w:szCs w:val="20"/>
                <w:color w:val="auto"/>
              </w:rPr>
            </w:pPr>
            <w:r>
              <w:rPr>
                <w:rFonts w:ascii="Arial" w:cs="Arial" w:eastAsia="Arial" w:hAnsi="Arial"/>
                <w:sz w:val="14"/>
                <w:szCs w:val="14"/>
                <w:color w:val="032E5C"/>
                <w:w w:val="98"/>
              </w:rPr>
              <w:t>0%</w:t>
            </w:r>
          </w:p>
        </w:tc>
        <w:tc>
          <w:tcPr>
            <w:tcW w:w="3280" w:type="dxa"/>
            <w:vAlign w:val="bottom"/>
          </w:tcPr>
          <w:p>
            <w:pPr>
              <w:jc w:val="center"/>
              <w:ind w:right="528"/>
              <w:spacing w:after="0"/>
              <w:rPr>
                <w:sz w:val="20"/>
                <w:szCs w:val="20"/>
                <w:color w:val="auto"/>
              </w:rPr>
            </w:pPr>
            <w:r>
              <w:rPr>
                <w:rFonts w:ascii="Arial" w:cs="Arial" w:eastAsia="Arial" w:hAnsi="Arial"/>
                <w:sz w:val="14"/>
                <w:szCs w:val="14"/>
                <w:color w:val="032E5C"/>
              </w:rPr>
              <w:t>Less than $752.0 million</w:t>
            </w:r>
          </w:p>
        </w:tc>
      </w:tr>
      <w:tr>
        <w:trPr>
          <w:trHeight w:val="22"/>
        </w:trPr>
        <w:tc>
          <w:tcPr>
            <w:tcW w:w="3240" w:type="dxa"/>
            <w:vAlign w:val="bottom"/>
            <w:tcBorders>
              <w:bottom w:val="single" w:sz="8" w:color="98BDE2"/>
            </w:tcBorders>
          </w:tcPr>
          <w:p>
            <w:pPr>
              <w:spacing w:after="0" w:line="20" w:lineRule="exact"/>
              <w:rPr>
                <w:sz w:val="1"/>
                <w:szCs w:val="1"/>
                <w:color w:val="auto"/>
              </w:rPr>
            </w:pPr>
          </w:p>
        </w:tc>
        <w:tc>
          <w:tcPr>
            <w:tcW w:w="4700" w:type="dxa"/>
            <w:vAlign w:val="bottom"/>
            <w:tcBorders>
              <w:bottom w:val="single" w:sz="8" w:color="98BDE2"/>
            </w:tcBorders>
          </w:tcPr>
          <w:p>
            <w:pPr>
              <w:spacing w:after="0" w:line="20" w:lineRule="exact"/>
              <w:rPr>
                <w:sz w:val="1"/>
                <w:szCs w:val="1"/>
                <w:color w:val="auto"/>
              </w:rPr>
            </w:pPr>
          </w:p>
        </w:tc>
        <w:tc>
          <w:tcPr>
            <w:tcW w:w="3280" w:type="dxa"/>
            <w:vAlign w:val="bottom"/>
            <w:tcBorders>
              <w:bottom w:val="single" w:sz="8" w:color="98BDE2"/>
            </w:tcBorders>
          </w:tcPr>
          <w:p>
            <w:pPr>
              <w:spacing w:after="0" w:line="20" w:lineRule="exact"/>
              <w:rPr>
                <w:sz w:val="1"/>
                <w:szCs w:val="1"/>
                <w:color w:val="auto"/>
              </w:rPr>
            </w:pPr>
          </w:p>
        </w:tc>
      </w:tr>
      <w:tr>
        <w:trPr>
          <w:trHeight w:val="228"/>
        </w:trPr>
        <w:tc>
          <w:tcPr>
            <w:tcW w:w="3240" w:type="dxa"/>
            <w:vAlign w:val="bottom"/>
          </w:tcPr>
          <w:p>
            <w:pPr>
              <w:jc w:val="center"/>
              <w:ind w:left="528"/>
              <w:spacing w:after="0"/>
              <w:rPr>
                <w:sz w:val="20"/>
                <w:szCs w:val="20"/>
                <w:color w:val="auto"/>
              </w:rPr>
            </w:pPr>
            <w:r>
              <w:rPr>
                <w:rFonts w:ascii="Arial" w:cs="Arial" w:eastAsia="Arial" w:hAnsi="Arial"/>
                <w:sz w:val="14"/>
                <w:szCs w:val="14"/>
                <w:color w:val="032E5C"/>
                <w:w w:val="99"/>
              </w:rPr>
              <w:t>80%</w:t>
            </w:r>
          </w:p>
        </w:tc>
        <w:tc>
          <w:tcPr>
            <w:tcW w:w="4700" w:type="dxa"/>
            <w:vAlign w:val="bottom"/>
          </w:tcPr>
          <w:p>
            <w:pPr>
              <w:jc w:val="center"/>
              <w:spacing w:after="0"/>
              <w:rPr>
                <w:sz w:val="20"/>
                <w:szCs w:val="20"/>
                <w:color w:val="auto"/>
              </w:rPr>
            </w:pPr>
            <w:r>
              <w:rPr>
                <w:rFonts w:ascii="Arial" w:cs="Arial" w:eastAsia="Arial" w:hAnsi="Arial"/>
                <w:sz w:val="14"/>
                <w:szCs w:val="14"/>
                <w:color w:val="032E5C"/>
                <w:w w:val="99"/>
              </w:rPr>
              <w:t>15%</w:t>
            </w:r>
          </w:p>
        </w:tc>
        <w:tc>
          <w:tcPr>
            <w:tcW w:w="3280" w:type="dxa"/>
            <w:vAlign w:val="bottom"/>
          </w:tcPr>
          <w:p>
            <w:pPr>
              <w:jc w:val="center"/>
              <w:ind w:right="528"/>
              <w:spacing w:after="0"/>
              <w:rPr>
                <w:sz w:val="20"/>
                <w:szCs w:val="20"/>
                <w:color w:val="auto"/>
              </w:rPr>
            </w:pPr>
            <w:r>
              <w:rPr>
                <w:rFonts w:ascii="Arial" w:cs="Arial" w:eastAsia="Arial" w:hAnsi="Arial"/>
                <w:sz w:val="14"/>
                <w:szCs w:val="14"/>
                <w:color w:val="032E5C"/>
              </w:rPr>
              <w:t>$752.0 million</w:t>
            </w:r>
          </w:p>
        </w:tc>
      </w:tr>
      <w:tr>
        <w:trPr>
          <w:trHeight w:val="48"/>
        </w:trPr>
        <w:tc>
          <w:tcPr>
            <w:tcW w:w="3240" w:type="dxa"/>
            <w:vAlign w:val="bottom"/>
            <w:tcBorders>
              <w:bottom w:val="single" w:sz="8" w:color="98BDE2"/>
            </w:tcBorders>
          </w:tcPr>
          <w:p>
            <w:pPr>
              <w:spacing w:after="0"/>
              <w:rPr>
                <w:sz w:val="4"/>
                <w:szCs w:val="4"/>
                <w:color w:val="auto"/>
              </w:rPr>
            </w:pPr>
          </w:p>
        </w:tc>
        <w:tc>
          <w:tcPr>
            <w:tcW w:w="4700" w:type="dxa"/>
            <w:vAlign w:val="bottom"/>
            <w:tcBorders>
              <w:bottom w:val="single" w:sz="8" w:color="98BDE2"/>
            </w:tcBorders>
          </w:tcPr>
          <w:p>
            <w:pPr>
              <w:spacing w:after="0"/>
              <w:rPr>
                <w:sz w:val="4"/>
                <w:szCs w:val="4"/>
                <w:color w:val="auto"/>
              </w:rPr>
            </w:pPr>
          </w:p>
        </w:tc>
        <w:tc>
          <w:tcPr>
            <w:tcW w:w="3280" w:type="dxa"/>
            <w:vAlign w:val="bottom"/>
            <w:tcBorders>
              <w:bottom w:val="single" w:sz="8" w:color="98BDE2"/>
            </w:tcBorders>
          </w:tcPr>
          <w:p>
            <w:pPr>
              <w:spacing w:after="0"/>
              <w:rPr>
                <w:sz w:val="4"/>
                <w:szCs w:val="4"/>
                <w:color w:val="auto"/>
              </w:rPr>
            </w:pPr>
          </w:p>
        </w:tc>
      </w:tr>
      <w:tr>
        <w:trPr>
          <w:trHeight w:val="202"/>
        </w:trPr>
        <w:tc>
          <w:tcPr>
            <w:tcW w:w="3240" w:type="dxa"/>
            <w:vAlign w:val="bottom"/>
          </w:tcPr>
          <w:p>
            <w:pPr>
              <w:jc w:val="center"/>
              <w:ind w:left="528"/>
              <w:spacing w:after="0"/>
              <w:rPr>
                <w:sz w:val="20"/>
                <w:szCs w:val="20"/>
                <w:color w:val="auto"/>
              </w:rPr>
            </w:pPr>
            <w:r>
              <w:rPr>
                <w:rFonts w:ascii="Arial" w:cs="Arial" w:eastAsia="Arial" w:hAnsi="Arial"/>
                <w:sz w:val="14"/>
                <w:szCs w:val="14"/>
                <w:color w:val="032E5C"/>
                <w:w w:val="99"/>
              </w:rPr>
              <w:t>90%</w:t>
            </w:r>
          </w:p>
        </w:tc>
        <w:tc>
          <w:tcPr>
            <w:tcW w:w="4700" w:type="dxa"/>
            <w:vAlign w:val="bottom"/>
          </w:tcPr>
          <w:p>
            <w:pPr>
              <w:jc w:val="center"/>
              <w:spacing w:after="0"/>
              <w:rPr>
                <w:sz w:val="20"/>
                <w:szCs w:val="20"/>
                <w:color w:val="auto"/>
              </w:rPr>
            </w:pPr>
            <w:r>
              <w:rPr>
                <w:rFonts w:ascii="Arial" w:cs="Arial" w:eastAsia="Arial" w:hAnsi="Arial"/>
                <w:sz w:val="14"/>
                <w:szCs w:val="14"/>
                <w:color w:val="032E5C"/>
                <w:w w:val="99"/>
              </w:rPr>
              <w:t>25%</w:t>
            </w:r>
          </w:p>
        </w:tc>
        <w:tc>
          <w:tcPr>
            <w:tcW w:w="3280" w:type="dxa"/>
            <w:vAlign w:val="bottom"/>
          </w:tcPr>
          <w:p>
            <w:pPr>
              <w:jc w:val="center"/>
              <w:ind w:right="528"/>
              <w:spacing w:after="0"/>
              <w:rPr>
                <w:sz w:val="20"/>
                <w:szCs w:val="20"/>
                <w:color w:val="auto"/>
              </w:rPr>
            </w:pPr>
            <w:r>
              <w:rPr>
                <w:rFonts w:ascii="Arial" w:cs="Arial" w:eastAsia="Arial" w:hAnsi="Arial"/>
                <w:sz w:val="14"/>
                <w:szCs w:val="14"/>
                <w:color w:val="032E5C"/>
              </w:rPr>
              <w:t>$846.0 million</w:t>
            </w:r>
          </w:p>
        </w:tc>
      </w:tr>
      <w:tr>
        <w:trPr>
          <w:trHeight w:val="22"/>
        </w:trPr>
        <w:tc>
          <w:tcPr>
            <w:tcW w:w="3240" w:type="dxa"/>
            <w:vAlign w:val="bottom"/>
            <w:tcBorders>
              <w:bottom w:val="single" w:sz="8" w:color="98BDE2"/>
            </w:tcBorders>
          </w:tcPr>
          <w:p>
            <w:pPr>
              <w:spacing w:after="0" w:line="20" w:lineRule="exact"/>
              <w:rPr>
                <w:sz w:val="1"/>
                <w:szCs w:val="1"/>
                <w:color w:val="auto"/>
              </w:rPr>
            </w:pPr>
          </w:p>
        </w:tc>
        <w:tc>
          <w:tcPr>
            <w:tcW w:w="4700" w:type="dxa"/>
            <w:vAlign w:val="bottom"/>
            <w:tcBorders>
              <w:bottom w:val="single" w:sz="8" w:color="98BDE2"/>
            </w:tcBorders>
          </w:tcPr>
          <w:p>
            <w:pPr>
              <w:spacing w:after="0" w:line="20" w:lineRule="exact"/>
              <w:rPr>
                <w:sz w:val="1"/>
                <w:szCs w:val="1"/>
                <w:color w:val="auto"/>
              </w:rPr>
            </w:pPr>
          </w:p>
        </w:tc>
        <w:tc>
          <w:tcPr>
            <w:tcW w:w="3280" w:type="dxa"/>
            <w:vAlign w:val="bottom"/>
            <w:tcBorders>
              <w:bottom w:val="single" w:sz="8" w:color="98BDE2"/>
            </w:tcBorders>
          </w:tcPr>
          <w:p>
            <w:pPr>
              <w:spacing w:after="0" w:line="20" w:lineRule="exact"/>
              <w:rPr>
                <w:sz w:val="1"/>
                <w:szCs w:val="1"/>
                <w:color w:val="auto"/>
              </w:rPr>
            </w:pPr>
          </w:p>
        </w:tc>
      </w:tr>
      <w:tr>
        <w:trPr>
          <w:trHeight w:val="201"/>
        </w:trPr>
        <w:tc>
          <w:tcPr>
            <w:tcW w:w="3240" w:type="dxa"/>
            <w:vAlign w:val="bottom"/>
          </w:tcPr>
          <w:p>
            <w:pPr>
              <w:jc w:val="center"/>
              <w:ind w:left="528"/>
              <w:spacing w:after="0"/>
              <w:rPr>
                <w:sz w:val="20"/>
                <w:szCs w:val="20"/>
                <w:color w:val="auto"/>
              </w:rPr>
            </w:pPr>
            <w:r>
              <w:rPr>
                <w:rFonts w:ascii="Arial" w:cs="Arial" w:eastAsia="Arial" w:hAnsi="Arial"/>
                <w:sz w:val="14"/>
                <w:szCs w:val="14"/>
                <w:color w:val="032E5C"/>
                <w:w w:val="99"/>
              </w:rPr>
              <w:t>95%</w:t>
            </w:r>
          </w:p>
        </w:tc>
        <w:tc>
          <w:tcPr>
            <w:tcW w:w="4700" w:type="dxa"/>
            <w:vAlign w:val="bottom"/>
          </w:tcPr>
          <w:p>
            <w:pPr>
              <w:jc w:val="center"/>
              <w:spacing w:after="0"/>
              <w:rPr>
                <w:sz w:val="20"/>
                <w:szCs w:val="20"/>
                <w:color w:val="auto"/>
              </w:rPr>
            </w:pPr>
            <w:r>
              <w:rPr>
                <w:rFonts w:ascii="Arial" w:cs="Arial" w:eastAsia="Arial" w:hAnsi="Arial"/>
                <w:sz w:val="14"/>
                <w:szCs w:val="14"/>
                <w:color w:val="032E5C"/>
                <w:w w:val="99"/>
              </w:rPr>
              <w:t>50%</w:t>
            </w:r>
          </w:p>
        </w:tc>
        <w:tc>
          <w:tcPr>
            <w:tcW w:w="3280" w:type="dxa"/>
            <w:vAlign w:val="bottom"/>
          </w:tcPr>
          <w:p>
            <w:pPr>
              <w:jc w:val="center"/>
              <w:ind w:right="528"/>
              <w:spacing w:after="0"/>
              <w:rPr>
                <w:sz w:val="20"/>
                <w:szCs w:val="20"/>
                <w:color w:val="auto"/>
              </w:rPr>
            </w:pPr>
            <w:r>
              <w:rPr>
                <w:rFonts w:ascii="Arial" w:cs="Arial" w:eastAsia="Arial" w:hAnsi="Arial"/>
                <w:sz w:val="14"/>
                <w:szCs w:val="14"/>
                <w:color w:val="032E5C"/>
              </w:rPr>
              <w:t>$893.0 million</w:t>
            </w:r>
          </w:p>
        </w:tc>
      </w:tr>
      <w:tr>
        <w:trPr>
          <w:trHeight w:val="22"/>
        </w:trPr>
        <w:tc>
          <w:tcPr>
            <w:tcW w:w="3240" w:type="dxa"/>
            <w:vAlign w:val="bottom"/>
            <w:tcBorders>
              <w:bottom w:val="single" w:sz="8" w:color="98BDE2"/>
            </w:tcBorders>
          </w:tcPr>
          <w:p>
            <w:pPr>
              <w:spacing w:after="0" w:line="20" w:lineRule="exact"/>
              <w:rPr>
                <w:sz w:val="1"/>
                <w:szCs w:val="1"/>
                <w:color w:val="auto"/>
              </w:rPr>
            </w:pPr>
          </w:p>
        </w:tc>
        <w:tc>
          <w:tcPr>
            <w:tcW w:w="4700" w:type="dxa"/>
            <w:vAlign w:val="bottom"/>
            <w:tcBorders>
              <w:bottom w:val="single" w:sz="8" w:color="98BDE2"/>
            </w:tcBorders>
          </w:tcPr>
          <w:p>
            <w:pPr>
              <w:spacing w:after="0" w:line="20" w:lineRule="exact"/>
              <w:rPr>
                <w:sz w:val="1"/>
                <w:szCs w:val="1"/>
                <w:color w:val="auto"/>
              </w:rPr>
            </w:pPr>
          </w:p>
        </w:tc>
        <w:tc>
          <w:tcPr>
            <w:tcW w:w="3280" w:type="dxa"/>
            <w:vAlign w:val="bottom"/>
            <w:tcBorders>
              <w:bottom w:val="single" w:sz="8" w:color="98BDE2"/>
            </w:tcBorders>
          </w:tcPr>
          <w:p>
            <w:pPr>
              <w:spacing w:after="0" w:line="20" w:lineRule="exact"/>
              <w:rPr>
                <w:sz w:val="1"/>
                <w:szCs w:val="1"/>
                <w:color w:val="auto"/>
              </w:rPr>
            </w:pPr>
          </w:p>
        </w:tc>
      </w:tr>
      <w:tr>
        <w:trPr>
          <w:trHeight w:val="202"/>
        </w:trPr>
        <w:tc>
          <w:tcPr>
            <w:tcW w:w="3240" w:type="dxa"/>
            <w:vAlign w:val="bottom"/>
          </w:tcPr>
          <w:p>
            <w:pPr>
              <w:jc w:val="center"/>
              <w:ind w:left="528"/>
              <w:spacing w:after="0"/>
              <w:rPr>
                <w:sz w:val="20"/>
                <w:szCs w:val="20"/>
                <w:color w:val="auto"/>
              </w:rPr>
            </w:pPr>
            <w:r>
              <w:rPr>
                <w:rFonts w:ascii="Arial" w:cs="Arial" w:eastAsia="Arial" w:hAnsi="Arial"/>
                <w:sz w:val="14"/>
                <w:szCs w:val="14"/>
                <w:color w:val="032E5C"/>
              </w:rPr>
              <w:t>100%</w:t>
            </w:r>
          </w:p>
        </w:tc>
        <w:tc>
          <w:tcPr>
            <w:tcW w:w="4700" w:type="dxa"/>
            <w:vAlign w:val="bottom"/>
          </w:tcPr>
          <w:p>
            <w:pPr>
              <w:jc w:val="center"/>
              <w:spacing w:after="0"/>
              <w:rPr>
                <w:sz w:val="20"/>
                <w:szCs w:val="20"/>
                <w:color w:val="auto"/>
              </w:rPr>
            </w:pPr>
            <w:r>
              <w:rPr>
                <w:rFonts w:ascii="Arial" w:cs="Arial" w:eastAsia="Arial" w:hAnsi="Arial"/>
                <w:sz w:val="14"/>
                <w:szCs w:val="14"/>
                <w:color w:val="032E5C"/>
              </w:rPr>
              <w:t>100%</w:t>
            </w:r>
          </w:p>
        </w:tc>
        <w:tc>
          <w:tcPr>
            <w:tcW w:w="3280" w:type="dxa"/>
            <w:vAlign w:val="bottom"/>
          </w:tcPr>
          <w:p>
            <w:pPr>
              <w:jc w:val="center"/>
              <w:ind w:right="528"/>
              <w:spacing w:after="0"/>
              <w:rPr>
                <w:sz w:val="20"/>
                <w:szCs w:val="20"/>
                <w:color w:val="auto"/>
              </w:rPr>
            </w:pPr>
            <w:r>
              <w:rPr>
                <w:rFonts w:ascii="Arial" w:cs="Arial" w:eastAsia="Arial" w:hAnsi="Arial"/>
                <w:sz w:val="14"/>
                <w:szCs w:val="14"/>
                <w:color w:val="032E5C"/>
              </w:rPr>
              <w:t>$940.0 million</w:t>
            </w:r>
          </w:p>
        </w:tc>
      </w:tr>
      <w:tr>
        <w:trPr>
          <w:trHeight w:val="22"/>
        </w:trPr>
        <w:tc>
          <w:tcPr>
            <w:tcW w:w="3240" w:type="dxa"/>
            <w:vAlign w:val="bottom"/>
            <w:tcBorders>
              <w:bottom w:val="single" w:sz="8" w:color="98BDE2"/>
            </w:tcBorders>
          </w:tcPr>
          <w:p>
            <w:pPr>
              <w:spacing w:after="0" w:line="20" w:lineRule="exact"/>
              <w:rPr>
                <w:sz w:val="1"/>
                <w:szCs w:val="1"/>
                <w:color w:val="auto"/>
              </w:rPr>
            </w:pPr>
          </w:p>
        </w:tc>
        <w:tc>
          <w:tcPr>
            <w:tcW w:w="4700" w:type="dxa"/>
            <w:vAlign w:val="bottom"/>
            <w:tcBorders>
              <w:bottom w:val="single" w:sz="8" w:color="98BDE2"/>
            </w:tcBorders>
          </w:tcPr>
          <w:p>
            <w:pPr>
              <w:spacing w:after="0" w:line="20" w:lineRule="exact"/>
              <w:rPr>
                <w:sz w:val="1"/>
                <w:szCs w:val="1"/>
                <w:color w:val="auto"/>
              </w:rPr>
            </w:pPr>
          </w:p>
        </w:tc>
        <w:tc>
          <w:tcPr>
            <w:tcW w:w="3280" w:type="dxa"/>
            <w:vAlign w:val="bottom"/>
            <w:tcBorders>
              <w:bottom w:val="single" w:sz="8" w:color="98BDE2"/>
            </w:tcBorders>
          </w:tcPr>
          <w:p>
            <w:pPr>
              <w:spacing w:after="0" w:line="20" w:lineRule="exact"/>
              <w:rPr>
                <w:sz w:val="1"/>
                <w:szCs w:val="1"/>
                <w:color w:val="auto"/>
              </w:rPr>
            </w:pPr>
          </w:p>
        </w:tc>
      </w:tr>
      <w:tr>
        <w:trPr>
          <w:trHeight w:val="201"/>
        </w:trPr>
        <w:tc>
          <w:tcPr>
            <w:tcW w:w="3240" w:type="dxa"/>
            <w:vAlign w:val="bottom"/>
          </w:tcPr>
          <w:p>
            <w:pPr>
              <w:jc w:val="center"/>
              <w:ind w:left="528"/>
              <w:spacing w:after="0"/>
              <w:rPr>
                <w:sz w:val="20"/>
                <w:szCs w:val="20"/>
                <w:color w:val="auto"/>
              </w:rPr>
            </w:pPr>
            <w:r>
              <w:rPr>
                <w:rFonts w:ascii="Arial" w:cs="Arial" w:eastAsia="Arial" w:hAnsi="Arial"/>
                <w:sz w:val="14"/>
                <w:szCs w:val="14"/>
                <w:color w:val="032E5C"/>
              </w:rPr>
              <w:t>110%</w:t>
            </w:r>
          </w:p>
        </w:tc>
        <w:tc>
          <w:tcPr>
            <w:tcW w:w="4700" w:type="dxa"/>
            <w:vAlign w:val="bottom"/>
          </w:tcPr>
          <w:p>
            <w:pPr>
              <w:jc w:val="center"/>
              <w:spacing w:after="0"/>
              <w:rPr>
                <w:sz w:val="20"/>
                <w:szCs w:val="20"/>
                <w:color w:val="auto"/>
              </w:rPr>
            </w:pPr>
            <w:r>
              <w:rPr>
                <w:rFonts w:ascii="Arial" w:cs="Arial" w:eastAsia="Arial" w:hAnsi="Arial"/>
                <w:sz w:val="14"/>
                <w:szCs w:val="14"/>
                <w:color w:val="032E5C"/>
              </w:rPr>
              <w:t>175%</w:t>
            </w:r>
          </w:p>
        </w:tc>
        <w:tc>
          <w:tcPr>
            <w:tcW w:w="3280" w:type="dxa"/>
            <w:vAlign w:val="bottom"/>
          </w:tcPr>
          <w:p>
            <w:pPr>
              <w:jc w:val="center"/>
              <w:ind w:right="528"/>
              <w:spacing w:after="0"/>
              <w:rPr>
                <w:sz w:val="20"/>
                <w:szCs w:val="20"/>
                <w:color w:val="auto"/>
              </w:rPr>
            </w:pPr>
            <w:r>
              <w:rPr>
                <w:rFonts w:ascii="Arial" w:cs="Arial" w:eastAsia="Arial" w:hAnsi="Arial"/>
                <w:sz w:val="14"/>
                <w:szCs w:val="14"/>
                <w:color w:val="032E5C"/>
              </w:rPr>
              <w:t>$1,034.0 million</w:t>
            </w:r>
          </w:p>
        </w:tc>
      </w:tr>
      <w:tr>
        <w:trPr>
          <w:trHeight w:val="22"/>
        </w:trPr>
        <w:tc>
          <w:tcPr>
            <w:tcW w:w="3240" w:type="dxa"/>
            <w:vAlign w:val="bottom"/>
            <w:tcBorders>
              <w:bottom w:val="single" w:sz="8" w:color="98BDE2"/>
            </w:tcBorders>
          </w:tcPr>
          <w:p>
            <w:pPr>
              <w:spacing w:after="0" w:line="20" w:lineRule="exact"/>
              <w:rPr>
                <w:sz w:val="1"/>
                <w:szCs w:val="1"/>
                <w:color w:val="auto"/>
              </w:rPr>
            </w:pPr>
          </w:p>
        </w:tc>
        <w:tc>
          <w:tcPr>
            <w:tcW w:w="4700" w:type="dxa"/>
            <w:vAlign w:val="bottom"/>
            <w:tcBorders>
              <w:bottom w:val="single" w:sz="8" w:color="98BDE2"/>
            </w:tcBorders>
          </w:tcPr>
          <w:p>
            <w:pPr>
              <w:spacing w:after="0" w:line="20" w:lineRule="exact"/>
              <w:rPr>
                <w:sz w:val="1"/>
                <w:szCs w:val="1"/>
                <w:color w:val="auto"/>
              </w:rPr>
            </w:pPr>
          </w:p>
        </w:tc>
        <w:tc>
          <w:tcPr>
            <w:tcW w:w="3280" w:type="dxa"/>
            <w:vAlign w:val="bottom"/>
            <w:tcBorders>
              <w:bottom w:val="single" w:sz="8" w:color="98BDE2"/>
            </w:tcBorders>
          </w:tcPr>
          <w:p>
            <w:pPr>
              <w:spacing w:after="0" w:line="20" w:lineRule="exact"/>
              <w:rPr>
                <w:sz w:val="1"/>
                <w:szCs w:val="1"/>
                <w:color w:val="auto"/>
              </w:rPr>
            </w:pPr>
          </w:p>
        </w:tc>
      </w:tr>
      <w:tr>
        <w:trPr>
          <w:trHeight w:val="202"/>
        </w:trPr>
        <w:tc>
          <w:tcPr>
            <w:tcW w:w="3240" w:type="dxa"/>
            <w:vAlign w:val="bottom"/>
          </w:tcPr>
          <w:p>
            <w:pPr>
              <w:jc w:val="center"/>
              <w:ind w:left="528"/>
              <w:spacing w:after="0"/>
              <w:rPr>
                <w:sz w:val="20"/>
                <w:szCs w:val="20"/>
                <w:color w:val="auto"/>
              </w:rPr>
            </w:pPr>
            <w:r>
              <w:rPr>
                <w:rFonts w:ascii="Arial" w:cs="Arial" w:eastAsia="Arial" w:hAnsi="Arial"/>
                <w:sz w:val="14"/>
                <w:szCs w:val="14"/>
                <w:color w:val="032E5C"/>
              </w:rPr>
              <w:t>120% or greater</w:t>
            </w:r>
          </w:p>
        </w:tc>
        <w:tc>
          <w:tcPr>
            <w:tcW w:w="4700" w:type="dxa"/>
            <w:vAlign w:val="bottom"/>
          </w:tcPr>
          <w:p>
            <w:pPr>
              <w:jc w:val="center"/>
              <w:spacing w:after="0"/>
              <w:rPr>
                <w:sz w:val="20"/>
                <w:szCs w:val="20"/>
                <w:color w:val="auto"/>
              </w:rPr>
            </w:pPr>
            <w:r>
              <w:rPr>
                <w:rFonts w:ascii="Arial" w:cs="Arial" w:eastAsia="Arial" w:hAnsi="Arial"/>
                <w:sz w:val="14"/>
                <w:szCs w:val="14"/>
                <w:color w:val="032E5C"/>
              </w:rPr>
              <w:t>200%</w:t>
            </w:r>
          </w:p>
        </w:tc>
        <w:tc>
          <w:tcPr>
            <w:tcW w:w="3280" w:type="dxa"/>
            <w:vAlign w:val="bottom"/>
          </w:tcPr>
          <w:p>
            <w:pPr>
              <w:jc w:val="center"/>
              <w:ind w:right="528"/>
              <w:spacing w:after="0"/>
              <w:rPr>
                <w:sz w:val="20"/>
                <w:szCs w:val="20"/>
                <w:color w:val="auto"/>
              </w:rPr>
            </w:pPr>
            <w:r>
              <w:rPr>
                <w:rFonts w:ascii="Arial" w:cs="Arial" w:eastAsia="Arial" w:hAnsi="Arial"/>
                <w:sz w:val="14"/>
                <w:szCs w:val="14"/>
                <w:color w:val="032E5C"/>
              </w:rPr>
              <w:t>$1,128.0 million or greater</w:t>
            </w:r>
          </w:p>
        </w:tc>
      </w:tr>
      <w:tr>
        <w:trPr>
          <w:trHeight w:val="28"/>
        </w:trPr>
        <w:tc>
          <w:tcPr>
            <w:tcW w:w="3240" w:type="dxa"/>
            <w:vAlign w:val="bottom"/>
            <w:tcBorders>
              <w:bottom w:val="single" w:sz="8" w:color="3E5C7C"/>
            </w:tcBorders>
          </w:tcPr>
          <w:p>
            <w:pPr>
              <w:spacing w:after="0"/>
              <w:rPr>
                <w:sz w:val="2"/>
                <w:szCs w:val="2"/>
                <w:color w:val="auto"/>
              </w:rPr>
            </w:pPr>
          </w:p>
        </w:tc>
        <w:tc>
          <w:tcPr>
            <w:tcW w:w="4700" w:type="dxa"/>
            <w:vAlign w:val="bottom"/>
            <w:tcBorders>
              <w:bottom w:val="single" w:sz="8" w:color="3E5C7C"/>
            </w:tcBorders>
          </w:tcPr>
          <w:p>
            <w:pPr>
              <w:spacing w:after="0"/>
              <w:rPr>
                <w:sz w:val="2"/>
                <w:szCs w:val="2"/>
                <w:color w:val="auto"/>
              </w:rPr>
            </w:pPr>
          </w:p>
        </w:tc>
        <w:tc>
          <w:tcPr>
            <w:tcW w:w="3280" w:type="dxa"/>
            <w:vAlign w:val="bottom"/>
            <w:tcBorders>
              <w:bottom w:val="single" w:sz="8" w:color="3E5C7C"/>
            </w:tcBorders>
          </w:tcPr>
          <w:p>
            <w:pPr>
              <w:spacing w:after="0"/>
              <w:rPr>
                <w:sz w:val="2"/>
                <w:szCs w:val="2"/>
                <w:color w:val="auto"/>
              </w:rPr>
            </w:pPr>
          </w:p>
        </w:tc>
      </w:tr>
    </w:tbl>
    <w:p>
      <w:pPr>
        <w:spacing w:after="0" w:line="310" w:lineRule="exact"/>
        <w:rPr>
          <w:sz w:val="20"/>
          <w:szCs w:val="20"/>
          <w:color w:val="auto"/>
        </w:rPr>
      </w:pPr>
    </w:p>
    <w:p>
      <w:pPr>
        <w:jc w:val="both"/>
        <w:ind w:right="40"/>
        <w:spacing w:after="0" w:line="339" w:lineRule="auto"/>
        <w:rPr>
          <w:sz w:val="20"/>
          <w:szCs w:val="20"/>
          <w:color w:val="auto"/>
        </w:rPr>
      </w:pPr>
      <w:r>
        <w:rPr>
          <w:rFonts w:ascii="Arial" w:cs="Arial" w:eastAsia="Arial" w:hAnsi="Arial"/>
          <w:sz w:val="16"/>
          <w:szCs w:val="16"/>
          <w:color w:val="29292B"/>
        </w:rPr>
        <w:t>In the event our Resort Reported EBITDA for any fiscal year exceeds the specified threshold level, then the MIP is funded at the appropriate level and each NEO is eligible to receive an MIP award. For achievement between annual target funding level percentages, the payout is determined by linear interpolation.</w:t>
      </w:r>
    </w:p>
    <w:p>
      <w:pPr>
        <w:spacing w:after="0" w:line="74"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i w:val="1"/>
          <w:iCs w:val="1"/>
          <w:color w:val="29292B"/>
        </w:rPr>
        <w:t xml:space="preserve">Target Annual MIP Awards. </w:t>
      </w:r>
      <w:r>
        <w:rPr>
          <w:rFonts w:ascii="Arial" w:cs="Arial" w:eastAsia="Arial" w:hAnsi="Arial"/>
          <w:sz w:val="16"/>
          <w:szCs w:val="16"/>
          <w:color w:val="29292B"/>
        </w:rPr>
        <w:t>The NEOs’ target MIP awards as a percentage of their base salaries was determined based on a combination of competitive</w:t>
      </w:r>
      <w:r>
        <w:rPr>
          <w:rFonts w:ascii="Arial" w:cs="Arial" w:eastAsia="Arial" w:hAnsi="Arial"/>
          <w:sz w:val="16"/>
          <w:szCs w:val="16"/>
          <w:i w:val="1"/>
          <w:iCs w:val="1"/>
          <w:color w:val="29292B"/>
        </w:rPr>
        <w:t xml:space="preserve"> </w:t>
      </w:r>
      <w:r>
        <w:rPr>
          <w:rFonts w:ascii="Arial" w:cs="Arial" w:eastAsia="Arial" w:hAnsi="Arial"/>
          <w:sz w:val="16"/>
          <w:szCs w:val="16"/>
          <w:color w:val="29292B"/>
        </w:rPr>
        <w:t>market data for each NEOs' role and the role’s ability to influence our performance. For fiscal 2024, except as noted in the table below, each NEO was eligible for an annual MIP award based on a percentage of annual base salary. The following table sets forth the target annual MIP awards as a percentage of base salary approved by the Compensation Committee at the start of the fiscal year for each of fiscal 2024 and 2023, and the percentage change in the target from fiscal 2024 to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 w:type="dxa"/>
            <w:vAlign w:val="bottom"/>
            <w:shd w:val="clear" w:color="auto" w:fill="98BDE2"/>
          </w:tcPr>
          <w:p>
            <w:pPr>
              <w:spacing w:after="0"/>
              <w:rPr>
                <w:sz w:val="15"/>
                <w:szCs w:val="15"/>
                <w:color w:val="auto"/>
              </w:rPr>
            </w:pPr>
          </w:p>
        </w:tc>
        <w:tc>
          <w:tcPr>
            <w:tcW w:w="2760" w:type="dxa"/>
            <w:vAlign w:val="bottom"/>
            <w:shd w:val="clear" w:color="auto" w:fill="98BDE2"/>
          </w:tcPr>
          <w:p>
            <w:pPr>
              <w:spacing w:after="0"/>
              <w:rPr>
                <w:sz w:val="15"/>
                <w:szCs w:val="15"/>
                <w:color w:val="auto"/>
              </w:rPr>
            </w:pPr>
          </w:p>
        </w:tc>
        <w:tc>
          <w:tcPr>
            <w:tcW w:w="3780" w:type="dxa"/>
            <w:vAlign w:val="bottom"/>
            <w:shd w:val="clear" w:color="auto" w:fill="98BDE2"/>
          </w:tcPr>
          <w:p>
            <w:pPr>
              <w:jc w:val="right"/>
              <w:ind w:right="568"/>
              <w:spacing w:after="0"/>
              <w:rPr>
                <w:sz w:val="20"/>
                <w:szCs w:val="20"/>
                <w:color w:val="auto"/>
              </w:rPr>
            </w:pPr>
            <w:r>
              <w:rPr>
                <w:rFonts w:ascii="Arial" w:cs="Arial" w:eastAsia="Arial" w:hAnsi="Arial"/>
                <w:sz w:val="14"/>
                <w:szCs w:val="14"/>
                <w:b w:val="1"/>
                <w:bCs w:val="1"/>
                <w:color w:val="032E5C"/>
              </w:rPr>
              <w:t>2023 Target Annual MIP Award</w:t>
            </w:r>
          </w:p>
        </w:tc>
        <w:tc>
          <w:tcPr>
            <w:tcW w:w="27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2024 Target Annual MIP Award</w:t>
            </w:r>
          </w:p>
        </w:tc>
        <w:tc>
          <w:tcPr>
            <w:tcW w:w="178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r>
      <w:tr>
        <w:trPr>
          <w:trHeight w:val="162"/>
        </w:trPr>
        <w:tc>
          <w:tcPr>
            <w:tcW w:w="80" w:type="dxa"/>
            <w:vAlign w:val="bottom"/>
            <w:shd w:val="clear" w:color="auto" w:fill="98BDE2"/>
          </w:tcPr>
          <w:p>
            <w:pPr>
              <w:spacing w:after="0"/>
              <w:rPr>
                <w:sz w:val="14"/>
                <w:szCs w:val="14"/>
                <w:color w:val="auto"/>
              </w:rPr>
            </w:pPr>
          </w:p>
        </w:tc>
        <w:tc>
          <w:tcPr>
            <w:tcW w:w="2760" w:type="dxa"/>
            <w:vAlign w:val="bottom"/>
            <w:shd w:val="clear" w:color="auto" w:fill="98BDE2"/>
          </w:tcPr>
          <w:p>
            <w:pPr>
              <w:spacing w:after="0"/>
              <w:rPr>
                <w:sz w:val="14"/>
                <w:szCs w:val="14"/>
                <w:color w:val="auto"/>
              </w:rPr>
            </w:pPr>
          </w:p>
        </w:tc>
        <w:tc>
          <w:tcPr>
            <w:tcW w:w="3780" w:type="dxa"/>
            <w:vAlign w:val="bottom"/>
            <w:shd w:val="clear" w:color="auto" w:fill="98BDE2"/>
          </w:tcPr>
          <w:p>
            <w:pPr>
              <w:jc w:val="right"/>
              <w:ind w:right="528"/>
              <w:spacing w:after="0"/>
              <w:rPr>
                <w:sz w:val="20"/>
                <w:szCs w:val="20"/>
                <w:color w:val="auto"/>
              </w:rPr>
            </w:pPr>
            <w:r>
              <w:rPr>
                <w:rFonts w:ascii="Arial" w:cs="Arial" w:eastAsia="Arial" w:hAnsi="Arial"/>
                <w:sz w:val="14"/>
                <w:szCs w:val="14"/>
                <w:b w:val="1"/>
                <w:bCs w:val="1"/>
                <w:color w:val="032E5C"/>
              </w:rPr>
              <w:t>as Percentage of Base Salary</w:t>
            </w:r>
          </w:p>
        </w:tc>
        <w:tc>
          <w:tcPr>
            <w:tcW w:w="27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as Percentage of Base Salary</w:t>
            </w:r>
          </w:p>
        </w:tc>
        <w:tc>
          <w:tcPr>
            <w:tcW w:w="1880" w:type="dxa"/>
            <w:vAlign w:val="bottom"/>
            <w:gridSpan w:val="2"/>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 Change</w:t>
            </w:r>
          </w:p>
        </w:tc>
      </w:tr>
      <w:tr>
        <w:trPr>
          <w:trHeight w:val="210"/>
        </w:trPr>
        <w:tc>
          <w:tcPr>
            <w:tcW w:w="80" w:type="dxa"/>
            <w:vAlign w:val="bottom"/>
            <w:shd w:val="clear" w:color="auto" w:fill="98BDE2"/>
          </w:tcPr>
          <w:p>
            <w:pPr>
              <w:spacing w:after="0"/>
              <w:rPr>
                <w:sz w:val="18"/>
                <w:szCs w:val="18"/>
                <w:color w:val="auto"/>
              </w:rPr>
            </w:pPr>
          </w:p>
        </w:tc>
        <w:tc>
          <w:tcPr>
            <w:tcW w:w="276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3780" w:type="dxa"/>
            <w:vAlign w:val="bottom"/>
            <w:shd w:val="clear" w:color="auto" w:fill="98BDE2"/>
          </w:tcPr>
          <w:p>
            <w:pPr>
              <w:jc w:val="right"/>
              <w:ind w:right="528"/>
              <w:spacing w:after="0"/>
              <w:rPr>
                <w:sz w:val="20"/>
                <w:szCs w:val="20"/>
                <w:color w:val="auto"/>
              </w:rPr>
            </w:pPr>
            <w:r>
              <w:rPr>
                <w:rFonts w:ascii="Arial" w:cs="Arial" w:eastAsia="Arial" w:hAnsi="Arial"/>
                <w:sz w:val="14"/>
                <w:szCs w:val="14"/>
                <w:b w:val="1"/>
                <w:bCs w:val="1"/>
                <w:color w:val="032E5C"/>
              </w:rPr>
              <w:t>(%)</w:t>
            </w:r>
          </w:p>
        </w:tc>
        <w:tc>
          <w:tcPr>
            <w:tcW w:w="27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7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00" w:type="dxa"/>
            <w:vAlign w:val="bottom"/>
            <w:shd w:val="clear" w:color="auto" w:fill="98BDE2"/>
          </w:tcPr>
          <w:p>
            <w:pPr>
              <w:spacing w:after="0"/>
              <w:rPr>
                <w:sz w:val="18"/>
                <w:szCs w:val="18"/>
                <w:color w:val="auto"/>
              </w:rPr>
            </w:pPr>
          </w:p>
        </w:tc>
      </w:tr>
      <w:tr>
        <w:trPr>
          <w:trHeight w:val="70"/>
        </w:trPr>
        <w:tc>
          <w:tcPr>
            <w:tcW w:w="80" w:type="dxa"/>
            <w:vAlign w:val="bottom"/>
            <w:tcBorders>
              <w:bottom w:val="single" w:sz="8" w:color="F3EFE9"/>
            </w:tcBorders>
            <w:shd w:val="clear" w:color="auto" w:fill="98BDE2"/>
          </w:tcPr>
          <w:p>
            <w:pPr>
              <w:spacing w:after="0"/>
              <w:rPr>
                <w:sz w:val="6"/>
                <w:szCs w:val="6"/>
                <w:color w:val="auto"/>
              </w:rPr>
            </w:pPr>
          </w:p>
        </w:tc>
        <w:tc>
          <w:tcPr>
            <w:tcW w:w="2760" w:type="dxa"/>
            <w:vAlign w:val="bottom"/>
            <w:tcBorders>
              <w:bottom w:val="single" w:sz="8" w:color="F3EFE9"/>
            </w:tcBorders>
            <w:shd w:val="clear" w:color="auto" w:fill="98BDE2"/>
          </w:tcPr>
          <w:p>
            <w:pPr>
              <w:spacing w:after="0"/>
              <w:rPr>
                <w:sz w:val="6"/>
                <w:szCs w:val="6"/>
                <w:color w:val="auto"/>
              </w:rPr>
            </w:pPr>
          </w:p>
        </w:tc>
        <w:tc>
          <w:tcPr>
            <w:tcW w:w="3780" w:type="dxa"/>
            <w:vAlign w:val="bottom"/>
            <w:shd w:val="clear" w:color="auto" w:fill="98BDE2"/>
          </w:tcPr>
          <w:p>
            <w:pPr>
              <w:spacing w:after="0"/>
              <w:rPr>
                <w:sz w:val="6"/>
                <w:szCs w:val="6"/>
                <w:color w:val="auto"/>
              </w:rPr>
            </w:pPr>
          </w:p>
        </w:tc>
        <w:tc>
          <w:tcPr>
            <w:tcW w:w="2740" w:type="dxa"/>
            <w:vAlign w:val="bottom"/>
            <w:shd w:val="clear" w:color="auto" w:fill="98BDE2"/>
          </w:tcPr>
          <w:p>
            <w:pPr>
              <w:spacing w:after="0"/>
              <w:rPr>
                <w:sz w:val="6"/>
                <w:szCs w:val="6"/>
                <w:color w:val="auto"/>
              </w:rPr>
            </w:pPr>
          </w:p>
        </w:tc>
        <w:tc>
          <w:tcPr>
            <w:tcW w:w="1780" w:type="dxa"/>
            <w:vAlign w:val="bottom"/>
            <w:tcBorders>
              <w:bottom w:val="single" w:sz="8" w:color="98BDE2"/>
            </w:tcBorders>
            <w:shd w:val="clear" w:color="auto" w:fill="98BDE2"/>
          </w:tcPr>
          <w:p>
            <w:pPr>
              <w:spacing w:after="0"/>
              <w:rPr>
                <w:sz w:val="6"/>
                <w:szCs w:val="6"/>
                <w:color w:val="auto"/>
              </w:rPr>
            </w:pPr>
          </w:p>
        </w:tc>
        <w:tc>
          <w:tcPr>
            <w:tcW w:w="100" w:type="dxa"/>
            <w:vAlign w:val="bottom"/>
            <w:shd w:val="clear" w:color="auto" w:fill="98BDE2"/>
          </w:tcPr>
          <w:p>
            <w:pPr>
              <w:spacing w:after="0"/>
              <w:rPr>
                <w:sz w:val="6"/>
                <w:szCs w:val="6"/>
                <w:color w:val="auto"/>
              </w:rPr>
            </w:pPr>
          </w:p>
        </w:tc>
      </w:tr>
      <w:tr>
        <w:trPr>
          <w:trHeight w:val="223"/>
        </w:trPr>
        <w:tc>
          <w:tcPr>
            <w:tcW w:w="80" w:type="dxa"/>
            <w:vAlign w:val="bottom"/>
            <w:tcBorders>
              <w:bottom w:val="single" w:sz="8" w:color="F3EFE9"/>
            </w:tcBorders>
            <w:shd w:val="clear" w:color="auto" w:fill="F3EFE9"/>
          </w:tcPr>
          <w:p>
            <w:pPr>
              <w:spacing w:after="0"/>
              <w:rPr>
                <w:sz w:val="19"/>
                <w:szCs w:val="19"/>
                <w:color w:val="auto"/>
              </w:rPr>
            </w:pPr>
          </w:p>
        </w:tc>
        <w:tc>
          <w:tcPr>
            <w:tcW w:w="2760" w:type="dxa"/>
            <w:vAlign w:val="bottom"/>
            <w:tcBorders>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Kirsten A. Lynch</w:t>
            </w:r>
          </w:p>
        </w:tc>
        <w:tc>
          <w:tcPr>
            <w:tcW w:w="3780" w:type="dxa"/>
            <w:vAlign w:val="bottom"/>
          </w:tcPr>
          <w:p>
            <w:pPr>
              <w:jc w:val="right"/>
              <w:ind w:right="528"/>
              <w:spacing w:after="0"/>
              <w:rPr>
                <w:sz w:val="20"/>
                <w:szCs w:val="20"/>
                <w:color w:val="auto"/>
              </w:rPr>
            </w:pPr>
            <w:r>
              <w:rPr>
                <w:rFonts w:ascii="Arial" w:cs="Arial" w:eastAsia="Arial" w:hAnsi="Arial"/>
                <w:sz w:val="14"/>
                <w:szCs w:val="14"/>
                <w:color w:val="032E5C"/>
              </w:rPr>
              <w:t>100%</w:t>
            </w:r>
          </w:p>
        </w:tc>
        <w:tc>
          <w:tcPr>
            <w:tcW w:w="2740" w:type="dxa"/>
            <w:vAlign w:val="bottom"/>
          </w:tcPr>
          <w:p>
            <w:pPr>
              <w:jc w:val="right"/>
              <w:spacing w:after="0"/>
              <w:rPr>
                <w:sz w:val="20"/>
                <w:szCs w:val="20"/>
                <w:color w:val="auto"/>
              </w:rPr>
            </w:pPr>
            <w:r>
              <w:rPr>
                <w:rFonts w:ascii="Arial" w:cs="Arial" w:eastAsia="Arial" w:hAnsi="Arial"/>
                <w:sz w:val="14"/>
                <w:szCs w:val="14"/>
                <w:color w:val="032E5C"/>
              </w:rPr>
              <w:t>100%</w:t>
            </w: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032E5C"/>
              </w:rPr>
              <w:t>—</w:t>
            </w:r>
          </w:p>
        </w:tc>
      </w:tr>
      <w:tr>
        <w:trPr>
          <w:trHeight w:val="223"/>
        </w:trPr>
        <w:tc>
          <w:tcPr>
            <w:tcW w:w="80" w:type="dxa"/>
            <w:vAlign w:val="bottom"/>
            <w:tcBorders>
              <w:top w:val="single" w:sz="8" w:color="98BDE2"/>
              <w:bottom w:val="single" w:sz="8" w:color="98BDE2"/>
            </w:tcBorders>
            <w:shd w:val="clear" w:color="auto" w:fill="F3EFE9"/>
          </w:tcPr>
          <w:p>
            <w:pPr>
              <w:spacing w:after="0"/>
              <w:rPr>
                <w:sz w:val="19"/>
                <w:szCs w:val="19"/>
                <w:color w:val="auto"/>
              </w:rPr>
            </w:pPr>
          </w:p>
        </w:tc>
        <w:tc>
          <w:tcPr>
            <w:tcW w:w="2760" w:type="dxa"/>
            <w:vAlign w:val="bottom"/>
            <w:tcBorders>
              <w:top w:val="single" w:sz="8" w:color="98BDE2"/>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r>
              <w:rPr>
                <w:rFonts w:ascii="Arial" w:cs="Arial" w:eastAsia="Arial" w:hAnsi="Arial"/>
                <w:sz w:val="18"/>
                <w:szCs w:val="18"/>
                <w:b w:val="1"/>
                <w:bCs w:val="1"/>
                <w:color w:val="032E5C"/>
                <w:vertAlign w:val="superscript"/>
              </w:rPr>
              <w:t>(1)</w:t>
            </w:r>
          </w:p>
        </w:tc>
        <w:tc>
          <w:tcPr>
            <w:tcW w:w="3780" w:type="dxa"/>
            <w:vAlign w:val="bottom"/>
            <w:tcBorders>
              <w:top w:val="single" w:sz="8" w:color="98BDE2"/>
              <w:bottom w:val="single" w:sz="8" w:color="98BDE2"/>
            </w:tcBorders>
          </w:tcPr>
          <w:p>
            <w:pPr>
              <w:jc w:val="right"/>
              <w:ind w:right="528"/>
              <w:spacing w:after="0"/>
              <w:rPr>
                <w:sz w:val="20"/>
                <w:szCs w:val="20"/>
                <w:color w:val="auto"/>
              </w:rPr>
            </w:pPr>
            <w:r>
              <w:rPr>
                <w:rFonts w:ascii="Arial" w:cs="Arial" w:eastAsia="Arial" w:hAnsi="Arial"/>
                <w:sz w:val="14"/>
                <w:szCs w:val="14"/>
                <w:color w:val="032E5C"/>
              </w:rPr>
              <w:t>—</w:t>
            </w:r>
          </w:p>
        </w:tc>
        <w:tc>
          <w:tcPr>
            <w:tcW w:w="2740" w:type="dxa"/>
            <w:vAlign w:val="bottom"/>
            <w:tcBorders>
              <w:top w:val="single" w:sz="8" w:color="98BDE2"/>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880" w:type="dxa"/>
            <w:vAlign w:val="bottom"/>
            <w:tcBorders>
              <w:top w:val="single" w:sz="8" w:color="98BDE2"/>
              <w:bottom w:val="single" w:sz="8" w:color="98BDE2"/>
            </w:tcBorders>
            <w:gridSpan w:val="2"/>
          </w:tcPr>
          <w:p>
            <w:pPr>
              <w:jc w:val="right"/>
              <w:ind w:right="120"/>
              <w:spacing w:after="0"/>
              <w:rPr>
                <w:sz w:val="20"/>
                <w:szCs w:val="20"/>
                <w:color w:val="auto"/>
              </w:rPr>
            </w:pPr>
            <w:r>
              <w:rPr>
                <w:rFonts w:ascii="Arial" w:cs="Arial" w:eastAsia="Arial" w:hAnsi="Arial"/>
                <w:sz w:val="14"/>
                <w:szCs w:val="14"/>
                <w:color w:val="032E5C"/>
              </w:rPr>
              <w:t>—</w:t>
            </w:r>
          </w:p>
        </w:tc>
      </w:tr>
      <w:tr>
        <w:trPr>
          <w:trHeight w:val="217"/>
        </w:trPr>
        <w:tc>
          <w:tcPr>
            <w:tcW w:w="80" w:type="dxa"/>
            <w:vAlign w:val="bottom"/>
            <w:tcBorders>
              <w:bottom w:val="single" w:sz="8" w:color="98BDE2"/>
            </w:tcBorders>
            <w:shd w:val="clear" w:color="auto" w:fill="F3EFE9"/>
          </w:tcPr>
          <w:p>
            <w:pPr>
              <w:spacing w:after="0"/>
              <w:rPr>
                <w:sz w:val="18"/>
                <w:szCs w:val="18"/>
                <w:color w:val="auto"/>
              </w:rPr>
            </w:pPr>
          </w:p>
        </w:tc>
        <w:tc>
          <w:tcPr>
            <w:tcW w:w="276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3780" w:type="dxa"/>
            <w:vAlign w:val="bottom"/>
            <w:tcBorders>
              <w:bottom w:val="single" w:sz="8" w:color="98BDE2"/>
            </w:tcBorders>
          </w:tcPr>
          <w:p>
            <w:pPr>
              <w:jc w:val="right"/>
              <w:ind w:right="528"/>
              <w:spacing w:after="0"/>
              <w:rPr>
                <w:sz w:val="20"/>
                <w:szCs w:val="20"/>
                <w:color w:val="auto"/>
              </w:rPr>
            </w:pPr>
            <w:r>
              <w:rPr>
                <w:rFonts w:ascii="Arial" w:cs="Arial" w:eastAsia="Arial" w:hAnsi="Arial"/>
                <w:sz w:val="14"/>
                <w:szCs w:val="14"/>
                <w:color w:val="032E5C"/>
              </w:rPr>
              <w:t>75%</w:t>
            </w:r>
          </w:p>
        </w:tc>
        <w:tc>
          <w:tcPr>
            <w:tcW w:w="27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75%</w:t>
            </w:r>
          </w:p>
        </w:tc>
        <w:tc>
          <w:tcPr>
            <w:tcW w:w="1880" w:type="dxa"/>
            <w:vAlign w:val="bottom"/>
            <w:tcBorders>
              <w:bottom w:val="single" w:sz="8" w:color="98BDE2"/>
            </w:tcBorders>
            <w:gridSpan w:val="2"/>
          </w:tcPr>
          <w:p>
            <w:pPr>
              <w:jc w:val="right"/>
              <w:ind w:right="120"/>
              <w:spacing w:after="0"/>
              <w:rPr>
                <w:sz w:val="20"/>
                <w:szCs w:val="20"/>
                <w:color w:val="auto"/>
              </w:rPr>
            </w:pPr>
            <w:r>
              <w:rPr>
                <w:rFonts w:ascii="Arial" w:cs="Arial" w:eastAsia="Arial" w:hAnsi="Arial"/>
                <w:sz w:val="14"/>
                <w:szCs w:val="14"/>
                <w:color w:val="032E5C"/>
              </w:rPr>
              <w:t>—</w:t>
            </w:r>
          </w:p>
        </w:tc>
      </w:tr>
      <w:tr>
        <w:trPr>
          <w:trHeight w:val="223"/>
        </w:trPr>
        <w:tc>
          <w:tcPr>
            <w:tcW w:w="80" w:type="dxa"/>
            <w:vAlign w:val="bottom"/>
            <w:tcBorders>
              <w:bottom w:val="single" w:sz="8" w:color="98BDE2"/>
            </w:tcBorders>
            <w:shd w:val="clear" w:color="auto" w:fill="F3EFE9"/>
          </w:tcPr>
          <w:p>
            <w:pPr>
              <w:spacing w:after="0"/>
              <w:rPr>
                <w:sz w:val="19"/>
                <w:szCs w:val="19"/>
                <w:color w:val="auto"/>
              </w:rPr>
            </w:pPr>
          </w:p>
        </w:tc>
        <w:tc>
          <w:tcPr>
            <w:tcW w:w="276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William C. Rock</w:t>
            </w:r>
          </w:p>
        </w:tc>
        <w:tc>
          <w:tcPr>
            <w:tcW w:w="3780" w:type="dxa"/>
            <w:vAlign w:val="bottom"/>
            <w:tcBorders>
              <w:bottom w:val="single" w:sz="8" w:color="98BDE2"/>
            </w:tcBorders>
          </w:tcPr>
          <w:p>
            <w:pPr>
              <w:jc w:val="right"/>
              <w:ind w:right="528"/>
              <w:spacing w:after="0"/>
              <w:rPr>
                <w:sz w:val="20"/>
                <w:szCs w:val="20"/>
                <w:color w:val="auto"/>
              </w:rPr>
            </w:pPr>
            <w:r>
              <w:rPr>
                <w:rFonts w:ascii="Arial" w:cs="Arial" w:eastAsia="Arial" w:hAnsi="Arial"/>
                <w:sz w:val="14"/>
                <w:szCs w:val="14"/>
                <w:color w:val="032E5C"/>
              </w:rPr>
              <w:t>75%</w:t>
            </w:r>
          </w:p>
        </w:tc>
        <w:tc>
          <w:tcPr>
            <w:tcW w:w="27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75%</w:t>
            </w:r>
          </w:p>
        </w:tc>
        <w:tc>
          <w:tcPr>
            <w:tcW w:w="1880" w:type="dxa"/>
            <w:vAlign w:val="bottom"/>
            <w:tcBorders>
              <w:bottom w:val="single" w:sz="8" w:color="98BDE2"/>
            </w:tcBorders>
            <w:gridSpan w:val="2"/>
          </w:tcPr>
          <w:p>
            <w:pPr>
              <w:jc w:val="right"/>
              <w:ind w:right="120"/>
              <w:spacing w:after="0"/>
              <w:rPr>
                <w:sz w:val="20"/>
                <w:szCs w:val="20"/>
                <w:color w:val="auto"/>
              </w:rPr>
            </w:pPr>
            <w:r>
              <w:rPr>
                <w:rFonts w:ascii="Arial" w:cs="Arial" w:eastAsia="Arial" w:hAnsi="Arial"/>
                <w:sz w:val="14"/>
                <w:szCs w:val="14"/>
                <w:color w:val="032E5C"/>
              </w:rPr>
              <w:t>—</w:t>
            </w:r>
          </w:p>
        </w:tc>
      </w:tr>
      <w:tr>
        <w:trPr>
          <w:trHeight w:val="230"/>
        </w:trPr>
        <w:tc>
          <w:tcPr>
            <w:tcW w:w="80" w:type="dxa"/>
            <w:vAlign w:val="bottom"/>
            <w:tcBorders>
              <w:bottom w:val="single" w:sz="8" w:color="98BDE2"/>
            </w:tcBorders>
            <w:shd w:val="clear" w:color="auto" w:fill="F3EFE9"/>
          </w:tcPr>
          <w:p>
            <w:pPr>
              <w:spacing w:after="0"/>
              <w:rPr>
                <w:sz w:val="19"/>
                <w:szCs w:val="19"/>
                <w:color w:val="auto"/>
              </w:rPr>
            </w:pPr>
          </w:p>
        </w:tc>
        <w:tc>
          <w:tcPr>
            <w:tcW w:w="276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David T. Shapiro</w:t>
            </w:r>
            <w:r>
              <w:rPr>
                <w:rFonts w:ascii="Arial" w:cs="Arial" w:eastAsia="Arial" w:hAnsi="Arial"/>
                <w:sz w:val="18"/>
                <w:szCs w:val="18"/>
                <w:b w:val="1"/>
                <w:bCs w:val="1"/>
                <w:color w:val="032E5C"/>
                <w:vertAlign w:val="superscript"/>
              </w:rPr>
              <w:t>(2)</w:t>
            </w:r>
          </w:p>
        </w:tc>
        <w:tc>
          <w:tcPr>
            <w:tcW w:w="3780" w:type="dxa"/>
            <w:vAlign w:val="bottom"/>
            <w:tcBorders>
              <w:bottom w:val="single" w:sz="8" w:color="98BDE2"/>
            </w:tcBorders>
          </w:tcPr>
          <w:p>
            <w:pPr>
              <w:jc w:val="right"/>
              <w:ind w:right="528"/>
              <w:spacing w:after="0"/>
              <w:rPr>
                <w:sz w:val="20"/>
                <w:szCs w:val="20"/>
                <w:color w:val="auto"/>
              </w:rPr>
            </w:pPr>
            <w:r>
              <w:rPr>
                <w:rFonts w:ascii="Arial" w:cs="Arial" w:eastAsia="Arial" w:hAnsi="Arial"/>
                <w:sz w:val="14"/>
                <w:szCs w:val="14"/>
                <w:color w:val="032E5C"/>
              </w:rPr>
              <w:t>50%</w:t>
            </w:r>
          </w:p>
        </w:tc>
        <w:tc>
          <w:tcPr>
            <w:tcW w:w="274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880" w:type="dxa"/>
            <w:vAlign w:val="bottom"/>
            <w:tcBorders>
              <w:bottom w:val="single" w:sz="8" w:color="98BDE2"/>
            </w:tcBorders>
            <w:gridSpan w:val="2"/>
          </w:tcPr>
          <w:p>
            <w:pPr>
              <w:jc w:val="right"/>
              <w:ind w:right="120"/>
              <w:spacing w:after="0"/>
              <w:rPr>
                <w:sz w:val="20"/>
                <w:szCs w:val="20"/>
                <w:color w:val="auto"/>
              </w:rPr>
            </w:pPr>
            <w:r>
              <w:rPr>
                <w:rFonts w:ascii="Arial" w:cs="Arial" w:eastAsia="Arial" w:hAnsi="Arial"/>
                <w:sz w:val="14"/>
                <w:szCs w:val="14"/>
                <w:color w:val="032E5C"/>
              </w:rPr>
              <w:t>N/A</w:t>
            </w:r>
          </w:p>
        </w:tc>
      </w:tr>
      <w:tr>
        <w:trPr>
          <w:trHeight w:val="230"/>
        </w:trPr>
        <w:tc>
          <w:tcPr>
            <w:tcW w:w="80" w:type="dxa"/>
            <w:vAlign w:val="bottom"/>
            <w:tcBorders>
              <w:bottom w:val="single" w:sz="8" w:color="3E5C7C"/>
            </w:tcBorders>
            <w:shd w:val="clear" w:color="auto" w:fill="F3EFE9"/>
          </w:tcPr>
          <w:p>
            <w:pPr>
              <w:spacing w:after="0"/>
              <w:rPr>
                <w:sz w:val="20"/>
                <w:szCs w:val="20"/>
                <w:color w:val="auto"/>
              </w:rPr>
            </w:pPr>
          </w:p>
        </w:tc>
        <w:tc>
          <w:tcPr>
            <w:tcW w:w="2760" w:type="dxa"/>
            <w:vAlign w:val="bottom"/>
            <w:tcBorders>
              <w:bottom w:val="single" w:sz="8" w:color="3E5C7C"/>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Gregory J. Sullivan</w:t>
            </w:r>
          </w:p>
        </w:tc>
        <w:tc>
          <w:tcPr>
            <w:tcW w:w="3780" w:type="dxa"/>
            <w:vAlign w:val="bottom"/>
            <w:tcBorders>
              <w:bottom w:val="single" w:sz="8" w:color="3E5C7C"/>
            </w:tcBorders>
          </w:tcPr>
          <w:p>
            <w:pPr>
              <w:jc w:val="right"/>
              <w:ind w:right="528"/>
              <w:spacing w:after="0"/>
              <w:rPr>
                <w:sz w:val="20"/>
                <w:szCs w:val="20"/>
                <w:color w:val="auto"/>
              </w:rPr>
            </w:pPr>
            <w:r>
              <w:rPr>
                <w:rFonts w:ascii="Arial" w:cs="Arial" w:eastAsia="Arial" w:hAnsi="Arial"/>
                <w:sz w:val="14"/>
                <w:szCs w:val="14"/>
                <w:color w:val="032E5C"/>
              </w:rPr>
              <w:t>50%</w:t>
            </w:r>
          </w:p>
        </w:tc>
        <w:tc>
          <w:tcPr>
            <w:tcW w:w="274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50%</w:t>
            </w:r>
          </w:p>
        </w:tc>
        <w:tc>
          <w:tcPr>
            <w:tcW w:w="1880" w:type="dxa"/>
            <w:vAlign w:val="bottom"/>
            <w:tcBorders>
              <w:bottom w:val="single" w:sz="8" w:color="3E5C7C"/>
            </w:tcBorders>
            <w:gridSpan w:val="2"/>
          </w:tcPr>
          <w:p>
            <w:pPr>
              <w:jc w:val="right"/>
              <w:ind w:right="120"/>
              <w:spacing w:after="0"/>
              <w:rPr>
                <w:sz w:val="20"/>
                <w:szCs w:val="20"/>
                <w:color w:val="auto"/>
              </w:rPr>
            </w:pPr>
            <w:r>
              <w:rPr>
                <w:rFonts w:ascii="Arial" w:cs="Arial" w:eastAsia="Arial" w:hAnsi="Arial"/>
                <w:sz w:val="14"/>
                <w:szCs w:val="14"/>
                <w:color w:val="032E5C"/>
              </w:rPr>
              <w:t>—</w:t>
            </w:r>
          </w:p>
        </w:tc>
      </w:tr>
    </w:tbl>
    <w:p>
      <w:pPr>
        <w:spacing w:after="0" w:line="15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29292B"/>
        </w:rPr>
      </w:pPr>
      <w:r>
        <w:rPr>
          <w:rFonts w:ascii="Arial" w:cs="Arial" w:eastAsia="Arial" w:hAnsi="Arial"/>
          <w:sz w:val="14"/>
          <w:szCs w:val="14"/>
          <w:color w:val="29292B"/>
        </w:rPr>
        <w:t>As Executive Chairperson, Mr. Katz is not eligible for an MIP award.</w:t>
      </w:r>
    </w:p>
    <w:p>
      <w:pPr>
        <w:spacing w:after="0" w:line="95" w:lineRule="exact"/>
        <w:rPr>
          <w:rFonts w:ascii="Arial" w:cs="Arial" w:eastAsia="Arial" w:hAnsi="Arial"/>
          <w:sz w:val="14"/>
          <w:szCs w:val="14"/>
          <w:color w:val="29292B"/>
        </w:rPr>
      </w:pPr>
    </w:p>
    <w:p>
      <w:pPr>
        <w:ind w:left="340" w:hanging="332"/>
        <w:spacing w:after="0"/>
        <w:tabs>
          <w:tab w:leader="none" w:pos="340" w:val="left"/>
        </w:tabs>
        <w:numPr>
          <w:ilvl w:val="0"/>
          <w:numId w:val="46"/>
        </w:numPr>
        <w:rPr>
          <w:rFonts w:ascii="Arial" w:cs="Arial" w:eastAsia="Arial" w:hAnsi="Arial"/>
          <w:sz w:val="14"/>
          <w:szCs w:val="14"/>
          <w:color w:val="29292B"/>
        </w:rPr>
      </w:pPr>
      <w:r>
        <w:rPr>
          <w:rFonts w:ascii="Arial" w:cs="Arial" w:eastAsia="Arial" w:hAnsi="Arial"/>
          <w:sz w:val="14"/>
          <w:szCs w:val="14"/>
          <w:color w:val="29292B"/>
        </w:rPr>
        <w:t>Mr. Shapiro was not eligible for an MIP award for fiscal 2024 due to his departure from the Company on February 23,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53</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29292B"/>
        </w:rPr>
        <w:t>The table below sets forth the threshold, target and maximum awards payable under the MIP for each NEO in fiscal 2024 who was eligible for an award at the time that the Committee established the NEO’s opportunity: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20" w:type="dxa"/>
            <w:vAlign w:val="bottom"/>
            <w:shd w:val="clear" w:color="auto" w:fill="98BDE2"/>
          </w:tcPr>
          <w:p>
            <w:pPr>
              <w:spacing w:after="0"/>
              <w:rPr>
                <w:sz w:val="16"/>
                <w:szCs w:val="16"/>
                <w:color w:val="auto"/>
              </w:rPr>
            </w:pPr>
          </w:p>
        </w:tc>
        <w:tc>
          <w:tcPr>
            <w:tcW w:w="3780" w:type="dxa"/>
            <w:vAlign w:val="bottom"/>
            <w:shd w:val="clear" w:color="auto" w:fill="98BDE2"/>
          </w:tcPr>
          <w:p>
            <w:pPr>
              <w:ind w:left="2060"/>
              <w:spacing w:after="0"/>
              <w:rPr>
                <w:sz w:val="20"/>
                <w:szCs w:val="20"/>
                <w:color w:val="auto"/>
              </w:rPr>
            </w:pPr>
            <w:r>
              <w:rPr>
                <w:rFonts w:ascii="Arial" w:cs="Arial" w:eastAsia="Arial" w:hAnsi="Arial"/>
                <w:sz w:val="14"/>
                <w:szCs w:val="14"/>
                <w:b w:val="1"/>
                <w:bCs w:val="1"/>
                <w:color w:val="032E5C"/>
              </w:rPr>
              <w:t>Threshold</w:t>
            </w:r>
          </w:p>
        </w:tc>
        <w:tc>
          <w:tcPr>
            <w:tcW w:w="2780" w:type="dxa"/>
            <w:vAlign w:val="bottom"/>
            <w:shd w:val="clear" w:color="auto" w:fill="98BDE2"/>
          </w:tcPr>
          <w:p>
            <w:pPr>
              <w:jc w:val="right"/>
              <w:ind w:right="968"/>
              <w:spacing w:after="0"/>
              <w:rPr>
                <w:sz w:val="20"/>
                <w:szCs w:val="20"/>
                <w:color w:val="auto"/>
              </w:rPr>
            </w:pPr>
            <w:r>
              <w:rPr>
                <w:rFonts w:ascii="Arial" w:cs="Arial" w:eastAsia="Arial" w:hAnsi="Arial"/>
                <w:sz w:val="14"/>
                <w:szCs w:val="14"/>
                <w:b w:val="1"/>
                <w:bCs w:val="1"/>
                <w:color w:val="032E5C"/>
              </w:rPr>
              <w:t>Target</w:t>
            </w:r>
          </w:p>
        </w:tc>
        <w:tc>
          <w:tcPr>
            <w:tcW w:w="18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Maximum</w:t>
            </w:r>
          </w:p>
        </w:tc>
      </w:tr>
      <w:tr>
        <w:trPr>
          <w:trHeight w:val="196"/>
        </w:trPr>
        <w:tc>
          <w:tcPr>
            <w:tcW w:w="282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3780" w:type="dxa"/>
            <w:vAlign w:val="bottom"/>
            <w:shd w:val="clear" w:color="auto" w:fill="98BDE2"/>
          </w:tcPr>
          <w:p>
            <w:pPr>
              <w:ind w:left="2560"/>
              <w:spacing w:after="0"/>
              <w:rPr>
                <w:sz w:val="20"/>
                <w:szCs w:val="20"/>
                <w:color w:val="auto"/>
              </w:rPr>
            </w:pPr>
            <w:r>
              <w:rPr>
                <w:rFonts w:ascii="Arial" w:cs="Arial" w:eastAsia="Arial" w:hAnsi="Arial"/>
                <w:sz w:val="14"/>
                <w:szCs w:val="14"/>
                <w:b w:val="1"/>
                <w:bCs w:val="1"/>
                <w:color w:val="032E5C"/>
              </w:rPr>
              <w:t>($)</w:t>
            </w:r>
          </w:p>
        </w:tc>
        <w:tc>
          <w:tcPr>
            <w:tcW w:w="2780" w:type="dxa"/>
            <w:vAlign w:val="bottom"/>
            <w:shd w:val="clear" w:color="auto" w:fill="98BDE2"/>
          </w:tcPr>
          <w:p>
            <w:pPr>
              <w:jc w:val="right"/>
              <w:ind w:right="968"/>
              <w:spacing w:after="0"/>
              <w:rPr>
                <w:sz w:val="20"/>
                <w:szCs w:val="20"/>
                <w:color w:val="auto"/>
              </w:rPr>
            </w:pPr>
            <w:r>
              <w:rPr>
                <w:rFonts w:ascii="Arial" w:cs="Arial" w:eastAsia="Arial" w:hAnsi="Arial"/>
                <w:sz w:val="14"/>
                <w:szCs w:val="14"/>
                <w:b w:val="1"/>
                <w:bCs w:val="1"/>
                <w:color w:val="032E5C"/>
              </w:rPr>
              <w:t>($)</w:t>
            </w:r>
          </w:p>
        </w:tc>
        <w:tc>
          <w:tcPr>
            <w:tcW w:w="18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r>
      <w:tr>
        <w:trPr>
          <w:trHeight w:val="69"/>
        </w:trPr>
        <w:tc>
          <w:tcPr>
            <w:tcW w:w="2820" w:type="dxa"/>
            <w:vAlign w:val="bottom"/>
            <w:shd w:val="clear" w:color="auto" w:fill="98BDE2"/>
          </w:tcPr>
          <w:p>
            <w:pPr>
              <w:spacing w:after="0"/>
              <w:rPr>
                <w:sz w:val="6"/>
                <w:szCs w:val="6"/>
                <w:color w:val="auto"/>
              </w:rPr>
            </w:pPr>
          </w:p>
        </w:tc>
        <w:tc>
          <w:tcPr>
            <w:tcW w:w="3780" w:type="dxa"/>
            <w:vAlign w:val="bottom"/>
            <w:shd w:val="clear" w:color="auto" w:fill="98BDE2"/>
          </w:tcPr>
          <w:p>
            <w:pPr>
              <w:spacing w:after="0"/>
              <w:rPr>
                <w:sz w:val="6"/>
                <w:szCs w:val="6"/>
                <w:color w:val="auto"/>
              </w:rPr>
            </w:pPr>
          </w:p>
        </w:tc>
        <w:tc>
          <w:tcPr>
            <w:tcW w:w="2780" w:type="dxa"/>
            <w:vAlign w:val="bottom"/>
            <w:shd w:val="clear" w:color="auto" w:fill="98BDE2"/>
          </w:tcPr>
          <w:p>
            <w:pPr>
              <w:spacing w:after="0"/>
              <w:rPr>
                <w:sz w:val="6"/>
                <w:szCs w:val="6"/>
                <w:color w:val="auto"/>
              </w:rPr>
            </w:pPr>
          </w:p>
        </w:tc>
        <w:tc>
          <w:tcPr>
            <w:tcW w:w="1840" w:type="dxa"/>
            <w:vAlign w:val="bottom"/>
            <w:shd w:val="clear" w:color="auto" w:fill="98BDE2"/>
          </w:tcPr>
          <w:p>
            <w:pPr>
              <w:spacing w:after="0"/>
              <w:rPr>
                <w:sz w:val="6"/>
                <w:szCs w:val="6"/>
                <w:color w:val="auto"/>
              </w:rPr>
            </w:pPr>
          </w:p>
        </w:tc>
      </w:tr>
      <w:tr>
        <w:trPr>
          <w:trHeight w:val="223"/>
        </w:trPr>
        <w:tc>
          <w:tcPr>
            <w:tcW w:w="28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Kirsten A. Lynch</w:t>
            </w:r>
          </w:p>
        </w:tc>
        <w:tc>
          <w:tcPr>
            <w:tcW w:w="3780" w:type="dxa"/>
            <w:vAlign w:val="bottom"/>
            <w:tcBorders>
              <w:bottom w:val="single" w:sz="8" w:color="98BDE2"/>
            </w:tcBorders>
          </w:tcPr>
          <w:p>
            <w:pPr>
              <w:ind w:left="2560"/>
              <w:spacing w:after="0"/>
              <w:rPr>
                <w:sz w:val="20"/>
                <w:szCs w:val="20"/>
                <w:color w:val="auto"/>
              </w:rPr>
            </w:pPr>
            <w:r>
              <w:rPr>
                <w:rFonts w:ascii="Arial" w:cs="Arial" w:eastAsia="Arial" w:hAnsi="Arial"/>
                <w:sz w:val="14"/>
                <w:szCs w:val="14"/>
                <w:color w:val="032E5C"/>
              </w:rPr>
              <w:t>—</w:t>
            </w:r>
          </w:p>
        </w:tc>
        <w:tc>
          <w:tcPr>
            <w:tcW w:w="2780" w:type="dxa"/>
            <w:vAlign w:val="bottom"/>
            <w:tcBorders>
              <w:bottom w:val="single" w:sz="8" w:color="98BDE2"/>
            </w:tcBorders>
          </w:tcPr>
          <w:p>
            <w:pPr>
              <w:jc w:val="right"/>
              <w:ind w:right="1028"/>
              <w:spacing w:after="0"/>
              <w:rPr>
                <w:sz w:val="20"/>
                <w:szCs w:val="20"/>
                <w:color w:val="auto"/>
              </w:rPr>
            </w:pPr>
            <w:r>
              <w:rPr>
                <w:rFonts w:ascii="Arial" w:cs="Arial" w:eastAsia="Arial" w:hAnsi="Arial"/>
                <w:sz w:val="14"/>
                <w:szCs w:val="14"/>
                <w:color w:val="032E5C"/>
              </w:rPr>
              <w:t>1,091,800</w:t>
            </w:r>
          </w:p>
        </w:tc>
        <w:tc>
          <w:tcPr>
            <w:tcW w:w="18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2,183,600</w:t>
            </w:r>
          </w:p>
        </w:tc>
      </w:tr>
      <w:tr>
        <w:trPr>
          <w:trHeight w:val="229"/>
        </w:trPr>
        <w:tc>
          <w:tcPr>
            <w:tcW w:w="28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r>
              <w:rPr>
                <w:rFonts w:ascii="Arial" w:cs="Arial" w:eastAsia="Arial" w:hAnsi="Arial"/>
                <w:sz w:val="18"/>
                <w:szCs w:val="18"/>
                <w:b w:val="1"/>
                <w:bCs w:val="1"/>
                <w:color w:val="032E5C"/>
                <w:vertAlign w:val="superscript"/>
              </w:rPr>
              <w:t>(1)</w:t>
            </w:r>
          </w:p>
        </w:tc>
        <w:tc>
          <w:tcPr>
            <w:tcW w:w="3780" w:type="dxa"/>
            <w:vAlign w:val="bottom"/>
            <w:tcBorders>
              <w:bottom w:val="single" w:sz="8" w:color="98BDE2"/>
            </w:tcBorders>
          </w:tcPr>
          <w:p>
            <w:pPr>
              <w:ind w:left="2560"/>
              <w:spacing w:after="0"/>
              <w:rPr>
                <w:sz w:val="20"/>
                <w:szCs w:val="20"/>
                <w:color w:val="auto"/>
              </w:rPr>
            </w:pPr>
            <w:r>
              <w:rPr>
                <w:rFonts w:ascii="Arial" w:cs="Arial" w:eastAsia="Arial" w:hAnsi="Arial"/>
                <w:sz w:val="14"/>
                <w:szCs w:val="14"/>
                <w:color w:val="032E5C"/>
              </w:rPr>
              <w:t>—</w:t>
            </w:r>
          </w:p>
        </w:tc>
        <w:tc>
          <w:tcPr>
            <w:tcW w:w="2780" w:type="dxa"/>
            <w:vAlign w:val="bottom"/>
            <w:tcBorders>
              <w:bottom w:val="single" w:sz="8" w:color="98BDE2"/>
            </w:tcBorders>
          </w:tcPr>
          <w:p>
            <w:pPr>
              <w:jc w:val="right"/>
              <w:ind w:right="1028"/>
              <w:spacing w:after="0"/>
              <w:rPr>
                <w:sz w:val="20"/>
                <w:szCs w:val="20"/>
                <w:color w:val="auto"/>
              </w:rPr>
            </w:pPr>
            <w:r>
              <w:rPr>
                <w:rFonts w:ascii="Arial" w:cs="Arial" w:eastAsia="Arial" w:hAnsi="Arial"/>
                <w:sz w:val="14"/>
                <w:szCs w:val="14"/>
                <w:color w:val="032E5C"/>
              </w:rPr>
              <w:t>—</w:t>
            </w:r>
          </w:p>
        </w:tc>
        <w:tc>
          <w:tcPr>
            <w:tcW w:w="18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w:t>
            </w:r>
          </w:p>
        </w:tc>
      </w:tr>
      <w:tr>
        <w:trPr>
          <w:trHeight w:val="217"/>
        </w:trPr>
        <w:tc>
          <w:tcPr>
            <w:tcW w:w="28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3780" w:type="dxa"/>
            <w:vAlign w:val="bottom"/>
            <w:tcBorders>
              <w:bottom w:val="single" w:sz="8" w:color="98BDE2"/>
            </w:tcBorders>
          </w:tcPr>
          <w:p>
            <w:pPr>
              <w:ind w:left="2560"/>
              <w:spacing w:after="0"/>
              <w:rPr>
                <w:sz w:val="20"/>
                <w:szCs w:val="20"/>
                <w:color w:val="auto"/>
              </w:rPr>
            </w:pPr>
            <w:r>
              <w:rPr>
                <w:rFonts w:ascii="Arial" w:cs="Arial" w:eastAsia="Arial" w:hAnsi="Arial"/>
                <w:sz w:val="14"/>
                <w:szCs w:val="14"/>
                <w:color w:val="032E5C"/>
              </w:rPr>
              <w:t>—</w:t>
            </w:r>
          </w:p>
        </w:tc>
        <w:tc>
          <w:tcPr>
            <w:tcW w:w="2780" w:type="dxa"/>
            <w:vAlign w:val="bottom"/>
            <w:tcBorders>
              <w:bottom w:val="single" w:sz="8" w:color="98BDE2"/>
            </w:tcBorders>
          </w:tcPr>
          <w:p>
            <w:pPr>
              <w:jc w:val="right"/>
              <w:ind w:right="1028"/>
              <w:spacing w:after="0"/>
              <w:rPr>
                <w:sz w:val="20"/>
                <w:szCs w:val="20"/>
                <w:color w:val="auto"/>
              </w:rPr>
            </w:pPr>
            <w:r>
              <w:rPr>
                <w:rFonts w:ascii="Arial" w:cs="Arial" w:eastAsia="Arial" w:hAnsi="Arial"/>
                <w:sz w:val="14"/>
                <w:szCs w:val="14"/>
                <w:color w:val="032E5C"/>
              </w:rPr>
              <w:t>442,500</w:t>
            </w:r>
          </w:p>
        </w:tc>
        <w:tc>
          <w:tcPr>
            <w:tcW w:w="18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1,150,500</w:t>
            </w:r>
          </w:p>
        </w:tc>
      </w:tr>
      <w:tr>
        <w:trPr>
          <w:trHeight w:val="223"/>
        </w:trPr>
        <w:tc>
          <w:tcPr>
            <w:tcW w:w="28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C. Rock</w:t>
            </w:r>
          </w:p>
        </w:tc>
        <w:tc>
          <w:tcPr>
            <w:tcW w:w="3780" w:type="dxa"/>
            <w:vAlign w:val="bottom"/>
            <w:tcBorders>
              <w:bottom w:val="single" w:sz="8" w:color="98BDE2"/>
            </w:tcBorders>
          </w:tcPr>
          <w:p>
            <w:pPr>
              <w:ind w:left="2560"/>
              <w:spacing w:after="0"/>
              <w:rPr>
                <w:sz w:val="20"/>
                <w:szCs w:val="20"/>
                <w:color w:val="auto"/>
              </w:rPr>
            </w:pPr>
            <w:r>
              <w:rPr>
                <w:rFonts w:ascii="Arial" w:cs="Arial" w:eastAsia="Arial" w:hAnsi="Arial"/>
                <w:sz w:val="14"/>
                <w:szCs w:val="14"/>
                <w:color w:val="032E5C"/>
              </w:rPr>
              <w:t>—</w:t>
            </w:r>
          </w:p>
        </w:tc>
        <w:tc>
          <w:tcPr>
            <w:tcW w:w="2780" w:type="dxa"/>
            <w:vAlign w:val="bottom"/>
            <w:tcBorders>
              <w:bottom w:val="single" w:sz="8" w:color="98BDE2"/>
            </w:tcBorders>
          </w:tcPr>
          <w:p>
            <w:pPr>
              <w:jc w:val="right"/>
              <w:ind w:right="1028"/>
              <w:spacing w:after="0"/>
              <w:rPr>
                <w:sz w:val="20"/>
                <w:szCs w:val="20"/>
                <w:color w:val="auto"/>
              </w:rPr>
            </w:pPr>
            <w:r>
              <w:rPr>
                <w:rFonts w:ascii="Arial" w:cs="Arial" w:eastAsia="Arial" w:hAnsi="Arial"/>
                <w:sz w:val="14"/>
                <w:szCs w:val="14"/>
                <w:color w:val="032E5C"/>
              </w:rPr>
              <w:t>386,250</w:t>
            </w:r>
          </w:p>
        </w:tc>
        <w:tc>
          <w:tcPr>
            <w:tcW w:w="18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1,004,250</w:t>
            </w:r>
          </w:p>
        </w:tc>
      </w:tr>
      <w:tr>
        <w:trPr>
          <w:trHeight w:val="229"/>
        </w:trPr>
        <w:tc>
          <w:tcPr>
            <w:tcW w:w="28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David T. Shapiro</w:t>
            </w:r>
            <w:r>
              <w:rPr>
                <w:rFonts w:ascii="Arial" w:cs="Arial" w:eastAsia="Arial" w:hAnsi="Arial"/>
                <w:sz w:val="18"/>
                <w:szCs w:val="18"/>
                <w:b w:val="1"/>
                <w:bCs w:val="1"/>
                <w:color w:val="032E5C"/>
                <w:vertAlign w:val="superscript"/>
              </w:rPr>
              <w:t>(2)</w:t>
            </w:r>
          </w:p>
        </w:tc>
        <w:tc>
          <w:tcPr>
            <w:tcW w:w="3780" w:type="dxa"/>
            <w:vAlign w:val="bottom"/>
            <w:tcBorders>
              <w:bottom w:val="single" w:sz="8" w:color="98BDE2"/>
            </w:tcBorders>
          </w:tcPr>
          <w:p>
            <w:pPr>
              <w:ind w:left="2560"/>
              <w:spacing w:after="0"/>
              <w:rPr>
                <w:sz w:val="20"/>
                <w:szCs w:val="20"/>
                <w:color w:val="auto"/>
              </w:rPr>
            </w:pPr>
            <w:r>
              <w:rPr>
                <w:rFonts w:ascii="Arial" w:cs="Arial" w:eastAsia="Arial" w:hAnsi="Arial"/>
                <w:sz w:val="14"/>
                <w:szCs w:val="14"/>
                <w:color w:val="032E5C"/>
              </w:rPr>
              <w:t>—</w:t>
            </w:r>
          </w:p>
        </w:tc>
        <w:tc>
          <w:tcPr>
            <w:tcW w:w="2780" w:type="dxa"/>
            <w:vAlign w:val="bottom"/>
            <w:tcBorders>
              <w:bottom w:val="single" w:sz="8" w:color="98BDE2"/>
            </w:tcBorders>
          </w:tcPr>
          <w:p>
            <w:pPr>
              <w:jc w:val="right"/>
              <w:ind w:right="1028"/>
              <w:spacing w:after="0"/>
              <w:rPr>
                <w:sz w:val="20"/>
                <w:szCs w:val="20"/>
                <w:color w:val="auto"/>
              </w:rPr>
            </w:pPr>
            <w:r>
              <w:rPr>
                <w:rFonts w:ascii="Arial" w:cs="Arial" w:eastAsia="Arial" w:hAnsi="Arial"/>
                <w:sz w:val="14"/>
                <w:szCs w:val="14"/>
                <w:color w:val="032E5C"/>
              </w:rPr>
              <w:t>—</w:t>
            </w:r>
          </w:p>
        </w:tc>
        <w:tc>
          <w:tcPr>
            <w:tcW w:w="18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w:t>
            </w:r>
          </w:p>
        </w:tc>
      </w:tr>
      <w:tr>
        <w:trPr>
          <w:trHeight w:val="230"/>
        </w:trPr>
        <w:tc>
          <w:tcPr>
            <w:tcW w:w="2820" w:type="dxa"/>
            <w:vAlign w:val="bottom"/>
            <w:tcBorders>
              <w:bottom w:val="single" w:sz="8" w:color="3E5C7C"/>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Gregory J. Sullivan</w:t>
            </w:r>
          </w:p>
        </w:tc>
        <w:tc>
          <w:tcPr>
            <w:tcW w:w="3780" w:type="dxa"/>
            <w:vAlign w:val="bottom"/>
            <w:tcBorders>
              <w:bottom w:val="single" w:sz="8" w:color="3E5C7C"/>
            </w:tcBorders>
          </w:tcPr>
          <w:p>
            <w:pPr>
              <w:ind w:left="2560"/>
              <w:spacing w:after="0"/>
              <w:rPr>
                <w:sz w:val="20"/>
                <w:szCs w:val="20"/>
                <w:color w:val="auto"/>
              </w:rPr>
            </w:pPr>
            <w:r>
              <w:rPr>
                <w:rFonts w:ascii="Arial" w:cs="Arial" w:eastAsia="Arial" w:hAnsi="Arial"/>
                <w:sz w:val="14"/>
                <w:szCs w:val="14"/>
                <w:color w:val="032E5C"/>
              </w:rPr>
              <w:t>—</w:t>
            </w:r>
          </w:p>
        </w:tc>
        <w:tc>
          <w:tcPr>
            <w:tcW w:w="2780" w:type="dxa"/>
            <w:vAlign w:val="bottom"/>
            <w:tcBorders>
              <w:bottom w:val="single" w:sz="8" w:color="3E5C7C"/>
            </w:tcBorders>
          </w:tcPr>
          <w:p>
            <w:pPr>
              <w:jc w:val="right"/>
              <w:ind w:right="1028"/>
              <w:spacing w:after="0"/>
              <w:rPr>
                <w:sz w:val="20"/>
                <w:szCs w:val="20"/>
                <w:color w:val="auto"/>
              </w:rPr>
            </w:pPr>
            <w:r>
              <w:rPr>
                <w:rFonts w:ascii="Arial" w:cs="Arial" w:eastAsia="Arial" w:hAnsi="Arial"/>
                <w:sz w:val="14"/>
                <w:szCs w:val="14"/>
                <w:color w:val="032E5C"/>
              </w:rPr>
              <w:t>220,353</w:t>
            </w:r>
          </w:p>
        </w:tc>
        <w:tc>
          <w:tcPr>
            <w:tcW w:w="1840" w:type="dxa"/>
            <w:vAlign w:val="bottom"/>
            <w:tcBorders>
              <w:bottom w:val="single" w:sz="8" w:color="3E5C7C"/>
            </w:tcBorders>
          </w:tcPr>
          <w:p>
            <w:pPr>
              <w:jc w:val="right"/>
              <w:ind w:right="88"/>
              <w:spacing w:after="0"/>
              <w:rPr>
                <w:sz w:val="20"/>
                <w:szCs w:val="20"/>
                <w:color w:val="auto"/>
              </w:rPr>
            </w:pPr>
            <w:r>
              <w:rPr>
                <w:rFonts w:ascii="Arial" w:cs="Arial" w:eastAsia="Arial" w:hAnsi="Arial"/>
                <w:sz w:val="14"/>
                <w:szCs w:val="14"/>
                <w:color w:val="032E5C"/>
              </w:rPr>
              <w:t>572,917</w:t>
            </w:r>
          </w:p>
        </w:tc>
      </w:tr>
    </w:tbl>
    <w:p>
      <w:pPr>
        <w:spacing w:after="0" w:line="153"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29292B"/>
        </w:rPr>
      </w:pPr>
      <w:r>
        <w:rPr>
          <w:rFonts w:ascii="Arial" w:cs="Arial" w:eastAsia="Arial" w:hAnsi="Arial"/>
          <w:sz w:val="14"/>
          <w:szCs w:val="14"/>
          <w:color w:val="29292B"/>
        </w:rPr>
        <w:t>As Executive Chairperson, Mr. Katz is not eligible for an MIP award.</w:t>
      </w:r>
    </w:p>
    <w:p>
      <w:pPr>
        <w:spacing w:after="0" w:line="95" w:lineRule="exact"/>
        <w:rPr>
          <w:rFonts w:ascii="Arial" w:cs="Arial" w:eastAsia="Arial" w:hAnsi="Arial"/>
          <w:sz w:val="14"/>
          <w:szCs w:val="14"/>
          <w:color w:val="29292B"/>
        </w:rPr>
      </w:pPr>
    </w:p>
    <w:p>
      <w:pPr>
        <w:ind w:left="340" w:hanging="332"/>
        <w:spacing w:after="0"/>
        <w:tabs>
          <w:tab w:leader="none" w:pos="340" w:val="left"/>
        </w:tabs>
        <w:numPr>
          <w:ilvl w:val="0"/>
          <w:numId w:val="47"/>
        </w:numPr>
        <w:rPr>
          <w:rFonts w:ascii="Arial" w:cs="Arial" w:eastAsia="Arial" w:hAnsi="Arial"/>
          <w:sz w:val="14"/>
          <w:szCs w:val="14"/>
          <w:color w:val="29292B"/>
        </w:rPr>
      </w:pPr>
      <w:r>
        <w:rPr>
          <w:rFonts w:ascii="Arial" w:cs="Arial" w:eastAsia="Arial" w:hAnsi="Arial"/>
          <w:sz w:val="14"/>
          <w:szCs w:val="14"/>
          <w:color w:val="29292B"/>
        </w:rPr>
        <w:t>Mr. Shapiro was not eligible for an MIP award for fiscal 2024 due to his departure from the Company on February 23, 2024.</w:t>
      </w:r>
    </w:p>
    <w:p>
      <w:pPr>
        <w:spacing w:after="0" w:line="239"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i w:val="1"/>
          <w:iCs w:val="1"/>
          <w:color w:val="29292B"/>
        </w:rPr>
        <w:t xml:space="preserve">Individual MIP Award Determination. </w:t>
      </w:r>
      <w:r>
        <w:rPr>
          <w:rFonts w:ascii="Arial" w:cs="Arial" w:eastAsia="Arial" w:hAnsi="Arial"/>
          <w:sz w:val="16"/>
          <w:szCs w:val="16"/>
          <w:color w:val="29292B"/>
        </w:rPr>
        <w:t>Once funding was established for fiscal 2024, the actual MIP award paid to each NEO was determined by individual</w:t>
      </w:r>
      <w:r>
        <w:rPr>
          <w:rFonts w:ascii="Arial" w:cs="Arial" w:eastAsia="Arial" w:hAnsi="Arial"/>
          <w:sz w:val="16"/>
          <w:szCs w:val="16"/>
          <w:i w:val="1"/>
          <w:iCs w:val="1"/>
          <w:color w:val="29292B"/>
        </w:rPr>
        <w:t xml:space="preserve"> </w:t>
      </w:r>
      <w:r>
        <w:rPr>
          <w:rFonts w:ascii="Arial" w:cs="Arial" w:eastAsia="Arial" w:hAnsi="Arial"/>
          <w:sz w:val="16"/>
          <w:szCs w:val="16"/>
          <w:color w:val="29292B"/>
        </w:rPr>
        <w:t>performance achievements against their individual performance objectives. In the case of Ms. Lynch, her award is based solely on the funded amount of target MIP determined by Company performance because, unlike other NEOs, she is responsible for all aspects of Company performance. This structure reflects our objective to incentivize individual performance, while at the same time requiring that overall Company performance standards are met before MIP funding can occur. Mr. Katz was not eligible to participate in the MIP and Mr. Shapiro was ineligible for a MIP award for fiscal 2024 due to his departure from the Company.</w:t>
      </w:r>
    </w:p>
    <w:p>
      <w:pPr>
        <w:spacing w:after="0" w:line="1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29292B"/>
        </w:rPr>
        <w:t>Achievement of individual performance objectives can result in the NEO receiving a MIP award equal to 0%, 50%, 100%, 120%, or 130% of the funded amount (i.e., the amount achieved based on Company performance) (subject to availability of funds under the MIP) and subject to further adjustments at the discretion of the Compensation Committee. Individual performance objectives vary depending upon our strategic plan and each NEO’s individual responsibilities are established at the beginning of each fiscal year, with the expectation in fiscal 2024 that the target level of performance of these objectives would require significant effort and substantial progress toward the goals of our strategic plan in light of the current business environment. As a result, the Committee believed that there was a moderate likelihood that the NEO’s would satisfy his or her respective performance objectives in fiscal 2024. The maximum payout opportunity for individual plan participants other than the CEO is 260% of target (assumes maximum Resort Reported EBITDA funding of 200% and maximum individual performance funding at 130%).</w:t>
      </w:r>
    </w:p>
    <w:p>
      <w:pPr>
        <w:spacing w:after="0" w:line="92"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29292B"/>
        </w:rPr>
        <w:t xml:space="preserve">Example. </w:t>
      </w:r>
      <w:r>
        <w:rPr>
          <w:rFonts w:ascii="Arial" w:cs="Arial" w:eastAsia="Arial" w:hAnsi="Arial"/>
          <w:sz w:val="16"/>
          <w:szCs w:val="16"/>
          <w:color w:val="29292B"/>
        </w:rPr>
        <w:t>An executive whose MIP award funding is 100% based on Resort Reported EBITDA, earning $300,000 annually with a target MIP award of 50% of</w:t>
      </w:r>
      <w:r>
        <w:rPr>
          <w:rFonts w:ascii="Arial" w:cs="Arial" w:eastAsia="Arial" w:hAnsi="Arial"/>
          <w:sz w:val="16"/>
          <w:szCs w:val="16"/>
          <w:i w:val="1"/>
          <w:iCs w:val="1"/>
          <w:color w:val="29292B"/>
        </w:rPr>
        <w:t xml:space="preserve"> </w:t>
      </w:r>
      <w:r>
        <w:rPr>
          <w:rFonts w:ascii="Arial" w:cs="Arial" w:eastAsia="Arial" w:hAnsi="Arial"/>
          <w:sz w:val="16"/>
          <w:szCs w:val="16"/>
          <w:color w:val="29292B"/>
        </w:rPr>
        <w:t>base salary, would have an available MIP award funding of $150,000 (“Target Funding Amount”) for 100% achievement of Resort Reported EBITDA (100% times 50% salary target times 100% funding based on Resort Reported EBITDA achievement). If Company performance resulted in Resort Reported EBITDA of achievement of 90%, the MIP award funding would be equal to 25% of the Target Funding Amount (as set forth in the table above), or $37,000 (“Actual Funding Amount”). However, because the executive’s total MIP award is also subject to the achievement of individual performance objectives, an executive’s ultimate total MIP award is equal to an individual performance multiplier of 0%, 50%, 100%, 120%, or 130% of the Actual Funding Amount based on individual performance (subject to availability of funds under the MIP). Accordingly, if the executive achieved 120% of individual performance, the ultimate MIP award payout would be $45,000 (Actual Funding Amount of $37,500 multiplied by 120% for individual performance).</w:t>
      </w:r>
    </w:p>
    <w:p>
      <w:pPr>
        <w:spacing w:after="0" w:line="10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29292B"/>
        </w:rPr>
        <w:t xml:space="preserve">Fiscal 2024 Results. </w:t>
      </w:r>
      <w:r>
        <w:rPr>
          <w:rFonts w:ascii="Arial" w:cs="Arial" w:eastAsia="Arial" w:hAnsi="Arial"/>
          <w:sz w:val="16"/>
          <w:szCs w:val="16"/>
          <w:color w:val="29292B"/>
        </w:rPr>
        <w:t>In fiscal 2024, we met 88.74% of the Resort Reported EBITDA target, which resulted in a funding level at 23.74% of the target funding</w:t>
      </w:r>
      <w:r>
        <w:rPr>
          <w:rFonts w:ascii="Arial" w:cs="Arial" w:eastAsia="Arial" w:hAnsi="Arial"/>
          <w:sz w:val="16"/>
          <w:szCs w:val="16"/>
          <w:i w:val="1"/>
          <w:iCs w:val="1"/>
          <w:color w:val="29292B"/>
        </w:rPr>
        <w:t xml:space="preserve"> </w:t>
      </w:r>
      <w:r>
        <w:rPr>
          <w:rFonts w:ascii="Arial" w:cs="Arial" w:eastAsia="Arial" w:hAnsi="Arial"/>
          <w:sz w:val="16"/>
          <w:szCs w:val="16"/>
          <w:color w:val="29292B"/>
        </w:rPr>
        <w:t>level for that component of the funding calculation. Based upon these results and individual performance, and noting that individual performance achievement was 100% for each NEO's respective Actual Funding Amount, the Compensation Committee determined the final MIP award amounts as follows (which is equal to 23.74% of target for each eligible individual):</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54</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59" w:name="page60"/>
    <w:bookmarkEnd w:id="59"/>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60" w:type="dxa"/>
            <w:vAlign w:val="bottom"/>
            <w:shd w:val="clear" w:color="auto" w:fill="98BDE2"/>
          </w:tcPr>
          <w:p>
            <w:pPr>
              <w:spacing w:after="0"/>
              <w:rPr>
                <w:sz w:val="16"/>
                <w:szCs w:val="16"/>
                <w:color w:val="auto"/>
              </w:rPr>
            </w:pPr>
          </w:p>
        </w:tc>
        <w:tc>
          <w:tcPr>
            <w:tcW w:w="1560" w:type="dxa"/>
            <w:vAlign w:val="bottom"/>
            <w:shd w:val="clear" w:color="auto" w:fill="98BDE2"/>
          </w:tcPr>
          <w:p>
            <w:pPr>
              <w:spacing w:after="0"/>
              <w:rPr>
                <w:sz w:val="16"/>
                <w:szCs w:val="16"/>
                <w:color w:val="auto"/>
              </w:rPr>
            </w:pPr>
          </w:p>
        </w:tc>
        <w:tc>
          <w:tcPr>
            <w:tcW w:w="14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2024 Target Annual</w:t>
            </w:r>
          </w:p>
        </w:tc>
        <w:tc>
          <w:tcPr>
            <w:tcW w:w="1460" w:type="dxa"/>
            <w:vAlign w:val="bottom"/>
            <w:shd w:val="clear" w:color="auto" w:fill="98BDE2"/>
          </w:tcPr>
          <w:p>
            <w:pPr>
              <w:spacing w:after="0"/>
              <w:rPr>
                <w:sz w:val="16"/>
                <w:szCs w:val="16"/>
                <w:color w:val="auto"/>
              </w:rPr>
            </w:pPr>
          </w:p>
        </w:tc>
        <w:tc>
          <w:tcPr>
            <w:tcW w:w="1660" w:type="dxa"/>
            <w:vAlign w:val="bottom"/>
            <w:shd w:val="clear" w:color="auto" w:fill="98BDE2"/>
          </w:tcPr>
          <w:p>
            <w:pPr>
              <w:spacing w:after="0"/>
              <w:rPr>
                <w:sz w:val="16"/>
                <w:szCs w:val="16"/>
                <w:color w:val="auto"/>
              </w:rPr>
            </w:pPr>
          </w:p>
        </w:tc>
        <w:tc>
          <w:tcPr>
            <w:tcW w:w="1420" w:type="dxa"/>
            <w:vAlign w:val="bottom"/>
            <w:shd w:val="clear" w:color="auto" w:fill="98BDE2"/>
          </w:tcPr>
          <w:p>
            <w:pPr>
              <w:spacing w:after="0"/>
              <w:rPr>
                <w:sz w:val="16"/>
                <w:szCs w:val="16"/>
                <w:color w:val="auto"/>
              </w:rPr>
            </w:pPr>
          </w:p>
        </w:tc>
        <w:tc>
          <w:tcPr>
            <w:tcW w:w="1300" w:type="dxa"/>
            <w:vAlign w:val="bottom"/>
            <w:shd w:val="clear" w:color="auto" w:fill="98BDE2"/>
          </w:tcPr>
          <w:p>
            <w:pPr>
              <w:spacing w:after="0"/>
              <w:rPr>
                <w:sz w:val="16"/>
                <w:szCs w:val="16"/>
                <w:color w:val="auto"/>
              </w:rPr>
            </w:pPr>
          </w:p>
        </w:tc>
        <w:tc>
          <w:tcPr>
            <w:tcW w:w="10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98BDE2"/>
          </w:tcPr>
          <w:p>
            <w:pPr>
              <w:spacing w:after="0"/>
              <w:rPr>
                <w:sz w:val="15"/>
                <w:szCs w:val="15"/>
                <w:color w:val="auto"/>
              </w:rPr>
            </w:pPr>
          </w:p>
        </w:tc>
        <w:tc>
          <w:tcPr>
            <w:tcW w:w="1560" w:type="dxa"/>
            <w:vAlign w:val="bottom"/>
            <w:shd w:val="clear" w:color="auto" w:fill="98BDE2"/>
          </w:tcPr>
          <w:p>
            <w:pPr>
              <w:spacing w:after="0"/>
              <w:rPr>
                <w:sz w:val="15"/>
                <w:szCs w:val="15"/>
                <w:color w:val="auto"/>
              </w:rPr>
            </w:pPr>
          </w:p>
        </w:tc>
        <w:tc>
          <w:tcPr>
            <w:tcW w:w="14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MIP Award as</w:t>
            </w:r>
          </w:p>
        </w:tc>
        <w:tc>
          <w:tcPr>
            <w:tcW w:w="1460" w:type="dxa"/>
            <w:vAlign w:val="bottom"/>
            <w:shd w:val="clear" w:color="auto" w:fill="98BDE2"/>
          </w:tcPr>
          <w:p>
            <w:pPr>
              <w:spacing w:after="0"/>
              <w:rPr>
                <w:sz w:val="15"/>
                <w:szCs w:val="15"/>
                <w:color w:val="auto"/>
              </w:rPr>
            </w:pPr>
          </w:p>
        </w:tc>
        <w:tc>
          <w:tcPr>
            <w:tcW w:w="1660" w:type="dxa"/>
            <w:vAlign w:val="bottom"/>
            <w:shd w:val="clear" w:color="auto" w:fill="98BDE2"/>
          </w:tcPr>
          <w:p>
            <w:pPr>
              <w:jc w:val="right"/>
              <w:ind w:right="168"/>
              <w:spacing w:after="0"/>
              <w:rPr>
                <w:sz w:val="20"/>
                <w:szCs w:val="20"/>
                <w:color w:val="auto"/>
              </w:rPr>
            </w:pPr>
            <w:r>
              <w:rPr>
                <w:rFonts w:ascii="Arial" w:cs="Arial" w:eastAsia="Arial" w:hAnsi="Arial"/>
                <w:sz w:val="14"/>
                <w:szCs w:val="14"/>
                <w:b w:val="1"/>
                <w:bCs w:val="1"/>
                <w:color w:val="032E5C"/>
              </w:rPr>
              <w:t>2024 Resort</w:t>
            </w:r>
          </w:p>
        </w:tc>
        <w:tc>
          <w:tcPr>
            <w:tcW w:w="1420" w:type="dxa"/>
            <w:vAlign w:val="bottom"/>
            <w:shd w:val="clear" w:color="auto" w:fill="98BDE2"/>
          </w:tcPr>
          <w:p>
            <w:pPr>
              <w:spacing w:after="0"/>
              <w:rPr>
                <w:sz w:val="15"/>
                <w:szCs w:val="15"/>
                <w:color w:val="auto"/>
              </w:rPr>
            </w:pPr>
          </w:p>
        </w:tc>
        <w:tc>
          <w:tcPr>
            <w:tcW w:w="130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98BDE2"/>
          </w:tcPr>
          <w:p>
            <w:pPr>
              <w:spacing w:after="0"/>
              <w:rPr>
                <w:sz w:val="15"/>
                <w:szCs w:val="15"/>
                <w:color w:val="auto"/>
              </w:rPr>
            </w:pPr>
          </w:p>
        </w:tc>
        <w:tc>
          <w:tcPr>
            <w:tcW w:w="1560" w:type="dxa"/>
            <w:vAlign w:val="bottom"/>
            <w:vMerge w:val="restart"/>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2024 Base Salary</w:t>
            </w:r>
          </w:p>
        </w:tc>
        <w:tc>
          <w:tcPr>
            <w:tcW w:w="14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Percentage of Base</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2024 Target Annual</w:t>
            </w:r>
          </w:p>
        </w:tc>
        <w:tc>
          <w:tcPr>
            <w:tcW w:w="1660" w:type="dxa"/>
            <w:vAlign w:val="bottom"/>
            <w:shd w:val="clear" w:color="auto" w:fill="98BDE2"/>
          </w:tcPr>
          <w:p>
            <w:pPr>
              <w:jc w:val="right"/>
              <w:ind w:right="168"/>
              <w:spacing w:after="0"/>
              <w:rPr>
                <w:sz w:val="20"/>
                <w:szCs w:val="20"/>
                <w:color w:val="auto"/>
              </w:rPr>
            </w:pPr>
            <w:r>
              <w:rPr>
                <w:rFonts w:ascii="Arial" w:cs="Arial" w:eastAsia="Arial" w:hAnsi="Arial"/>
                <w:sz w:val="14"/>
                <w:szCs w:val="14"/>
                <w:b w:val="1"/>
                <w:bCs w:val="1"/>
                <w:color w:val="032E5C"/>
              </w:rPr>
              <w:t>Reported EBITDA</w:t>
            </w:r>
          </w:p>
        </w:tc>
        <w:tc>
          <w:tcPr>
            <w:tcW w:w="1420" w:type="dxa"/>
            <w:vAlign w:val="bottom"/>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2024 Individual</w:t>
            </w:r>
          </w:p>
        </w:tc>
        <w:tc>
          <w:tcPr>
            <w:tcW w:w="1400" w:type="dxa"/>
            <w:vAlign w:val="bottom"/>
            <w:gridSpan w:val="2"/>
            <w:vMerge w:val="restart"/>
            <w:shd w:val="clear" w:color="auto" w:fill="98BDE2"/>
          </w:tcPr>
          <w:p>
            <w:pPr>
              <w:ind w:left="160"/>
              <w:spacing w:after="0"/>
              <w:rPr>
                <w:sz w:val="20"/>
                <w:szCs w:val="20"/>
                <w:color w:val="auto"/>
              </w:rPr>
            </w:pPr>
            <w:r>
              <w:rPr>
                <w:rFonts w:ascii="Arial" w:cs="Arial" w:eastAsia="Arial" w:hAnsi="Arial"/>
                <w:sz w:val="14"/>
                <w:szCs w:val="14"/>
                <w:b w:val="1"/>
                <w:bCs w:val="1"/>
                <w:color w:val="032E5C"/>
              </w:rPr>
              <w:t>2024 MIP Award</w:t>
            </w:r>
          </w:p>
        </w:tc>
        <w:tc>
          <w:tcPr>
            <w:tcW w:w="0" w:type="dxa"/>
            <w:vAlign w:val="bottom"/>
          </w:tcPr>
          <w:p>
            <w:pPr>
              <w:spacing w:after="0"/>
              <w:rPr>
                <w:sz w:val="1"/>
                <w:szCs w:val="1"/>
                <w:color w:val="auto"/>
              </w:rPr>
            </w:pPr>
          </w:p>
        </w:tc>
      </w:tr>
      <w:tr>
        <w:trPr>
          <w:trHeight w:val="162"/>
        </w:trPr>
        <w:tc>
          <w:tcPr>
            <w:tcW w:w="2260" w:type="dxa"/>
            <w:vAlign w:val="bottom"/>
            <w:shd w:val="clear" w:color="auto" w:fill="98BDE2"/>
          </w:tcPr>
          <w:p>
            <w:pPr>
              <w:spacing w:after="0"/>
              <w:rPr>
                <w:sz w:val="14"/>
                <w:szCs w:val="14"/>
                <w:color w:val="auto"/>
              </w:rPr>
            </w:pPr>
          </w:p>
        </w:tc>
        <w:tc>
          <w:tcPr>
            <w:tcW w:w="1560" w:type="dxa"/>
            <w:vAlign w:val="bottom"/>
            <w:vMerge w:val="continue"/>
            <w:shd w:val="clear" w:color="auto" w:fill="98BDE2"/>
          </w:tcPr>
          <w:p>
            <w:pPr>
              <w:spacing w:after="0"/>
              <w:rPr>
                <w:sz w:val="14"/>
                <w:szCs w:val="14"/>
                <w:color w:val="auto"/>
              </w:rPr>
            </w:pPr>
          </w:p>
        </w:tc>
        <w:tc>
          <w:tcPr>
            <w:tcW w:w="14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Salary</w:t>
            </w:r>
          </w:p>
        </w:tc>
        <w:tc>
          <w:tcPr>
            <w:tcW w:w="146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Award MIP Payout</w:t>
            </w:r>
          </w:p>
        </w:tc>
        <w:tc>
          <w:tcPr>
            <w:tcW w:w="3080" w:type="dxa"/>
            <w:vAlign w:val="bottom"/>
            <w:gridSpan w:val="2"/>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MIP Award Funding Performance Modifier</w:t>
            </w:r>
          </w:p>
        </w:tc>
        <w:tc>
          <w:tcPr>
            <w:tcW w:w="1400" w:type="dxa"/>
            <w:vAlign w:val="bottom"/>
            <w:gridSpan w:val="2"/>
            <w:vMerge w:val="continue"/>
            <w:shd w:val="clear" w:color="auto" w:fill="98BDE2"/>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6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156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48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146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 (a)</w:t>
            </w:r>
          </w:p>
        </w:tc>
        <w:tc>
          <w:tcPr>
            <w:tcW w:w="1660" w:type="dxa"/>
            <w:vAlign w:val="bottom"/>
            <w:tcBorders>
              <w:bottom w:val="single" w:sz="8" w:color="98BDE2"/>
            </w:tcBorders>
            <w:shd w:val="clear" w:color="auto" w:fill="98BDE2"/>
          </w:tcPr>
          <w:p>
            <w:pPr>
              <w:jc w:val="right"/>
              <w:ind w:right="168"/>
              <w:spacing w:after="0"/>
              <w:rPr>
                <w:sz w:val="20"/>
                <w:szCs w:val="20"/>
                <w:color w:val="auto"/>
              </w:rPr>
            </w:pPr>
            <w:r>
              <w:rPr>
                <w:rFonts w:ascii="Arial" w:cs="Arial" w:eastAsia="Arial" w:hAnsi="Arial"/>
                <w:sz w:val="14"/>
                <w:szCs w:val="14"/>
                <w:b w:val="1"/>
                <w:bCs w:val="1"/>
                <w:color w:val="032E5C"/>
              </w:rPr>
              <w:t>(%) (b)</w:t>
            </w:r>
          </w:p>
        </w:tc>
        <w:tc>
          <w:tcPr>
            <w:tcW w:w="1420" w:type="dxa"/>
            <w:vAlign w:val="bottom"/>
            <w:tcBorders>
              <w:bottom w:val="single" w:sz="8" w:color="98BDE2"/>
            </w:tcBorders>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 (c)</w:t>
            </w:r>
          </w:p>
        </w:tc>
        <w:tc>
          <w:tcPr>
            <w:tcW w:w="1400" w:type="dxa"/>
            <w:vAlign w:val="bottom"/>
            <w:tcBorders>
              <w:bottom w:val="single" w:sz="8" w:color="98BDE2"/>
            </w:tcBorders>
            <w:gridSpan w:val="2"/>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 (a * b * c)</w:t>
            </w:r>
          </w:p>
        </w:tc>
        <w:tc>
          <w:tcPr>
            <w:tcW w:w="0" w:type="dxa"/>
            <w:vAlign w:val="bottom"/>
          </w:tcPr>
          <w:p>
            <w:pPr>
              <w:spacing w:after="0"/>
              <w:rPr>
                <w:sz w:val="1"/>
                <w:szCs w:val="1"/>
                <w:color w:val="auto"/>
              </w:rPr>
            </w:pPr>
          </w:p>
        </w:tc>
      </w:tr>
      <w:tr>
        <w:trPr>
          <w:trHeight w:val="283"/>
        </w:trPr>
        <w:tc>
          <w:tcPr>
            <w:tcW w:w="226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Kirsten A. Lynch</w:t>
            </w:r>
          </w:p>
        </w:tc>
        <w:tc>
          <w:tcPr>
            <w:tcW w:w="1560" w:type="dxa"/>
            <w:vAlign w:val="bottom"/>
          </w:tcPr>
          <w:p>
            <w:pPr>
              <w:jc w:val="right"/>
              <w:ind w:right="48"/>
              <w:spacing w:after="0"/>
              <w:rPr>
                <w:sz w:val="20"/>
                <w:szCs w:val="20"/>
                <w:color w:val="auto"/>
              </w:rPr>
            </w:pPr>
            <w:r>
              <w:rPr>
                <w:rFonts w:ascii="Arial" w:cs="Arial" w:eastAsia="Arial" w:hAnsi="Arial"/>
                <w:sz w:val="14"/>
                <w:szCs w:val="14"/>
                <w:color w:val="032E5C"/>
              </w:rPr>
              <w:t>1,091,800</w:t>
            </w:r>
          </w:p>
        </w:tc>
        <w:tc>
          <w:tcPr>
            <w:tcW w:w="1480" w:type="dxa"/>
            <w:vAlign w:val="bottom"/>
          </w:tcPr>
          <w:p>
            <w:pPr>
              <w:jc w:val="right"/>
              <w:ind w:right="48"/>
              <w:spacing w:after="0"/>
              <w:rPr>
                <w:sz w:val="20"/>
                <w:szCs w:val="20"/>
                <w:color w:val="auto"/>
              </w:rPr>
            </w:pPr>
            <w:r>
              <w:rPr>
                <w:rFonts w:ascii="Arial" w:cs="Arial" w:eastAsia="Arial" w:hAnsi="Arial"/>
                <w:sz w:val="14"/>
                <w:szCs w:val="14"/>
                <w:color w:val="032E5C"/>
              </w:rPr>
              <w:t>100</w:t>
            </w:r>
          </w:p>
        </w:tc>
        <w:tc>
          <w:tcPr>
            <w:tcW w:w="1460" w:type="dxa"/>
            <w:vAlign w:val="bottom"/>
          </w:tcPr>
          <w:p>
            <w:pPr>
              <w:jc w:val="right"/>
              <w:ind w:right="28"/>
              <w:spacing w:after="0"/>
              <w:rPr>
                <w:sz w:val="20"/>
                <w:szCs w:val="20"/>
                <w:color w:val="auto"/>
              </w:rPr>
            </w:pPr>
            <w:r>
              <w:rPr>
                <w:rFonts w:ascii="Arial" w:cs="Arial" w:eastAsia="Arial" w:hAnsi="Arial"/>
                <w:sz w:val="14"/>
                <w:szCs w:val="14"/>
                <w:color w:val="032E5C"/>
              </w:rPr>
              <w:t>1,091,800</w:t>
            </w:r>
          </w:p>
        </w:tc>
        <w:tc>
          <w:tcPr>
            <w:tcW w:w="1660" w:type="dxa"/>
            <w:vAlign w:val="bottom"/>
          </w:tcPr>
          <w:p>
            <w:pPr>
              <w:jc w:val="right"/>
              <w:ind w:right="228"/>
              <w:spacing w:after="0"/>
              <w:rPr>
                <w:sz w:val="20"/>
                <w:szCs w:val="20"/>
                <w:color w:val="auto"/>
              </w:rPr>
            </w:pPr>
            <w:r>
              <w:rPr>
                <w:rFonts w:ascii="Arial" w:cs="Arial" w:eastAsia="Arial" w:hAnsi="Arial"/>
                <w:sz w:val="14"/>
                <w:szCs w:val="14"/>
                <w:color w:val="032E5C"/>
              </w:rPr>
              <w:t>23.74</w:t>
            </w:r>
          </w:p>
        </w:tc>
        <w:tc>
          <w:tcPr>
            <w:tcW w:w="1420" w:type="dxa"/>
            <w:vAlign w:val="bottom"/>
          </w:tcPr>
          <w:p>
            <w:pPr>
              <w:jc w:val="right"/>
              <w:ind w:right="68"/>
              <w:spacing w:after="0"/>
              <w:rPr>
                <w:sz w:val="20"/>
                <w:szCs w:val="20"/>
                <w:color w:val="auto"/>
              </w:rPr>
            </w:pPr>
            <w:r>
              <w:rPr>
                <w:rFonts w:ascii="Arial" w:cs="Arial" w:eastAsia="Arial" w:hAnsi="Arial"/>
                <w:sz w:val="14"/>
                <w:szCs w:val="14"/>
                <w:color w:val="032E5C"/>
              </w:rPr>
              <w:t>n/a</w:t>
            </w:r>
            <w:r>
              <w:rPr>
                <w:rFonts w:ascii="Arial" w:cs="Arial" w:eastAsia="Arial" w:hAnsi="Arial"/>
                <w:sz w:val="9"/>
                <w:szCs w:val="9"/>
                <w:color w:val="032E5C"/>
              </w:rPr>
              <w:t>(1)</w:t>
            </w:r>
          </w:p>
        </w:tc>
        <w:tc>
          <w:tcPr>
            <w:tcW w:w="1300" w:type="dxa"/>
            <w:vAlign w:val="bottom"/>
          </w:tcPr>
          <w:p>
            <w:pPr>
              <w:jc w:val="right"/>
              <w:spacing w:after="0"/>
              <w:rPr>
                <w:sz w:val="20"/>
                <w:szCs w:val="20"/>
                <w:color w:val="auto"/>
              </w:rPr>
            </w:pPr>
            <w:r>
              <w:rPr>
                <w:rFonts w:ascii="Arial" w:cs="Arial" w:eastAsia="Arial" w:hAnsi="Arial"/>
                <w:sz w:val="14"/>
                <w:szCs w:val="14"/>
                <w:color w:val="032E5C"/>
              </w:rPr>
              <w:t>259,193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60" w:type="dxa"/>
            <w:vAlign w:val="bottom"/>
            <w:tcBorders>
              <w:top w:val="single" w:sz="8" w:color="98BDE2"/>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r>
              <w:rPr>
                <w:rFonts w:ascii="Arial" w:cs="Arial" w:eastAsia="Arial" w:hAnsi="Arial"/>
                <w:sz w:val="9"/>
                <w:szCs w:val="9"/>
                <w:b w:val="1"/>
                <w:bCs w:val="1"/>
                <w:color w:val="032E5C"/>
              </w:rPr>
              <w:t>(2)</w:t>
            </w:r>
          </w:p>
        </w:tc>
        <w:tc>
          <w:tcPr>
            <w:tcW w:w="1560" w:type="dxa"/>
            <w:vAlign w:val="bottom"/>
            <w:tcBorders>
              <w:top w:val="single" w:sz="8" w:color="98BDE2"/>
              <w:bottom w:val="single" w:sz="8" w:color="98BDE2"/>
            </w:tcBorders>
          </w:tcPr>
          <w:p>
            <w:pPr>
              <w:jc w:val="right"/>
              <w:ind w:right="48"/>
              <w:spacing w:after="0"/>
              <w:rPr>
                <w:sz w:val="20"/>
                <w:szCs w:val="20"/>
                <w:color w:val="auto"/>
              </w:rPr>
            </w:pPr>
            <w:r>
              <w:rPr>
                <w:rFonts w:ascii="Arial" w:cs="Arial" w:eastAsia="Arial" w:hAnsi="Arial"/>
                <w:sz w:val="14"/>
                <w:szCs w:val="14"/>
                <w:color w:val="032E5C"/>
              </w:rPr>
              <w:t>1,091,800</w:t>
            </w:r>
          </w:p>
        </w:tc>
        <w:tc>
          <w:tcPr>
            <w:tcW w:w="1480" w:type="dxa"/>
            <w:vAlign w:val="bottom"/>
            <w:tcBorders>
              <w:top w:val="single" w:sz="8" w:color="98BDE2"/>
              <w:bottom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c>
          <w:tcPr>
            <w:tcW w:w="1460" w:type="dxa"/>
            <w:vAlign w:val="bottom"/>
            <w:tcBorders>
              <w:top w:val="single" w:sz="8" w:color="98BDE2"/>
              <w:bottom w:val="single" w:sz="8" w:color="98BDE2"/>
            </w:tcBorders>
          </w:tcPr>
          <w:p>
            <w:pPr>
              <w:jc w:val="right"/>
              <w:ind w:right="28"/>
              <w:spacing w:after="0"/>
              <w:rPr>
                <w:sz w:val="20"/>
                <w:szCs w:val="20"/>
                <w:color w:val="auto"/>
              </w:rPr>
            </w:pPr>
            <w:r>
              <w:rPr>
                <w:rFonts w:ascii="Arial" w:cs="Arial" w:eastAsia="Arial" w:hAnsi="Arial"/>
                <w:sz w:val="14"/>
                <w:szCs w:val="14"/>
                <w:color w:val="032E5C"/>
              </w:rPr>
              <w:t>—</w:t>
            </w:r>
          </w:p>
        </w:tc>
        <w:tc>
          <w:tcPr>
            <w:tcW w:w="1660" w:type="dxa"/>
            <w:vAlign w:val="bottom"/>
            <w:tcBorders>
              <w:top w:val="single" w:sz="8" w:color="98BDE2"/>
              <w:bottom w:val="single" w:sz="8" w:color="98BDE2"/>
            </w:tcBorders>
          </w:tcPr>
          <w:p>
            <w:pPr>
              <w:jc w:val="right"/>
              <w:ind w:right="228"/>
              <w:spacing w:after="0"/>
              <w:rPr>
                <w:sz w:val="20"/>
                <w:szCs w:val="20"/>
                <w:color w:val="auto"/>
              </w:rPr>
            </w:pPr>
            <w:r>
              <w:rPr>
                <w:rFonts w:ascii="Arial" w:cs="Arial" w:eastAsia="Arial" w:hAnsi="Arial"/>
                <w:sz w:val="14"/>
                <w:szCs w:val="14"/>
                <w:color w:val="032E5C"/>
              </w:rPr>
              <w:t>—</w:t>
            </w:r>
          </w:p>
        </w:tc>
        <w:tc>
          <w:tcPr>
            <w:tcW w:w="1420" w:type="dxa"/>
            <w:vAlign w:val="bottom"/>
            <w:tcBorders>
              <w:top w:val="single" w:sz="8" w:color="98BDE2"/>
              <w:bottom w:val="single" w:sz="8" w:color="98BDE2"/>
            </w:tcBorders>
          </w:tcPr>
          <w:p>
            <w:pPr>
              <w:jc w:val="right"/>
              <w:ind w:right="68"/>
              <w:spacing w:after="0"/>
              <w:rPr>
                <w:sz w:val="20"/>
                <w:szCs w:val="20"/>
                <w:color w:val="auto"/>
              </w:rPr>
            </w:pPr>
            <w:r>
              <w:rPr>
                <w:rFonts w:ascii="Arial" w:cs="Arial" w:eastAsia="Arial" w:hAnsi="Arial"/>
                <w:sz w:val="14"/>
                <w:szCs w:val="14"/>
                <w:color w:val="032E5C"/>
              </w:rPr>
              <w:t>—</w:t>
            </w:r>
          </w:p>
        </w:tc>
        <w:tc>
          <w:tcPr>
            <w:tcW w:w="1300" w:type="dxa"/>
            <w:vAlign w:val="bottom"/>
            <w:tcBorders>
              <w:top w:val="single" w:sz="8" w:color="98BDE2"/>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156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590,000</w:t>
            </w:r>
          </w:p>
        </w:tc>
        <w:tc>
          <w:tcPr>
            <w:tcW w:w="148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75</w:t>
            </w:r>
          </w:p>
        </w:tc>
        <w:tc>
          <w:tcPr>
            <w:tcW w:w="1460" w:type="dxa"/>
            <w:vAlign w:val="bottom"/>
            <w:tcBorders>
              <w:bottom w:val="single" w:sz="8" w:color="98BDE2"/>
            </w:tcBorders>
          </w:tcPr>
          <w:p>
            <w:pPr>
              <w:jc w:val="right"/>
              <w:ind w:right="28"/>
              <w:spacing w:after="0"/>
              <w:rPr>
                <w:sz w:val="20"/>
                <w:szCs w:val="20"/>
                <w:color w:val="auto"/>
              </w:rPr>
            </w:pPr>
            <w:r>
              <w:rPr>
                <w:rFonts w:ascii="Arial" w:cs="Arial" w:eastAsia="Arial" w:hAnsi="Arial"/>
                <w:sz w:val="14"/>
                <w:szCs w:val="14"/>
                <w:color w:val="032E5C"/>
              </w:rPr>
              <w:t>442,500</w:t>
            </w:r>
          </w:p>
        </w:tc>
        <w:tc>
          <w:tcPr>
            <w:tcW w:w="1660" w:type="dxa"/>
            <w:vAlign w:val="bottom"/>
            <w:tcBorders>
              <w:bottom w:val="single" w:sz="8" w:color="98BDE2"/>
            </w:tcBorders>
          </w:tcPr>
          <w:p>
            <w:pPr>
              <w:jc w:val="right"/>
              <w:ind w:right="228"/>
              <w:spacing w:after="0"/>
              <w:rPr>
                <w:sz w:val="20"/>
                <w:szCs w:val="20"/>
                <w:color w:val="auto"/>
              </w:rPr>
            </w:pPr>
            <w:r>
              <w:rPr>
                <w:rFonts w:ascii="Arial" w:cs="Arial" w:eastAsia="Arial" w:hAnsi="Arial"/>
                <w:sz w:val="14"/>
                <w:szCs w:val="14"/>
                <w:color w:val="032E5C"/>
              </w:rPr>
              <w:t>23.74</w:t>
            </w:r>
          </w:p>
        </w:tc>
        <w:tc>
          <w:tcPr>
            <w:tcW w:w="1420" w:type="dxa"/>
            <w:vAlign w:val="bottom"/>
            <w:tcBorders>
              <w:bottom w:val="single" w:sz="8" w:color="98BDE2"/>
            </w:tcBorders>
          </w:tcPr>
          <w:p>
            <w:pPr>
              <w:jc w:val="right"/>
              <w:ind w:right="68"/>
              <w:spacing w:after="0"/>
              <w:rPr>
                <w:sz w:val="20"/>
                <w:szCs w:val="20"/>
                <w:color w:val="auto"/>
              </w:rPr>
            </w:pPr>
            <w:r>
              <w:rPr>
                <w:rFonts w:ascii="Arial" w:cs="Arial" w:eastAsia="Arial" w:hAnsi="Arial"/>
                <w:sz w:val="14"/>
                <w:szCs w:val="14"/>
                <w:color w:val="032E5C"/>
              </w:rPr>
              <w:t>100</w:t>
            </w:r>
          </w:p>
        </w:tc>
        <w:tc>
          <w:tcPr>
            <w:tcW w:w="13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105,050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C. Rock</w:t>
            </w:r>
          </w:p>
        </w:tc>
        <w:tc>
          <w:tcPr>
            <w:tcW w:w="156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515,000</w:t>
            </w:r>
          </w:p>
        </w:tc>
        <w:tc>
          <w:tcPr>
            <w:tcW w:w="148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75</w:t>
            </w:r>
          </w:p>
        </w:tc>
        <w:tc>
          <w:tcPr>
            <w:tcW w:w="1460" w:type="dxa"/>
            <w:vAlign w:val="bottom"/>
            <w:tcBorders>
              <w:bottom w:val="single" w:sz="8" w:color="98BDE2"/>
            </w:tcBorders>
          </w:tcPr>
          <w:p>
            <w:pPr>
              <w:jc w:val="right"/>
              <w:ind w:right="28"/>
              <w:spacing w:after="0"/>
              <w:rPr>
                <w:sz w:val="20"/>
                <w:szCs w:val="20"/>
                <w:color w:val="auto"/>
              </w:rPr>
            </w:pPr>
            <w:r>
              <w:rPr>
                <w:rFonts w:ascii="Arial" w:cs="Arial" w:eastAsia="Arial" w:hAnsi="Arial"/>
                <w:sz w:val="14"/>
                <w:szCs w:val="14"/>
                <w:color w:val="032E5C"/>
              </w:rPr>
              <w:t>386,250</w:t>
            </w:r>
          </w:p>
        </w:tc>
        <w:tc>
          <w:tcPr>
            <w:tcW w:w="1660" w:type="dxa"/>
            <w:vAlign w:val="bottom"/>
            <w:tcBorders>
              <w:bottom w:val="single" w:sz="8" w:color="98BDE2"/>
            </w:tcBorders>
          </w:tcPr>
          <w:p>
            <w:pPr>
              <w:jc w:val="right"/>
              <w:ind w:right="228"/>
              <w:spacing w:after="0"/>
              <w:rPr>
                <w:sz w:val="20"/>
                <w:szCs w:val="20"/>
                <w:color w:val="auto"/>
              </w:rPr>
            </w:pPr>
            <w:r>
              <w:rPr>
                <w:rFonts w:ascii="Arial" w:cs="Arial" w:eastAsia="Arial" w:hAnsi="Arial"/>
                <w:sz w:val="14"/>
                <w:szCs w:val="14"/>
                <w:color w:val="032E5C"/>
              </w:rPr>
              <w:t>23.74</w:t>
            </w:r>
          </w:p>
        </w:tc>
        <w:tc>
          <w:tcPr>
            <w:tcW w:w="1420" w:type="dxa"/>
            <w:vAlign w:val="bottom"/>
            <w:tcBorders>
              <w:bottom w:val="single" w:sz="8" w:color="98BDE2"/>
            </w:tcBorders>
          </w:tcPr>
          <w:p>
            <w:pPr>
              <w:jc w:val="right"/>
              <w:ind w:right="68"/>
              <w:spacing w:after="0"/>
              <w:rPr>
                <w:sz w:val="20"/>
                <w:szCs w:val="20"/>
                <w:color w:val="auto"/>
              </w:rPr>
            </w:pPr>
            <w:r>
              <w:rPr>
                <w:rFonts w:ascii="Arial" w:cs="Arial" w:eastAsia="Arial" w:hAnsi="Arial"/>
                <w:sz w:val="14"/>
                <w:szCs w:val="14"/>
                <w:color w:val="032E5C"/>
              </w:rPr>
              <w:t>100</w:t>
            </w:r>
          </w:p>
        </w:tc>
        <w:tc>
          <w:tcPr>
            <w:tcW w:w="13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91,696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David T. Shapiro</w:t>
            </w:r>
            <w:r>
              <w:rPr>
                <w:rFonts w:ascii="Arial" w:cs="Arial" w:eastAsia="Arial" w:hAnsi="Arial"/>
                <w:sz w:val="9"/>
                <w:szCs w:val="9"/>
                <w:b w:val="1"/>
                <w:bCs w:val="1"/>
                <w:color w:val="032E5C"/>
              </w:rPr>
              <w:t>(3)</w:t>
            </w:r>
          </w:p>
        </w:tc>
        <w:tc>
          <w:tcPr>
            <w:tcW w:w="1560" w:type="dxa"/>
            <w:vAlign w:val="bottom"/>
          </w:tcPr>
          <w:p>
            <w:pPr>
              <w:jc w:val="right"/>
              <w:ind w:right="48"/>
              <w:spacing w:after="0"/>
              <w:rPr>
                <w:sz w:val="20"/>
                <w:szCs w:val="20"/>
                <w:color w:val="auto"/>
              </w:rPr>
            </w:pPr>
            <w:r>
              <w:rPr>
                <w:rFonts w:ascii="Arial" w:cs="Arial" w:eastAsia="Arial" w:hAnsi="Arial"/>
                <w:sz w:val="14"/>
                <w:szCs w:val="14"/>
                <w:color w:val="032E5C"/>
              </w:rPr>
              <w:t>627,785</w:t>
            </w:r>
          </w:p>
        </w:tc>
        <w:tc>
          <w:tcPr>
            <w:tcW w:w="14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6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37"/>
        </w:trPr>
        <w:tc>
          <w:tcPr>
            <w:tcW w:w="2260" w:type="dxa"/>
            <w:vAlign w:val="bottom"/>
            <w:tcBorders>
              <w:top w:val="single" w:sz="8" w:color="98BDE2"/>
              <w:bottom w:val="single" w:sz="8" w:color="3E5C7C"/>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Gregory J. Sullivan</w:t>
            </w:r>
          </w:p>
        </w:tc>
        <w:tc>
          <w:tcPr>
            <w:tcW w:w="1560" w:type="dxa"/>
            <w:vAlign w:val="bottom"/>
            <w:tcBorders>
              <w:top w:val="single" w:sz="8" w:color="98BDE2"/>
              <w:bottom w:val="single" w:sz="8" w:color="3E5C7C"/>
            </w:tcBorders>
          </w:tcPr>
          <w:p>
            <w:pPr>
              <w:jc w:val="right"/>
              <w:ind w:right="48"/>
              <w:spacing w:after="0"/>
              <w:rPr>
                <w:sz w:val="20"/>
                <w:szCs w:val="20"/>
                <w:color w:val="auto"/>
              </w:rPr>
            </w:pPr>
            <w:r>
              <w:rPr>
                <w:rFonts w:ascii="Arial" w:cs="Arial" w:eastAsia="Arial" w:hAnsi="Arial"/>
                <w:sz w:val="14"/>
                <w:szCs w:val="14"/>
                <w:color w:val="032E5C"/>
              </w:rPr>
              <w:t>440,705</w:t>
            </w:r>
          </w:p>
        </w:tc>
        <w:tc>
          <w:tcPr>
            <w:tcW w:w="1480" w:type="dxa"/>
            <w:vAlign w:val="bottom"/>
            <w:tcBorders>
              <w:top w:val="single" w:sz="8" w:color="98BDE2"/>
              <w:bottom w:val="single" w:sz="8" w:color="3E5C7C"/>
            </w:tcBorders>
          </w:tcPr>
          <w:p>
            <w:pPr>
              <w:jc w:val="right"/>
              <w:ind w:right="48"/>
              <w:spacing w:after="0"/>
              <w:rPr>
                <w:sz w:val="20"/>
                <w:szCs w:val="20"/>
                <w:color w:val="auto"/>
              </w:rPr>
            </w:pPr>
            <w:r>
              <w:rPr>
                <w:rFonts w:ascii="Arial" w:cs="Arial" w:eastAsia="Arial" w:hAnsi="Arial"/>
                <w:sz w:val="14"/>
                <w:szCs w:val="14"/>
                <w:color w:val="032E5C"/>
              </w:rPr>
              <w:t>50</w:t>
            </w:r>
          </w:p>
        </w:tc>
        <w:tc>
          <w:tcPr>
            <w:tcW w:w="1460" w:type="dxa"/>
            <w:vAlign w:val="bottom"/>
            <w:tcBorders>
              <w:top w:val="single" w:sz="8" w:color="98BDE2"/>
              <w:bottom w:val="single" w:sz="8" w:color="3E5C7C"/>
            </w:tcBorders>
          </w:tcPr>
          <w:p>
            <w:pPr>
              <w:jc w:val="right"/>
              <w:ind w:right="28"/>
              <w:spacing w:after="0"/>
              <w:rPr>
                <w:sz w:val="20"/>
                <w:szCs w:val="20"/>
                <w:color w:val="auto"/>
              </w:rPr>
            </w:pPr>
            <w:r>
              <w:rPr>
                <w:rFonts w:ascii="Arial" w:cs="Arial" w:eastAsia="Arial" w:hAnsi="Arial"/>
                <w:sz w:val="14"/>
                <w:szCs w:val="14"/>
                <w:color w:val="032E5C"/>
              </w:rPr>
              <w:t>220,353</w:t>
            </w:r>
          </w:p>
        </w:tc>
        <w:tc>
          <w:tcPr>
            <w:tcW w:w="1660" w:type="dxa"/>
            <w:vAlign w:val="bottom"/>
            <w:tcBorders>
              <w:top w:val="single" w:sz="8" w:color="98BDE2"/>
              <w:bottom w:val="single" w:sz="8" w:color="3E5C7C"/>
            </w:tcBorders>
          </w:tcPr>
          <w:p>
            <w:pPr>
              <w:jc w:val="right"/>
              <w:ind w:right="228"/>
              <w:spacing w:after="0"/>
              <w:rPr>
                <w:sz w:val="20"/>
                <w:szCs w:val="20"/>
                <w:color w:val="auto"/>
              </w:rPr>
            </w:pPr>
            <w:r>
              <w:rPr>
                <w:rFonts w:ascii="Arial" w:cs="Arial" w:eastAsia="Arial" w:hAnsi="Arial"/>
                <w:sz w:val="14"/>
                <w:szCs w:val="14"/>
                <w:color w:val="032E5C"/>
              </w:rPr>
              <w:t>23.74</w:t>
            </w:r>
          </w:p>
        </w:tc>
        <w:tc>
          <w:tcPr>
            <w:tcW w:w="1420" w:type="dxa"/>
            <w:vAlign w:val="bottom"/>
            <w:tcBorders>
              <w:top w:val="single" w:sz="8" w:color="98BDE2"/>
              <w:bottom w:val="single" w:sz="8" w:color="3E5C7C"/>
            </w:tcBorders>
          </w:tcPr>
          <w:p>
            <w:pPr>
              <w:jc w:val="right"/>
              <w:ind w:right="68"/>
              <w:spacing w:after="0"/>
              <w:rPr>
                <w:sz w:val="20"/>
                <w:szCs w:val="20"/>
                <w:color w:val="auto"/>
              </w:rPr>
            </w:pPr>
            <w:r>
              <w:rPr>
                <w:rFonts w:ascii="Arial" w:cs="Arial" w:eastAsia="Arial" w:hAnsi="Arial"/>
                <w:sz w:val="14"/>
                <w:szCs w:val="14"/>
                <w:color w:val="032E5C"/>
              </w:rPr>
              <w:t>100</w:t>
            </w:r>
          </w:p>
        </w:tc>
        <w:tc>
          <w:tcPr>
            <w:tcW w:w="1300" w:type="dxa"/>
            <w:vAlign w:val="bottom"/>
            <w:tcBorders>
              <w:top w:val="single" w:sz="8" w:color="98BDE2"/>
              <w:bottom w:val="single" w:sz="8" w:color="3E5C7C"/>
            </w:tcBorders>
          </w:tcPr>
          <w:p>
            <w:pPr>
              <w:jc w:val="right"/>
              <w:spacing w:after="0"/>
              <w:rPr>
                <w:sz w:val="20"/>
                <w:szCs w:val="20"/>
                <w:color w:val="auto"/>
              </w:rPr>
            </w:pPr>
            <w:r>
              <w:rPr>
                <w:rFonts w:ascii="Arial" w:cs="Arial" w:eastAsia="Arial" w:hAnsi="Arial"/>
                <w:sz w:val="14"/>
                <w:szCs w:val="14"/>
                <w:color w:val="032E5C"/>
              </w:rPr>
              <w:t>52,312</w:t>
            </w:r>
          </w:p>
        </w:tc>
        <w:tc>
          <w:tcPr>
            <w:tcW w:w="100" w:type="dxa"/>
            <w:vAlign w:val="bottom"/>
            <w:tcBorders>
              <w:bottom w:val="single" w:sz="8" w:color="3E5C7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29292B"/>
        </w:rPr>
      </w:pPr>
      <w:r>
        <w:rPr>
          <w:rFonts w:ascii="Arial" w:cs="Arial" w:eastAsia="Arial" w:hAnsi="Arial"/>
          <w:sz w:val="14"/>
          <w:szCs w:val="14"/>
          <w:color w:val="29292B"/>
        </w:rPr>
        <w:t>Ms. Lynch’s award does not include an individual performance component because, unlike other NEOs, she is responsible for all aspects of Company performance.</w:t>
      </w:r>
    </w:p>
    <w:p>
      <w:pPr>
        <w:spacing w:after="0" w:line="109" w:lineRule="exact"/>
        <w:rPr>
          <w:rFonts w:ascii="Arial" w:cs="Arial" w:eastAsia="Arial" w:hAnsi="Arial"/>
          <w:sz w:val="14"/>
          <w:szCs w:val="14"/>
          <w:color w:val="29292B"/>
        </w:rPr>
      </w:pPr>
    </w:p>
    <w:p>
      <w:pPr>
        <w:ind w:left="340" w:hanging="332"/>
        <w:spacing w:after="0"/>
        <w:tabs>
          <w:tab w:leader="none" w:pos="340" w:val="left"/>
        </w:tabs>
        <w:numPr>
          <w:ilvl w:val="0"/>
          <w:numId w:val="48"/>
        </w:numPr>
        <w:rPr>
          <w:rFonts w:ascii="Arial" w:cs="Arial" w:eastAsia="Arial" w:hAnsi="Arial"/>
          <w:sz w:val="14"/>
          <w:szCs w:val="14"/>
          <w:color w:val="29292B"/>
        </w:rPr>
      </w:pPr>
      <w:r>
        <w:rPr>
          <w:rFonts w:ascii="Arial" w:cs="Arial" w:eastAsia="Arial" w:hAnsi="Arial"/>
          <w:sz w:val="14"/>
          <w:szCs w:val="14"/>
          <w:color w:val="29292B"/>
        </w:rPr>
        <w:t>As Executive Chairperson, Mr. Katz is not eligible for an MIP award.</w:t>
      </w:r>
    </w:p>
    <w:p>
      <w:pPr>
        <w:spacing w:after="0" w:line="95" w:lineRule="exact"/>
        <w:rPr>
          <w:rFonts w:ascii="Arial" w:cs="Arial" w:eastAsia="Arial" w:hAnsi="Arial"/>
          <w:sz w:val="14"/>
          <w:szCs w:val="14"/>
          <w:color w:val="29292B"/>
        </w:rPr>
      </w:pPr>
    </w:p>
    <w:p>
      <w:pPr>
        <w:ind w:left="340" w:hanging="332"/>
        <w:spacing w:after="0"/>
        <w:tabs>
          <w:tab w:leader="none" w:pos="340" w:val="left"/>
        </w:tabs>
        <w:numPr>
          <w:ilvl w:val="0"/>
          <w:numId w:val="48"/>
        </w:numPr>
        <w:rPr>
          <w:rFonts w:ascii="Arial" w:cs="Arial" w:eastAsia="Arial" w:hAnsi="Arial"/>
          <w:sz w:val="14"/>
          <w:szCs w:val="14"/>
          <w:color w:val="29292B"/>
        </w:rPr>
      </w:pPr>
      <w:r>
        <w:rPr>
          <w:rFonts w:ascii="Arial" w:cs="Arial" w:eastAsia="Arial" w:hAnsi="Arial"/>
          <w:sz w:val="14"/>
          <w:szCs w:val="14"/>
          <w:color w:val="29292B"/>
        </w:rPr>
        <w:t>Mr. Shapiro was not eligible for an MIP award for fiscal 2024 due to his departure from the Company on February 23, 2024.</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Long-Term Equity Incentives</w:t>
      </w:r>
    </w:p>
    <w:p>
      <w:pPr>
        <w:spacing w:after="0" w:line="132" w:lineRule="exact"/>
        <w:rPr>
          <w:sz w:val="20"/>
          <w:szCs w:val="20"/>
          <w:color w:val="auto"/>
        </w:rPr>
      </w:pPr>
    </w:p>
    <w:p>
      <w:pPr>
        <w:spacing w:after="0" w:line="299" w:lineRule="auto"/>
        <w:rPr>
          <w:sz w:val="20"/>
          <w:szCs w:val="20"/>
          <w:color w:val="auto"/>
        </w:rPr>
      </w:pPr>
      <w:r>
        <w:rPr>
          <w:rFonts w:ascii="Arial" w:cs="Arial" w:eastAsia="Arial" w:hAnsi="Arial"/>
          <w:sz w:val="16"/>
          <w:szCs w:val="16"/>
          <w:color w:val="29292B"/>
        </w:rPr>
        <w:t>Our long-term equity incentive award program is designed to promote long-term Company performance and align each executive’s interests with stockholder interest, to reward the achievement of long-term goals, and to promote stability and corporate loyalty among our executives. The Compensation Committee bases awards of long-term equity compensation on a number of factors, including competitive market practices as determined by our peer group analysis, the information provided by our independent compensation consultant, the amount of cash compensation that is currently paid to each NEO, each NEO’s level of responsibility, our retention objectives, and our pay-for-performance philosophy. In general, the Compensation Committee makes long-term equity award determinations for executive officers in September of each year and typically consults with our CEO in determining the size of grants to each NEO, other than herself, although the Compensation Committee makes all final determinations. The non-management directors’ practice is to meet in executive session following the Board meeting in September of each year to review and ratify the Compensation Committee’s annual review of the CEO. In fiscal 2024, the Compensation Committee granted long-term equity incentive awards under the stockholder-approved 2015 Plan.</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For fiscal 2024, the Compensation Committee awarded each NEO an equity value based on individual achievements and performance. The Compensation Committee granted Ms. Lynch her long-term equity for fiscal 2024 as approximately 50% RSU value and approximately 50% Premium SAR value. To further promote retention, the RSUs and SARs granted in fiscal 2024 vest in equal annual installments over a three-year period commencing on the first anniversary date of the grant. As the awards are inherently tied to the value of our common stock, we consider a vesting schedule based upon continued service appropriate to meet the desire for both retention and variable, at-risk pay.</w:t>
      </w:r>
    </w:p>
    <w:p>
      <w:pPr>
        <w:spacing w:after="0" w:line="104"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29292B"/>
        </w:rPr>
        <w:t>The Compensation Committee has structured the mix of long-term and short-term equity awards and the relative weight assigned to each type to motivate performance against long-term targets, stock price appreciation over the long term and to encourage ownership and retention while aligning executive officers’ interests with those of our stockholders. The RSUs are complementary to the SARs because they have upside potential, but deliver some value even during periods of market or stock price underperformance, providing a retention incentive and reinforcing an ownership culture and commitment to the Company.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55</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29292B"/>
        </w:rPr>
        <w:t>The table below shows the number and grant date fair value of the equity awards granted to our NEOs in fiscal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shd w:val="clear" w:color="auto" w:fill="98BDE2"/>
          </w:tcPr>
          <w:p>
            <w:pPr>
              <w:spacing w:after="0"/>
              <w:rPr>
                <w:sz w:val="17"/>
                <w:szCs w:val="17"/>
                <w:color w:val="auto"/>
              </w:rPr>
            </w:pPr>
          </w:p>
        </w:tc>
        <w:tc>
          <w:tcPr>
            <w:tcW w:w="2540" w:type="dxa"/>
            <w:vAlign w:val="bottom"/>
            <w:shd w:val="clear" w:color="auto" w:fill="98BDE2"/>
          </w:tcPr>
          <w:p>
            <w:pPr>
              <w:jc w:val="right"/>
              <w:ind w:right="408"/>
              <w:spacing w:after="0"/>
              <w:rPr>
                <w:sz w:val="20"/>
                <w:szCs w:val="20"/>
                <w:color w:val="auto"/>
              </w:rPr>
            </w:pPr>
            <w:r>
              <w:rPr>
                <w:rFonts w:ascii="Arial" w:cs="Arial" w:eastAsia="Arial" w:hAnsi="Arial"/>
                <w:sz w:val="14"/>
                <w:szCs w:val="14"/>
                <w:b w:val="1"/>
                <w:bCs w:val="1"/>
                <w:color w:val="032E5C"/>
              </w:rPr>
              <w:t>RSU Value</w:t>
            </w:r>
          </w:p>
        </w:tc>
        <w:tc>
          <w:tcPr>
            <w:tcW w:w="2220" w:type="dxa"/>
            <w:vAlign w:val="bottom"/>
            <w:shd w:val="clear" w:color="auto" w:fill="98BDE2"/>
          </w:tcPr>
          <w:p>
            <w:pPr>
              <w:jc w:val="right"/>
              <w:ind w:right="568"/>
              <w:spacing w:after="0"/>
              <w:rPr>
                <w:sz w:val="20"/>
                <w:szCs w:val="20"/>
                <w:color w:val="auto"/>
              </w:rPr>
            </w:pPr>
            <w:r>
              <w:rPr>
                <w:rFonts w:ascii="Arial" w:cs="Arial" w:eastAsia="Arial" w:hAnsi="Arial"/>
                <w:sz w:val="14"/>
                <w:szCs w:val="14"/>
                <w:b w:val="1"/>
                <w:bCs w:val="1"/>
                <w:color w:val="032E5C"/>
              </w:rPr>
              <w:t>RSUs Granted</w:t>
            </w:r>
            <w:r>
              <w:rPr>
                <w:rFonts w:ascii="Arial" w:cs="Arial" w:eastAsia="Arial" w:hAnsi="Arial"/>
                <w:sz w:val="18"/>
                <w:szCs w:val="18"/>
                <w:b w:val="1"/>
                <w:bCs w:val="1"/>
                <w:color w:val="032E5C"/>
                <w:vertAlign w:val="superscript"/>
              </w:rPr>
              <w:t>(1)</w:t>
            </w:r>
          </w:p>
        </w:tc>
        <w:tc>
          <w:tcPr>
            <w:tcW w:w="1980" w:type="dxa"/>
            <w:vAlign w:val="bottom"/>
            <w:shd w:val="clear" w:color="auto" w:fill="98BDE2"/>
          </w:tcPr>
          <w:p>
            <w:pPr>
              <w:jc w:val="right"/>
              <w:ind w:right="528"/>
              <w:spacing w:after="0"/>
              <w:rPr>
                <w:sz w:val="20"/>
                <w:szCs w:val="20"/>
                <w:color w:val="auto"/>
              </w:rPr>
            </w:pPr>
            <w:r>
              <w:rPr>
                <w:rFonts w:ascii="Arial" w:cs="Arial" w:eastAsia="Arial" w:hAnsi="Arial"/>
                <w:sz w:val="14"/>
                <w:szCs w:val="14"/>
                <w:b w:val="1"/>
                <w:bCs w:val="1"/>
                <w:color w:val="032E5C"/>
              </w:rPr>
              <w:t>SAR Value</w:t>
            </w:r>
          </w:p>
        </w:tc>
        <w:tc>
          <w:tcPr>
            <w:tcW w:w="16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SARs Granted</w:t>
            </w:r>
          </w:p>
        </w:tc>
      </w:tr>
      <w:tr>
        <w:trPr>
          <w:trHeight w:val="196"/>
        </w:trPr>
        <w:tc>
          <w:tcPr>
            <w:tcW w:w="284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2540" w:type="dxa"/>
            <w:vAlign w:val="bottom"/>
            <w:shd w:val="clear" w:color="auto" w:fill="98BDE2"/>
          </w:tcPr>
          <w:p>
            <w:pPr>
              <w:jc w:val="right"/>
              <w:ind w:right="408"/>
              <w:spacing w:after="0"/>
              <w:rPr>
                <w:sz w:val="20"/>
                <w:szCs w:val="20"/>
                <w:color w:val="auto"/>
              </w:rPr>
            </w:pPr>
            <w:r>
              <w:rPr>
                <w:rFonts w:ascii="Arial" w:cs="Arial" w:eastAsia="Arial" w:hAnsi="Arial"/>
                <w:sz w:val="14"/>
                <w:szCs w:val="14"/>
                <w:b w:val="1"/>
                <w:bCs w:val="1"/>
                <w:color w:val="032E5C"/>
              </w:rPr>
              <w:t>($)</w:t>
            </w:r>
          </w:p>
        </w:tc>
        <w:tc>
          <w:tcPr>
            <w:tcW w:w="2220" w:type="dxa"/>
            <w:vAlign w:val="bottom"/>
            <w:shd w:val="clear" w:color="auto" w:fill="98BDE2"/>
          </w:tcPr>
          <w:p>
            <w:pPr>
              <w:jc w:val="right"/>
              <w:ind w:right="568"/>
              <w:spacing w:after="0"/>
              <w:rPr>
                <w:sz w:val="20"/>
                <w:szCs w:val="20"/>
                <w:color w:val="auto"/>
              </w:rPr>
            </w:pPr>
            <w:r>
              <w:rPr>
                <w:rFonts w:ascii="Arial" w:cs="Arial" w:eastAsia="Arial" w:hAnsi="Arial"/>
                <w:sz w:val="14"/>
                <w:szCs w:val="14"/>
                <w:b w:val="1"/>
                <w:bCs w:val="1"/>
                <w:color w:val="032E5C"/>
              </w:rPr>
              <w:t>(#)</w:t>
            </w:r>
          </w:p>
        </w:tc>
        <w:tc>
          <w:tcPr>
            <w:tcW w:w="1980" w:type="dxa"/>
            <w:vAlign w:val="bottom"/>
            <w:shd w:val="clear" w:color="auto" w:fill="98BDE2"/>
          </w:tcPr>
          <w:p>
            <w:pPr>
              <w:jc w:val="right"/>
              <w:ind w:right="488"/>
              <w:spacing w:after="0"/>
              <w:rPr>
                <w:sz w:val="20"/>
                <w:szCs w:val="20"/>
                <w:color w:val="auto"/>
              </w:rPr>
            </w:pPr>
            <w:r>
              <w:rPr>
                <w:rFonts w:ascii="Arial" w:cs="Arial" w:eastAsia="Arial" w:hAnsi="Arial"/>
                <w:sz w:val="14"/>
                <w:szCs w:val="14"/>
                <w:b w:val="1"/>
                <w:bCs w:val="1"/>
                <w:color w:val="032E5C"/>
              </w:rPr>
              <w:t>($)</w:t>
            </w:r>
          </w:p>
        </w:tc>
        <w:tc>
          <w:tcPr>
            <w:tcW w:w="16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r>
      <w:tr>
        <w:trPr>
          <w:trHeight w:val="70"/>
        </w:trPr>
        <w:tc>
          <w:tcPr>
            <w:tcW w:w="2840" w:type="dxa"/>
            <w:vAlign w:val="bottom"/>
            <w:shd w:val="clear" w:color="auto" w:fill="98BDE2"/>
          </w:tcPr>
          <w:p>
            <w:pPr>
              <w:spacing w:after="0"/>
              <w:rPr>
                <w:sz w:val="6"/>
                <w:szCs w:val="6"/>
                <w:color w:val="auto"/>
              </w:rPr>
            </w:pPr>
          </w:p>
        </w:tc>
        <w:tc>
          <w:tcPr>
            <w:tcW w:w="2540" w:type="dxa"/>
            <w:vAlign w:val="bottom"/>
            <w:shd w:val="clear" w:color="auto" w:fill="98BDE2"/>
          </w:tcPr>
          <w:p>
            <w:pPr>
              <w:spacing w:after="0"/>
              <w:rPr>
                <w:sz w:val="6"/>
                <w:szCs w:val="6"/>
                <w:color w:val="auto"/>
              </w:rPr>
            </w:pPr>
          </w:p>
        </w:tc>
        <w:tc>
          <w:tcPr>
            <w:tcW w:w="2220" w:type="dxa"/>
            <w:vAlign w:val="bottom"/>
            <w:shd w:val="clear" w:color="auto" w:fill="98BDE2"/>
          </w:tcPr>
          <w:p>
            <w:pPr>
              <w:spacing w:after="0"/>
              <w:rPr>
                <w:sz w:val="6"/>
                <w:szCs w:val="6"/>
                <w:color w:val="auto"/>
              </w:rPr>
            </w:pPr>
          </w:p>
        </w:tc>
        <w:tc>
          <w:tcPr>
            <w:tcW w:w="1980" w:type="dxa"/>
            <w:vAlign w:val="bottom"/>
            <w:shd w:val="clear" w:color="auto" w:fill="98BDE2"/>
          </w:tcPr>
          <w:p>
            <w:pPr>
              <w:spacing w:after="0"/>
              <w:rPr>
                <w:sz w:val="6"/>
                <w:szCs w:val="6"/>
                <w:color w:val="auto"/>
              </w:rPr>
            </w:pPr>
          </w:p>
        </w:tc>
        <w:tc>
          <w:tcPr>
            <w:tcW w:w="1640" w:type="dxa"/>
            <w:vAlign w:val="bottom"/>
            <w:shd w:val="clear" w:color="auto" w:fill="98BDE2"/>
          </w:tcPr>
          <w:p>
            <w:pPr>
              <w:spacing w:after="0"/>
              <w:rPr>
                <w:sz w:val="6"/>
                <w:szCs w:val="6"/>
                <w:color w:val="auto"/>
              </w:rPr>
            </w:pPr>
          </w:p>
        </w:tc>
      </w:tr>
      <w:tr>
        <w:trPr>
          <w:trHeight w:val="223"/>
        </w:trPr>
        <w:tc>
          <w:tcPr>
            <w:tcW w:w="28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Kirsten A. Lynch</w:t>
            </w:r>
          </w:p>
        </w:tc>
        <w:tc>
          <w:tcPr>
            <w:tcW w:w="25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2,456,356</w:t>
            </w:r>
          </w:p>
        </w:tc>
        <w:tc>
          <w:tcPr>
            <w:tcW w:w="222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12,008</w:t>
            </w:r>
          </w:p>
        </w:tc>
        <w:tc>
          <w:tcPr>
            <w:tcW w:w="1980" w:type="dxa"/>
            <w:vAlign w:val="bottom"/>
            <w:tcBorders>
              <w:bottom w:val="single" w:sz="8" w:color="98BDE2"/>
            </w:tcBorders>
          </w:tcPr>
          <w:p>
            <w:pPr>
              <w:jc w:val="right"/>
              <w:ind w:right="528"/>
              <w:spacing w:after="0"/>
              <w:rPr>
                <w:sz w:val="20"/>
                <w:szCs w:val="20"/>
                <w:color w:val="auto"/>
              </w:rPr>
            </w:pPr>
            <w:r>
              <w:rPr>
                <w:rFonts w:ascii="Arial" w:cs="Arial" w:eastAsia="Arial" w:hAnsi="Arial"/>
                <w:sz w:val="14"/>
                <w:szCs w:val="14"/>
                <w:color w:val="032E5C"/>
              </w:rPr>
              <w:t>2,456,542</w:t>
            </w:r>
          </w:p>
        </w:tc>
        <w:tc>
          <w:tcPr>
            <w:tcW w:w="16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44,111</w:t>
            </w:r>
          </w:p>
        </w:tc>
      </w:tr>
      <w:tr>
        <w:trPr>
          <w:trHeight w:val="223"/>
        </w:trPr>
        <w:tc>
          <w:tcPr>
            <w:tcW w:w="28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25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545,766</w:t>
            </w:r>
          </w:p>
        </w:tc>
        <w:tc>
          <w:tcPr>
            <w:tcW w:w="222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2,668</w:t>
            </w:r>
          </w:p>
        </w:tc>
        <w:tc>
          <w:tcPr>
            <w:tcW w:w="1980" w:type="dxa"/>
            <w:vAlign w:val="bottom"/>
            <w:tcBorders>
              <w:bottom w:val="single" w:sz="8" w:color="98BDE2"/>
            </w:tcBorders>
          </w:tcPr>
          <w:p>
            <w:pPr>
              <w:jc w:val="right"/>
              <w:ind w:right="528"/>
              <w:spacing w:after="0"/>
              <w:rPr>
                <w:sz w:val="20"/>
                <w:szCs w:val="20"/>
                <w:color w:val="auto"/>
              </w:rPr>
            </w:pPr>
            <w:r>
              <w:rPr>
                <w:rFonts w:ascii="Arial" w:cs="Arial" w:eastAsia="Arial" w:hAnsi="Arial"/>
                <w:sz w:val="14"/>
                <w:szCs w:val="14"/>
                <w:color w:val="032E5C"/>
              </w:rPr>
              <w:t>545,895</w:t>
            </w:r>
          </w:p>
        </w:tc>
        <w:tc>
          <w:tcPr>
            <w:tcW w:w="16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8,849</w:t>
            </w:r>
          </w:p>
        </w:tc>
      </w:tr>
      <w:tr>
        <w:trPr>
          <w:trHeight w:val="223"/>
        </w:trPr>
        <w:tc>
          <w:tcPr>
            <w:tcW w:w="28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25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733,552</w:t>
            </w:r>
          </w:p>
        </w:tc>
        <w:tc>
          <w:tcPr>
            <w:tcW w:w="222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3,586</w:t>
            </w:r>
          </w:p>
        </w:tc>
        <w:tc>
          <w:tcPr>
            <w:tcW w:w="1980" w:type="dxa"/>
            <w:vAlign w:val="bottom"/>
            <w:tcBorders>
              <w:bottom w:val="single" w:sz="8" w:color="98BDE2"/>
            </w:tcBorders>
          </w:tcPr>
          <w:p>
            <w:pPr>
              <w:jc w:val="right"/>
              <w:ind w:right="528"/>
              <w:spacing w:after="0"/>
              <w:rPr>
                <w:sz w:val="20"/>
                <w:szCs w:val="20"/>
                <w:color w:val="auto"/>
              </w:rPr>
            </w:pPr>
            <w:r>
              <w:rPr>
                <w:rFonts w:ascii="Arial" w:cs="Arial" w:eastAsia="Arial" w:hAnsi="Arial"/>
                <w:sz w:val="14"/>
                <w:szCs w:val="14"/>
                <w:color w:val="032E5C"/>
              </w:rPr>
              <w:t>733,741</w:t>
            </w:r>
          </w:p>
        </w:tc>
        <w:tc>
          <w:tcPr>
            <w:tcW w:w="16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11,894</w:t>
            </w:r>
          </w:p>
        </w:tc>
      </w:tr>
      <w:tr>
        <w:trPr>
          <w:trHeight w:val="223"/>
        </w:trPr>
        <w:tc>
          <w:tcPr>
            <w:tcW w:w="28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C. Rock</w:t>
            </w:r>
          </w:p>
        </w:tc>
        <w:tc>
          <w:tcPr>
            <w:tcW w:w="25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514,878</w:t>
            </w:r>
          </w:p>
        </w:tc>
        <w:tc>
          <w:tcPr>
            <w:tcW w:w="222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2,517</w:t>
            </w:r>
          </w:p>
        </w:tc>
        <w:tc>
          <w:tcPr>
            <w:tcW w:w="1980" w:type="dxa"/>
            <w:vAlign w:val="bottom"/>
            <w:tcBorders>
              <w:bottom w:val="single" w:sz="8" w:color="98BDE2"/>
            </w:tcBorders>
          </w:tcPr>
          <w:p>
            <w:pPr>
              <w:jc w:val="right"/>
              <w:ind w:right="528"/>
              <w:spacing w:after="0"/>
              <w:rPr>
                <w:sz w:val="20"/>
                <w:szCs w:val="20"/>
                <w:color w:val="auto"/>
              </w:rPr>
            </w:pPr>
            <w:r>
              <w:rPr>
                <w:rFonts w:ascii="Arial" w:cs="Arial" w:eastAsia="Arial" w:hAnsi="Arial"/>
                <w:sz w:val="14"/>
                <w:szCs w:val="14"/>
                <w:color w:val="032E5C"/>
              </w:rPr>
              <w:t>514,988</w:t>
            </w:r>
          </w:p>
        </w:tc>
        <w:tc>
          <w:tcPr>
            <w:tcW w:w="16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8,348</w:t>
            </w:r>
          </w:p>
        </w:tc>
      </w:tr>
      <w:tr>
        <w:trPr>
          <w:trHeight w:val="230"/>
        </w:trPr>
        <w:tc>
          <w:tcPr>
            <w:tcW w:w="28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David T. Shapiro</w:t>
            </w:r>
            <w:r>
              <w:rPr>
                <w:rFonts w:ascii="Arial" w:cs="Arial" w:eastAsia="Arial" w:hAnsi="Arial"/>
                <w:sz w:val="18"/>
                <w:szCs w:val="18"/>
                <w:b w:val="1"/>
                <w:bCs w:val="1"/>
                <w:color w:val="032E5C"/>
                <w:vertAlign w:val="superscript"/>
              </w:rPr>
              <w:t>(2)</w:t>
            </w:r>
          </w:p>
        </w:tc>
        <w:tc>
          <w:tcPr>
            <w:tcW w:w="2540" w:type="dxa"/>
            <w:vAlign w:val="bottom"/>
            <w:tcBorders>
              <w:bottom w:val="single" w:sz="8" w:color="98BDE2"/>
            </w:tcBorders>
          </w:tcPr>
          <w:p>
            <w:pPr>
              <w:jc w:val="right"/>
              <w:ind w:right="468"/>
              <w:spacing w:after="0"/>
              <w:rPr>
                <w:sz w:val="20"/>
                <w:szCs w:val="20"/>
                <w:color w:val="auto"/>
              </w:rPr>
            </w:pPr>
            <w:r>
              <w:rPr>
                <w:rFonts w:ascii="Arial" w:cs="Arial" w:eastAsia="Arial" w:hAnsi="Arial"/>
                <w:sz w:val="14"/>
                <w:szCs w:val="14"/>
                <w:color w:val="032E5C"/>
              </w:rPr>
              <w:t>891,063</w:t>
            </w:r>
          </w:p>
        </w:tc>
        <w:tc>
          <w:tcPr>
            <w:tcW w:w="2220" w:type="dxa"/>
            <w:vAlign w:val="bottom"/>
            <w:tcBorders>
              <w:bottom w:val="single" w:sz="8" w:color="98BDE2"/>
            </w:tcBorders>
          </w:tcPr>
          <w:p>
            <w:pPr>
              <w:jc w:val="right"/>
              <w:ind w:right="628"/>
              <w:spacing w:after="0"/>
              <w:rPr>
                <w:sz w:val="20"/>
                <w:szCs w:val="20"/>
                <w:color w:val="auto"/>
              </w:rPr>
            </w:pPr>
            <w:r>
              <w:rPr>
                <w:rFonts w:ascii="Arial" w:cs="Arial" w:eastAsia="Arial" w:hAnsi="Arial"/>
                <w:sz w:val="14"/>
                <w:szCs w:val="14"/>
                <w:color w:val="032E5C"/>
              </w:rPr>
              <w:t>4,356</w:t>
            </w:r>
          </w:p>
        </w:tc>
        <w:tc>
          <w:tcPr>
            <w:tcW w:w="1980" w:type="dxa"/>
            <w:vAlign w:val="bottom"/>
            <w:tcBorders>
              <w:bottom w:val="single" w:sz="8" w:color="98BDE2"/>
            </w:tcBorders>
          </w:tcPr>
          <w:p>
            <w:pPr>
              <w:jc w:val="right"/>
              <w:ind w:right="528"/>
              <w:spacing w:after="0"/>
              <w:rPr>
                <w:sz w:val="20"/>
                <w:szCs w:val="20"/>
                <w:color w:val="auto"/>
              </w:rPr>
            </w:pPr>
            <w:r>
              <w:rPr>
                <w:rFonts w:ascii="Arial" w:cs="Arial" w:eastAsia="Arial" w:hAnsi="Arial"/>
                <w:sz w:val="14"/>
                <w:szCs w:val="14"/>
                <w:color w:val="032E5C"/>
              </w:rPr>
              <w:t>891,050</w:t>
            </w:r>
          </w:p>
        </w:tc>
        <w:tc>
          <w:tcPr>
            <w:tcW w:w="16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14,444</w:t>
            </w:r>
          </w:p>
        </w:tc>
      </w:tr>
      <w:tr>
        <w:trPr>
          <w:trHeight w:val="230"/>
        </w:trPr>
        <w:tc>
          <w:tcPr>
            <w:tcW w:w="2840" w:type="dxa"/>
            <w:vAlign w:val="bottom"/>
            <w:tcBorders>
              <w:bottom w:val="single" w:sz="8" w:color="3E5C7C"/>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Gregory J. Sullivan</w:t>
            </w:r>
          </w:p>
        </w:tc>
        <w:tc>
          <w:tcPr>
            <w:tcW w:w="2540" w:type="dxa"/>
            <w:vAlign w:val="bottom"/>
            <w:tcBorders>
              <w:bottom w:val="single" w:sz="8" w:color="3E5C7C"/>
            </w:tcBorders>
          </w:tcPr>
          <w:p>
            <w:pPr>
              <w:jc w:val="right"/>
              <w:ind w:right="468"/>
              <w:spacing w:after="0"/>
              <w:rPr>
                <w:sz w:val="20"/>
                <w:szCs w:val="20"/>
                <w:color w:val="auto"/>
              </w:rPr>
            </w:pPr>
            <w:r>
              <w:rPr>
                <w:rFonts w:ascii="Arial" w:cs="Arial" w:eastAsia="Arial" w:hAnsi="Arial"/>
                <w:sz w:val="14"/>
                <w:szCs w:val="14"/>
                <w:color w:val="032E5C"/>
              </w:rPr>
              <w:t>225,834</w:t>
            </w:r>
          </w:p>
        </w:tc>
        <w:tc>
          <w:tcPr>
            <w:tcW w:w="2220" w:type="dxa"/>
            <w:vAlign w:val="bottom"/>
            <w:tcBorders>
              <w:bottom w:val="single" w:sz="8" w:color="3E5C7C"/>
            </w:tcBorders>
          </w:tcPr>
          <w:p>
            <w:pPr>
              <w:jc w:val="right"/>
              <w:ind w:right="628"/>
              <w:spacing w:after="0"/>
              <w:rPr>
                <w:sz w:val="20"/>
                <w:szCs w:val="20"/>
                <w:color w:val="auto"/>
              </w:rPr>
            </w:pPr>
            <w:r>
              <w:rPr>
                <w:rFonts w:ascii="Arial" w:cs="Arial" w:eastAsia="Arial" w:hAnsi="Arial"/>
                <w:sz w:val="14"/>
                <w:szCs w:val="14"/>
                <w:color w:val="032E5C"/>
              </w:rPr>
              <w:t>1,104</w:t>
            </w:r>
          </w:p>
        </w:tc>
        <w:tc>
          <w:tcPr>
            <w:tcW w:w="1980" w:type="dxa"/>
            <w:vAlign w:val="bottom"/>
            <w:tcBorders>
              <w:bottom w:val="single" w:sz="8" w:color="3E5C7C"/>
            </w:tcBorders>
          </w:tcPr>
          <w:p>
            <w:pPr>
              <w:jc w:val="right"/>
              <w:ind w:right="528"/>
              <w:spacing w:after="0"/>
              <w:rPr>
                <w:sz w:val="20"/>
                <w:szCs w:val="20"/>
                <w:color w:val="auto"/>
              </w:rPr>
            </w:pPr>
            <w:r>
              <w:rPr>
                <w:rFonts w:ascii="Arial" w:cs="Arial" w:eastAsia="Arial" w:hAnsi="Arial"/>
                <w:sz w:val="14"/>
                <w:szCs w:val="14"/>
                <w:color w:val="032E5C"/>
              </w:rPr>
              <w:t>225,970</w:t>
            </w:r>
          </w:p>
        </w:tc>
        <w:tc>
          <w:tcPr>
            <w:tcW w:w="1640" w:type="dxa"/>
            <w:vAlign w:val="bottom"/>
            <w:tcBorders>
              <w:bottom w:val="single" w:sz="8" w:color="3E5C7C"/>
            </w:tcBorders>
          </w:tcPr>
          <w:p>
            <w:pPr>
              <w:jc w:val="right"/>
              <w:ind w:right="88"/>
              <w:spacing w:after="0"/>
              <w:rPr>
                <w:sz w:val="20"/>
                <w:szCs w:val="20"/>
                <w:color w:val="auto"/>
              </w:rPr>
            </w:pPr>
            <w:r>
              <w:rPr>
                <w:rFonts w:ascii="Arial" w:cs="Arial" w:eastAsia="Arial" w:hAnsi="Arial"/>
                <w:sz w:val="14"/>
                <w:szCs w:val="14"/>
                <w:color w:val="032E5C"/>
              </w:rPr>
              <w:t>3,663</w:t>
            </w:r>
          </w:p>
        </w:tc>
      </w:tr>
    </w:tbl>
    <w:p>
      <w:pPr>
        <w:spacing w:after="0" w:line="153" w:lineRule="exact"/>
        <w:rPr>
          <w:sz w:val="20"/>
          <w:szCs w:val="20"/>
          <w:color w:val="auto"/>
        </w:rPr>
      </w:pPr>
    </w:p>
    <w:p>
      <w:pPr>
        <w:ind w:left="340" w:right="240" w:hanging="332"/>
        <w:spacing w:after="0" w:line="305" w:lineRule="auto"/>
        <w:tabs>
          <w:tab w:leader="none" w:pos="340" w:val="left"/>
        </w:tabs>
        <w:numPr>
          <w:ilvl w:val="0"/>
          <w:numId w:val="49"/>
        </w:numPr>
        <w:rPr>
          <w:rFonts w:ascii="Arial" w:cs="Arial" w:eastAsia="Arial" w:hAnsi="Arial"/>
          <w:sz w:val="14"/>
          <w:szCs w:val="14"/>
          <w:color w:val="29292B"/>
        </w:rPr>
      </w:pPr>
      <w:r>
        <w:rPr>
          <w:rFonts w:ascii="Arial" w:cs="Arial" w:eastAsia="Arial" w:hAnsi="Arial"/>
          <w:sz w:val="14"/>
          <w:szCs w:val="14"/>
          <w:color w:val="29292B"/>
        </w:rPr>
        <w:t>The grant-date fair value of RSUs is determined based on the Company's closing market stock price on the date of grant, reduced by the present value of estimated dividends to be paid on the underlying shares that will not be paid on such RSUs during the requisite service period, discounted at the appropriate risk-free interest rate.</w:t>
      </w:r>
    </w:p>
    <w:p>
      <w:pPr>
        <w:spacing w:after="0" w:line="22" w:lineRule="exact"/>
        <w:rPr>
          <w:rFonts w:ascii="Arial" w:cs="Arial" w:eastAsia="Arial" w:hAnsi="Arial"/>
          <w:sz w:val="14"/>
          <w:szCs w:val="14"/>
          <w:color w:val="29292B"/>
        </w:rPr>
      </w:pPr>
    </w:p>
    <w:p>
      <w:pPr>
        <w:ind w:left="340" w:hanging="332"/>
        <w:spacing w:after="0"/>
        <w:tabs>
          <w:tab w:leader="none" w:pos="340" w:val="left"/>
        </w:tabs>
        <w:numPr>
          <w:ilvl w:val="0"/>
          <w:numId w:val="49"/>
        </w:numPr>
        <w:rPr>
          <w:rFonts w:ascii="Arial" w:cs="Arial" w:eastAsia="Arial" w:hAnsi="Arial"/>
          <w:sz w:val="14"/>
          <w:szCs w:val="14"/>
          <w:color w:val="29292B"/>
        </w:rPr>
      </w:pPr>
      <w:r>
        <w:rPr>
          <w:rFonts w:ascii="Arial" w:cs="Arial" w:eastAsia="Arial" w:hAnsi="Arial"/>
          <w:sz w:val="14"/>
          <w:szCs w:val="14"/>
          <w:color w:val="29292B"/>
        </w:rPr>
        <w:t>Mr. Shapiro's fiscal 2024 equity awards were forfeited upon his separation from the Company on February 23, 2024.</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Other Executive Compensation Policies and Practices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Perquisites and Other Benefits</w:t>
      </w:r>
    </w:p>
    <w:p>
      <w:pPr>
        <w:spacing w:after="0" w:line="126"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29292B"/>
        </w:rPr>
        <w:t>We provide the NEOs with certain health and welfare benefits, relocation program benefits, and a tax-qualified 401(k) plan in the same manner that such benefits have been made available to other salaried employees of the Company. We also pay premiums for supplemental life insurance and disability insurance on behalf of our NEOs that are consistent with those provided to similarly situated executives at other companies.</w:t>
      </w:r>
    </w:p>
    <w:p>
      <w:pPr>
        <w:spacing w:after="0" w:line="97"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29292B"/>
        </w:rPr>
        <w:t>Under our Executive Perquisite Fund Program, we offer the NEOs a specified allowance at our owned and operated properties to incentivize our executive officers to visit and use our resorts in order to make informed decisions regarding our business and the guest experience and provide relevant feedback concerning our properties and services. Executives may draw against the credit to pay for services or goods at the market rate, such as towards lodging, ski school privileges, and discretionary spending on services or goods at our properties for personal use. Amounts of the fund used by the NEO are taxed as ordinary income, like other compensation. In addition, the Company also provided each NEO with access to one or more of our private clubs through our quality assessment program, for which the Company incurs no incremental costs.</w:t>
      </w:r>
    </w:p>
    <w:p>
      <w:pPr>
        <w:spacing w:after="0" w:line="105"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color w:val="29292B"/>
        </w:rPr>
        <w:t>The Compensation Committee reviews perquisites in the tally sheets for both appropriateness and effectiveness. However, the value of any perquisites provided to any of the NEOs is a limited portion of any officer’s compensation.</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Clawback Policy</w:t>
      </w:r>
    </w:p>
    <w:p>
      <w:pPr>
        <w:spacing w:after="0" w:line="126" w:lineRule="exact"/>
        <w:rPr>
          <w:sz w:val="20"/>
          <w:szCs w:val="20"/>
          <w:color w:val="auto"/>
        </w:rPr>
      </w:pPr>
    </w:p>
    <w:p>
      <w:pPr>
        <w:spacing w:after="0" w:line="300" w:lineRule="auto"/>
        <w:rPr>
          <w:sz w:val="20"/>
          <w:szCs w:val="20"/>
          <w:color w:val="auto"/>
        </w:rPr>
      </w:pPr>
      <w:r>
        <w:rPr>
          <w:rFonts w:ascii="Arial" w:cs="Arial" w:eastAsia="Arial" w:hAnsi="Arial"/>
          <w:sz w:val="16"/>
          <w:szCs w:val="16"/>
          <w:color w:val="29292B"/>
        </w:rPr>
        <w:t>Our clawback policy requires the Company to recoup incentive-based compensation that was paid to executive officers based on financial statements that were subsequently restated. The policy provides that in the event the Company is required to prepare an accounting restatement due to material noncompliance with financial reporting requirements, and regardless of whether the executive officer contributed to the cause of the noncompliance, our Board will review all MIP awards and equity awards made to executive officers during the three-year period prior to the restatement on the basis of having met or exceeded specific performance targets. If such payments would have been lower had they been calculated based on such restated results, our Board will recoup the amounts received in excess of the amount that would have been paid based on the restated results. The policy is designed to ensure accountability and to reinforce our commitment to ethical conduct and financial integrity. It covers both cash and equity-based incentives and applies to current and former executives. The Compensation Committee has the authority to determine the amount of compensation to be recovered and the method of recovery.</w:t>
      </w:r>
    </w:p>
    <w:p>
      <w:pPr>
        <w:spacing w:after="0" w:line="334" w:lineRule="exact"/>
        <w:rPr>
          <w:sz w:val="20"/>
          <w:szCs w:val="20"/>
          <w:color w:val="auto"/>
        </w:rPr>
      </w:pPr>
    </w:p>
    <w:p>
      <w:pPr>
        <w:jc w:val="both"/>
        <w:ind w:right="340"/>
        <w:spacing w:after="0" w:line="310" w:lineRule="auto"/>
        <w:rPr>
          <w:sz w:val="20"/>
          <w:szCs w:val="20"/>
          <w:color w:val="auto"/>
        </w:rPr>
      </w:pPr>
      <w:r>
        <w:rPr>
          <w:rFonts w:ascii="Arial" w:cs="Arial" w:eastAsia="Arial" w:hAnsi="Arial"/>
          <w:sz w:val="16"/>
          <w:szCs w:val="16"/>
          <w:color w:val="29292B"/>
        </w:rPr>
        <w:t>The Company reviews its clawback policy periodically to ensure compliance with applicable law, NYSE listing standards, and corporate governance best practices. The foregoing summary of the clawback policy does not purport to be complete and is qualified in its entirety by reference to the full text of the clawback policy attached as Exhibit 97.1 to the Company's Annual Report on Form 10-K filed on September 26, 2024.</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56</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61" w:name="page62"/>
    <w:bookmarkEnd w:id="61"/>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Insider Trading Policy</w:t>
      </w:r>
    </w:p>
    <w:p>
      <w:pPr>
        <w:spacing w:after="0" w:line="139"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29292B"/>
        </w:rPr>
        <w:t>We have adopted the Vail Resorts Inc. Insider Trading Compliance Program (the “Insider Trading Policy”), which governs the purchase, sale, and other dispositions of our securities by all of our directors, officers, and employees, as well as their family members and other persons who live with them, and any corporations, limited liability companies, partnerships, trusts, or other entities over which they exert influence or control. The Insider Trading Policy is designed to promote compliance with insider trading laws, rules and regulations, as well as the rules and regulations of the NYSE. It prohibits those who are subject to the policy from trading securities of any company, including the Company, while in possession of material non-public information, and from buying, selling, or gifting Company securities even if not in possession of such information during certain trading blackout periods, subject to limited exceptions. It also prohibits those who are subject to the policy from effecting short sales of Company securities and from engaging in hedging transactions and purchasing or selling derivative securities, such as puts and calls, relating to Company securities. The Insider Trading Policy also imposes additional trading restrictions applicable to our directors, executive officers and Insiders (as defined therein). The foregoing summary of the Insider Trading Policy does not purport to be complete and is qualified in its entirety by reference to the full text of the Insider Trading Policy attached as Exhibit 19.1 to the Company's Annual Report on Form 10-K filed on September 26, 2024.</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Stock Ownership Guidelines for Executives</w:t>
      </w:r>
    </w:p>
    <w:p>
      <w:pPr>
        <w:spacing w:after="0" w:line="139"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color w:val="29292B"/>
        </w:rPr>
        <w:t>Consistent with our objective of encouraging executive stock ownership to create long-term stockholder value by aligning the interests of our executives with our stockholders, the Company has adopted executive stock ownership guidelines. Under the guidelines, our executive officers are expected to hold shares of our common stock equal to multiples of their base salaries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Title</w:t>
            </w:r>
          </w:p>
        </w:tc>
        <w:tc>
          <w:tcPr>
            <w:tcW w:w="5940" w:type="dxa"/>
            <w:vAlign w:val="bottom"/>
            <w:shd w:val="clear" w:color="auto" w:fill="98BDE2"/>
          </w:tcPr>
          <w:p>
            <w:pPr>
              <w:jc w:val="center"/>
              <w:ind w:left="2648"/>
              <w:spacing w:after="0"/>
              <w:rPr>
                <w:sz w:val="20"/>
                <w:szCs w:val="20"/>
                <w:color w:val="auto"/>
              </w:rPr>
            </w:pPr>
            <w:r>
              <w:rPr>
                <w:rFonts w:ascii="Arial" w:cs="Arial" w:eastAsia="Arial" w:hAnsi="Arial"/>
                <w:sz w:val="14"/>
                <w:szCs w:val="14"/>
                <w:b w:val="1"/>
                <w:bCs w:val="1"/>
                <w:color w:val="032E5C"/>
              </w:rPr>
              <w:t>Multiple of Base Salary</w:t>
            </w:r>
          </w:p>
        </w:tc>
      </w:tr>
      <w:tr>
        <w:trPr>
          <w:trHeight w:val="67"/>
        </w:trPr>
        <w:tc>
          <w:tcPr>
            <w:tcW w:w="5300" w:type="dxa"/>
            <w:vAlign w:val="bottom"/>
            <w:shd w:val="clear" w:color="auto" w:fill="98BDE2"/>
          </w:tcPr>
          <w:p>
            <w:pPr>
              <w:spacing w:after="0"/>
              <w:rPr>
                <w:sz w:val="5"/>
                <w:szCs w:val="5"/>
                <w:color w:val="auto"/>
              </w:rPr>
            </w:pPr>
          </w:p>
        </w:tc>
        <w:tc>
          <w:tcPr>
            <w:tcW w:w="5940" w:type="dxa"/>
            <w:vAlign w:val="bottom"/>
            <w:shd w:val="clear" w:color="auto" w:fill="98BDE2"/>
          </w:tcPr>
          <w:p>
            <w:pPr>
              <w:spacing w:after="0"/>
              <w:rPr>
                <w:sz w:val="5"/>
                <w:szCs w:val="5"/>
                <w:color w:val="auto"/>
              </w:rPr>
            </w:pPr>
          </w:p>
        </w:tc>
      </w:tr>
      <w:tr>
        <w:trPr>
          <w:trHeight w:val="208"/>
        </w:trPr>
        <w:tc>
          <w:tcPr>
            <w:tcW w:w="5300" w:type="dxa"/>
            <w:vAlign w:val="bottom"/>
          </w:tcPr>
          <w:p>
            <w:pPr>
              <w:ind w:left="100"/>
              <w:spacing w:after="0"/>
              <w:rPr>
                <w:sz w:val="20"/>
                <w:szCs w:val="20"/>
                <w:color w:val="auto"/>
              </w:rPr>
            </w:pPr>
            <w:r>
              <w:rPr>
                <w:rFonts w:ascii="Arial" w:cs="Arial" w:eastAsia="Arial" w:hAnsi="Arial"/>
                <w:sz w:val="14"/>
                <w:szCs w:val="14"/>
                <w:color w:val="032E5C"/>
              </w:rPr>
              <w:t>Executive Chairperson</w:t>
            </w:r>
          </w:p>
        </w:tc>
        <w:tc>
          <w:tcPr>
            <w:tcW w:w="5940" w:type="dxa"/>
            <w:vAlign w:val="bottom"/>
          </w:tcPr>
          <w:p>
            <w:pPr>
              <w:jc w:val="center"/>
              <w:ind w:left="2648"/>
              <w:spacing w:after="0"/>
              <w:rPr>
                <w:sz w:val="20"/>
                <w:szCs w:val="20"/>
                <w:color w:val="auto"/>
              </w:rPr>
            </w:pPr>
            <w:r>
              <w:rPr>
                <w:rFonts w:ascii="Arial" w:cs="Arial" w:eastAsia="Arial" w:hAnsi="Arial"/>
                <w:sz w:val="14"/>
                <w:szCs w:val="14"/>
                <w:color w:val="032E5C"/>
                <w:w w:val="94"/>
              </w:rPr>
              <w:t>6x</w:t>
            </w:r>
          </w:p>
        </w:tc>
      </w:tr>
      <w:tr>
        <w:trPr>
          <w:trHeight w:val="22"/>
        </w:trPr>
        <w:tc>
          <w:tcPr>
            <w:tcW w:w="5300" w:type="dxa"/>
            <w:vAlign w:val="bottom"/>
            <w:tcBorders>
              <w:bottom w:val="single" w:sz="8" w:color="98BDE2"/>
            </w:tcBorders>
          </w:tcPr>
          <w:p>
            <w:pPr>
              <w:spacing w:after="0" w:line="20" w:lineRule="exact"/>
              <w:rPr>
                <w:sz w:val="1"/>
                <w:szCs w:val="1"/>
                <w:color w:val="auto"/>
              </w:rPr>
            </w:pPr>
          </w:p>
        </w:tc>
        <w:tc>
          <w:tcPr>
            <w:tcW w:w="5940" w:type="dxa"/>
            <w:vAlign w:val="bottom"/>
            <w:tcBorders>
              <w:bottom w:val="single" w:sz="8" w:color="98BDE2"/>
            </w:tcBorders>
          </w:tcPr>
          <w:p>
            <w:pPr>
              <w:spacing w:after="0" w:line="20" w:lineRule="exact"/>
              <w:rPr>
                <w:sz w:val="1"/>
                <w:szCs w:val="1"/>
                <w:color w:val="auto"/>
              </w:rPr>
            </w:pPr>
          </w:p>
        </w:tc>
      </w:tr>
      <w:tr>
        <w:trPr>
          <w:trHeight w:val="201"/>
        </w:trPr>
        <w:tc>
          <w:tcPr>
            <w:tcW w:w="5300" w:type="dxa"/>
            <w:vAlign w:val="bottom"/>
          </w:tcPr>
          <w:p>
            <w:pPr>
              <w:ind w:left="100"/>
              <w:spacing w:after="0"/>
              <w:rPr>
                <w:sz w:val="20"/>
                <w:szCs w:val="20"/>
                <w:color w:val="auto"/>
              </w:rPr>
            </w:pPr>
            <w:r>
              <w:rPr>
                <w:rFonts w:ascii="Arial" w:cs="Arial" w:eastAsia="Arial" w:hAnsi="Arial"/>
                <w:sz w:val="14"/>
                <w:szCs w:val="14"/>
                <w:color w:val="032E5C"/>
              </w:rPr>
              <w:t>Chief Executive Officer</w:t>
            </w:r>
          </w:p>
        </w:tc>
        <w:tc>
          <w:tcPr>
            <w:tcW w:w="5940" w:type="dxa"/>
            <w:vAlign w:val="bottom"/>
          </w:tcPr>
          <w:p>
            <w:pPr>
              <w:jc w:val="center"/>
              <w:ind w:left="2648"/>
              <w:spacing w:after="0"/>
              <w:rPr>
                <w:sz w:val="20"/>
                <w:szCs w:val="20"/>
                <w:color w:val="auto"/>
              </w:rPr>
            </w:pPr>
            <w:r>
              <w:rPr>
                <w:rFonts w:ascii="Arial" w:cs="Arial" w:eastAsia="Arial" w:hAnsi="Arial"/>
                <w:sz w:val="14"/>
                <w:szCs w:val="14"/>
                <w:color w:val="032E5C"/>
                <w:w w:val="94"/>
              </w:rPr>
              <w:t>6x</w:t>
            </w:r>
          </w:p>
        </w:tc>
      </w:tr>
      <w:tr>
        <w:trPr>
          <w:trHeight w:val="22"/>
        </w:trPr>
        <w:tc>
          <w:tcPr>
            <w:tcW w:w="5300" w:type="dxa"/>
            <w:vAlign w:val="bottom"/>
            <w:tcBorders>
              <w:bottom w:val="single" w:sz="8" w:color="98BDE2"/>
            </w:tcBorders>
          </w:tcPr>
          <w:p>
            <w:pPr>
              <w:spacing w:after="0" w:line="20" w:lineRule="exact"/>
              <w:rPr>
                <w:sz w:val="1"/>
                <w:szCs w:val="1"/>
                <w:color w:val="auto"/>
              </w:rPr>
            </w:pPr>
          </w:p>
        </w:tc>
        <w:tc>
          <w:tcPr>
            <w:tcW w:w="5940" w:type="dxa"/>
            <w:vAlign w:val="bottom"/>
            <w:tcBorders>
              <w:bottom w:val="single" w:sz="8" w:color="98BDE2"/>
            </w:tcBorders>
          </w:tcPr>
          <w:p>
            <w:pPr>
              <w:spacing w:after="0" w:line="20" w:lineRule="exact"/>
              <w:rPr>
                <w:sz w:val="1"/>
                <w:szCs w:val="1"/>
                <w:color w:val="auto"/>
              </w:rPr>
            </w:pPr>
          </w:p>
        </w:tc>
      </w:tr>
      <w:tr>
        <w:trPr>
          <w:trHeight w:val="202"/>
        </w:trPr>
        <w:tc>
          <w:tcPr>
            <w:tcW w:w="5300" w:type="dxa"/>
            <w:vAlign w:val="bottom"/>
          </w:tcPr>
          <w:p>
            <w:pPr>
              <w:ind w:left="100"/>
              <w:spacing w:after="0"/>
              <w:rPr>
                <w:sz w:val="20"/>
                <w:szCs w:val="20"/>
                <w:color w:val="auto"/>
              </w:rPr>
            </w:pPr>
            <w:r>
              <w:rPr>
                <w:rFonts w:ascii="Arial" w:cs="Arial" w:eastAsia="Arial" w:hAnsi="Arial"/>
                <w:sz w:val="14"/>
                <w:szCs w:val="14"/>
                <w:color w:val="032E5C"/>
              </w:rPr>
              <w:t>Chief Financial Officer</w:t>
            </w:r>
          </w:p>
        </w:tc>
        <w:tc>
          <w:tcPr>
            <w:tcW w:w="5940" w:type="dxa"/>
            <w:vAlign w:val="bottom"/>
          </w:tcPr>
          <w:p>
            <w:pPr>
              <w:jc w:val="center"/>
              <w:ind w:left="2648"/>
              <w:spacing w:after="0"/>
              <w:rPr>
                <w:sz w:val="20"/>
                <w:szCs w:val="20"/>
                <w:color w:val="auto"/>
              </w:rPr>
            </w:pPr>
            <w:r>
              <w:rPr>
                <w:rFonts w:ascii="Arial" w:cs="Arial" w:eastAsia="Arial" w:hAnsi="Arial"/>
                <w:sz w:val="14"/>
                <w:szCs w:val="14"/>
                <w:color w:val="032E5C"/>
                <w:w w:val="94"/>
              </w:rPr>
              <w:t>3x</w:t>
            </w:r>
          </w:p>
        </w:tc>
      </w:tr>
      <w:tr>
        <w:trPr>
          <w:trHeight w:val="22"/>
        </w:trPr>
        <w:tc>
          <w:tcPr>
            <w:tcW w:w="5300" w:type="dxa"/>
            <w:vAlign w:val="bottom"/>
            <w:tcBorders>
              <w:bottom w:val="single" w:sz="8" w:color="98BDE2"/>
            </w:tcBorders>
          </w:tcPr>
          <w:p>
            <w:pPr>
              <w:spacing w:after="0" w:line="20" w:lineRule="exact"/>
              <w:rPr>
                <w:sz w:val="1"/>
                <w:szCs w:val="1"/>
                <w:color w:val="auto"/>
              </w:rPr>
            </w:pPr>
          </w:p>
        </w:tc>
        <w:tc>
          <w:tcPr>
            <w:tcW w:w="5940" w:type="dxa"/>
            <w:vAlign w:val="bottom"/>
            <w:tcBorders>
              <w:bottom w:val="single" w:sz="8" w:color="98BDE2"/>
            </w:tcBorders>
          </w:tcPr>
          <w:p>
            <w:pPr>
              <w:spacing w:after="0" w:line="20" w:lineRule="exact"/>
              <w:rPr>
                <w:sz w:val="1"/>
                <w:szCs w:val="1"/>
                <w:color w:val="auto"/>
              </w:rPr>
            </w:pPr>
          </w:p>
        </w:tc>
      </w:tr>
      <w:tr>
        <w:trPr>
          <w:trHeight w:val="201"/>
        </w:trPr>
        <w:tc>
          <w:tcPr>
            <w:tcW w:w="5300" w:type="dxa"/>
            <w:vAlign w:val="bottom"/>
          </w:tcPr>
          <w:p>
            <w:pPr>
              <w:ind w:left="100"/>
              <w:spacing w:after="0"/>
              <w:rPr>
                <w:sz w:val="20"/>
                <w:szCs w:val="20"/>
                <w:color w:val="auto"/>
              </w:rPr>
            </w:pPr>
            <w:r>
              <w:rPr>
                <w:rFonts w:ascii="Arial" w:cs="Arial" w:eastAsia="Arial" w:hAnsi="Arial"/>
                <w:sz w:val="14"/>
                <w:szCs w:val="14"/>
                <w:color w:val="032E5C"/>
              </w:rPr>
              <w:t>Presidents</w:t>
            </w:r>
          </w:p>
        </w:tc>
        <w:tc>
          <w:tcPr>
            <w:tcW w:w="5940" w:type="dxa"/>
            <w:vAlign w:val="bottom"/>
          </w:tcPr>
          <w:p>
            <w:pPr>
              <w:jc w:val="center"/>
              <w:ind w:left="2648"/>
              <w:spacing w:after="0"/>
              <w:rPr>
                <w:sz w:val="20"/>
                <w:szCs w:val="20"/>
                <w:color w:val="auto"/>
              </w:rPr>
            </w:pPr>
            <w:r>
              <w:rPr>
                <w:rFonts w:ascii="Arial" w:cs="Arial" w:eastAsia="Arial" w:hAnsi="Arial"/>
                <w:sz w:val="14"/>
                <w:szCs w:val="14"/>
                <w:color w:val="032E5C"/>
                <w:w w:val="94"/>
              </w:rPr>
              <w:t>3x</w:t>
            </w:r>
          </w:p>
        </w:tc>
      </w:tr>
      <w:tr>
        <w:trPr>
          <w:trHeight w:val="22"/>
        </w:trPr>
        <w:tc>
          <w:tcPr>
            <w:tcW w:w="5300" w:type="dxa"/>
            <w:vAlign w:val="bottom"/>
            <w:tcBorders>
              <w:bottom w:val="single" w:sz="8" w:color="98BDE2"/>
            </w:tcBorders>
          </w:tcPr>
          <w:p>
            <w:pPr>
              <w:spacing w:after="0" w:line="20" w:lineRule="exact"/>
              <w:rPr>
                <w:sz w:val="1"/>
                <w:szCs w:val="1"/>
                <w:color w:val="auto"/>
              </w:rPr>
            </w:pPr>
          </w:p>
        </w:tc>
        <w:tc>
          <w:tcPr>
            <w:tcW w:w="5940" w:type="dxa"/>
            <w:vAlign w:val="bottom"/>
            <w:tcBorders>
              <w:bottom w:val="single" w:sz="8" w:color="98BDE2"/>
            </w:tcBorders>
          </w:tcPr>
          <w:p>
            <w:pPr>
              <w:spacing w:after="0" w:line="20" w:lineRule="exact"/>
              <w:rPr>
                <w:sz w:val="1"/>
                <w:szCs w:val="1"/>
                <w:color w:val="auto"/>
              </w:rPr>
            </w:pPr>
          </w:p>
        </w:tc>
      </w:tr>
      <w:tr>
        <w:trPr>
          <w:trHeight w:val="201"/>
        </w:trPr>
        <w:tc>
          <w:tcPr>
            <w:tcW w:w="5300" w:type="dxa"/>
            <w:vAlign w:val="bottom"/>
          </w:tcPr>
          <w:p>
            <w:pPr>
              <w:ind w:left="100"/>
              <w:spacing w:after="0"/>
              <w:rPr>
                <w:sz w:val="20"/>
                <w:szCs w:val="20"/>
                <w:color w:val="auto"/>
              </w:rPr>
            </w:pPr>
            <w:r>
              <w:rPr>
                <w:rFonts w:ascii="Arial" w:cs="Arial" w:eastAsia="Arial" w:hAnsi="Arial"/>
                <w:sz w:val="14"/>
                <w:szCs w:val="14"/>
                <w:color w:val="032E5C"/>
              </w:rPr>
              <w:t>Executive Vice Presidents</w:t>
            </w:r>
          </w:p>
        </w:tc>
        <w:tc>
          <w:tcPr>
            <w:tcW w:w="5940" w:type="dxa"/>
            <w:vAlign w:val="bottom"/>
          </w:tcPr>
          <w:p>
            <w:pPr>
              <w:jc w:val="center"/>
              <w:ind w:left="2648"/>
              <w:spacing w:after="0"/>
              <w:rPr>
                <w:sz w:val="20"/>
                <w:szCs w:val="20"/>
                <w:color w:val="auto"/>
              </w:rPr>
            </w:pPr>
            <w:r>
              <w:rPr>
                <w:rFonts w:ascii="Arial" w:cs="Arial" w:eastAsia="Arial" w:hAnsi="Arial"/>
                <w:sz w:val="14"/>
                <w:szCs w:val="14"/>
                <w:color w:val="032E5C"/>
                <w:w w:val="94"/>
              </w:rPr>
              <w:t>2x</w:t>
            </w:r>
          </w:p>
        </w:tc>
      </w:tr>
      <w:tr>
        <w:trPr>
          <w:trHeight w:val="29"/>
        </w:trPr>
        <w:tc>
          <w:tcPr>
            <w:tcW w:w="5300" w:type="dxa"/>
            <w:vAlign w:val="bottom"/>
            <w:tcBorders>
              <w:bottom w:val="single" w:sz="8" w:color="3E5C7C"/>
            </w:tcBorders>
          </w:tcPr>
          <w:p>
            <w:pPr>
              <w:spacing w:after="0"/>
              <w:rPr>
                <w:sz w:val="2"/>
                <w:szCs w:val="2"/>
                <w:color w:val="auto"/>
              </w:rPr>
            </w:pPr>
          </w:p>
        </w:tc>
        <w:tc>
          <w:tcPr>
            <w:tcW w:w="5940" w:type="dxa"/>
            <w:vAlign w:val="bottom"/>
            <w:tcBorders>
              <w:bottom w:val="single" w:sz="8" w:color="3E5C7C"/>
            </w:tcBorders>
          </w:tcPr>
          <w:p>
            <w:pPr>
              <w:spacing w:after="0"/>
              <w:rPr>
                <w:sz w:val="2"/>
                <w:szCs w:val="2"/>
                <w:color w:val="auto"/>
              </w:rPr>
            </w:pPr>
          </w:p>
        </w:tc>
      </w:tr>
    </w:tbl>
    <w:p>
      <w:pPr>
        <w:spacing w:after="0" w:line="310" w:lineRule="exact"/>
        <w:rPr>
          <w:sz w:val="20"/>
          <w:szCs w:val="20"/>
          <w:color w:val="auto"/>
        </w:rPr>
      </w:pPr>
    </w:p>
    <w:p>
      <w:pPr>
        <w:spacing w:after="0" w:line="306" w:lineRule="auto"/>
        <w:rPr>
          <w:sz w:val="20"/>
          <w:szCs w:val="20"/>
          <w:color w:val="auto"/>
        </w:rPr>
      </w:pPr>
      <w:r>
        <w:rPr>
          <w:rFonts w:ascii="Arial" w:cs="Arial" w:eastAsia="Arial" w:hAnsi="Arial"/>
          <w:sz w:val="16"/>
          <w:szCs w:val="16"/>
          <w:color w:val="29292B"/>
        </w:rPr>
        <w:t>Until an executive achieves the required level of ownership, he or she is required to retain at least 75% of the net shares received as a result of the vesting of RSUs or restricted stock or the exercise of SARs. Net shares are those that remain after shares are netted to pay any applicable exercise price and/or statutory tax withholdings. Shares of common stock, stock owned in a directed retirement plan or IRA, and the intrinsic value of vested equity grants count as stock ownership for purposes of these guidelines.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Policy Prohibiting Hedging and Pledging Transactions</w:t>
      </w:r>
    </w:p>
    <w:p>
      <w:pPr>
        <w:spacing w:after="0" w:line="12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Our Insider Trading Policy prohibits directors and senior level employees, including our executive officers, from engaging in hedging transactions designed to offset decreases in the market value of the Company’s securities, including engaging in short sales or investing in other derivatives of the Company’s securities, including put and call options and collar transactions. The Insider Trading Policy also prohibits directors and senior level employees, including our executive officers, from pledging shares of the Company’s stock or holding them in a margin account as collateral for a loan. The foregoing summary of the Insider Trading Policy does not purport to be complete and is qualified in its entirety by reference to the full text of the Insider Trading Policy attached as Exhibit 19.1 to the Company's Annual Report on Form 10-K filed on September 26, 2024. For additional information on our Insider Trading Policy, see “— Insider Trading Policy” above.</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57</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Summary Compensation Table for Fiscal 2024</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summarizes the total compensation paid or earned by the NEOs for each of the last three fiscal years during which the officer was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NEO:</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2200" w:type="dxa"/>
            <w:vAlign w:val="bottom"/>
            <w:shd w:val="clear" w:color="auto" w:fill="98BDE2"/>
          </w:tcPr>
          <w:p>
            <w:pPr>
              <w:spacing w:after="0"/>
              <w:rPr>
                <w:sz w:val="16"/>
                <w:szCs w:val="16"/>
                <w:color w:val="auto"/>
              </w:rPr>
            </w:pPr>
          </w:p>
        </w:tc>
        <w:tc>
          <w:tcPr>
            <w:tcW w:w="720" w:type="dxa"/>
            <w:vAlign w:val="bottom"/>
            <w:shd w:val="clear" w:color="auto" w:fill="98BDE2"/>
          </w:tcPr>
          <w:p>
            <w:pPr>
              <w:spacing w:after="0"/>
              <w:rPr>
                <w:sz w:val="16"/>
                <w:szCs w:val="16"/>
                <w:color w:val="auto"/>
              </w:rPr>
            </w:pPr>
          </w:p>
        </w:tc>
        <w:tc>
          <w:tcPr>
            <w:tcW w:w="1080" w:type="dxa"/>
            <w:vAlign w:val="bottom"/>
            <w:shd w:val="clear" w:color="auto" w:fill="98BDE2"/>
          </w:tcPr>
          <w:p>
            <w:pPr>
              <w:spacing w:after="0"/>
              <w:rPr>
                <w:sz w:val="16"/>
                <w:szCs w:val="16"/>
                <w:color w:val="auto"/>
              </w:rPr>
            </w:pPr>
          </w:p>
        </w:tc>
        <w:tc>
          <w:tcPr>
            <w:tcW w:w="660" w:type="dxa"/>
            <w:vAlign w:val="bottom"/>
            <w:shd w:val="clear" w:color="auto" w:fill="98BDE2"/>
          </w:tcPr>
          <w:p>
            <w:pPr>
              <w:spacing w:after="0"/>
              <w:rPr>
                <w:sz w:val="16"/>
                <w:szCs w:val="16"/>
                <w:color w:val="auto"/>
              </w:rPr>
            </w:pPr>
          </w:p>
        </w:tc>
        <w:tc>
          <w:tcPr>
            <w:tcW w:w="1040" w:type="dxa"/>
            <w:vAlign w:val="bottom"/>
            <w:shd w:val="clear" w:color="auto" w:fill="98BDE2"/>
          </w:tcPr>
          <w:p>
            <w:pPr>
              <w:spacing w:after="0"/>
              <w:rPr>
                <w:sz w:val="16"/>
                <w:szCs w:val="16"/>
                <w:color w:val="auto"/>
              </w:rPr>
            </w:pPr>
          </w:p>
        </w:tc>
        <w:tc>
          <w:tcPr>
            <w:tcW w:w="13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Option/Share</w:t>
            </w:r>
          </w:p>
        </w:tc>
        <w:tc>
          <w:tcPr>
            <w:tcW w:w="1640" w:type="dxa"/>
            <w:vAlign w:val="bottom"/>
            <w:shd w:val="clear" w:color="auto" w:fill="98BDE2"/>
          </w:tcPr>
          <w:p>
            <w:pPr>
              <w:spacing w:after="0"/>
              <w:rPr>
                <w:sz w:val="16"/>
                <w:szCs w:val="16"/>
                <w:color w:val="auto"/>
              </w:rPr>
            </w:pPr>
          </w:p>
        </w:tc>
        <w:tc>
          <w:tcPr>
            <w:tcW w:w="1460" w:type="dxa"/>
            <w:vAlign w:val="bottom"/>
            <w:shd w:val="clear" w:color="auto" w:fill="98BDE2"/>
          </w:tcPr>
          <w:p>
            <w:pPr>
              <w:spacing w:after="0"/>
              <w:rPr>
                <w:sz w:val="16"/>
                <w:szCs w:val="16"/>
                <w:color w:val="auto"/>
              </w:rPr>
            </w:pPr>
          </w:p>
        </w:tc>
        <w:tc>
          <w:tcPr>
            <w:tcW w:w="880" w:type="dxa"/>
            <w:vAlign w:val="bottom"/>
            <w:shd w:val="clear" w:color="auto" w:fill="98BDE2"/>
          </w:tcPr>
          <w:p>
            <w:pPr>
              <w:spacing w:after="0"/>
              <w:rPr>
                <w:sz w:val="16"/>
                <w:szCs w:val="16"/>
                <w:color w:val="auto"/>
              </w:rPr>
            </w:pPr>
          </w:p>
        </w:tc>
        <w:tc>
          <w:tcPr>
            <w:tcW w:w="10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2200" w:type="dxa"/>
            <w:vAlign w:val="bottom"/>
            <w:shd w:val="clear" w:color="auto" w:fill="98BDE2"/>
          </w:tcPr>
          <w:p>
            <w:pPr>
              <w:spacing w:after="0"/>
              <w:rPr>
                <w:sz w:val="15"/>
                <w:szCs w:val="15"/>
                <w:color w:val="auto"/>
              </w:rPr>
            </w:pPr>
          </w:p>
        </w:tc>
        <w:tc>
          <w:tcPr>
            <w:tcW w:w="720" w:type="dxa"/>
            <w:vAlign w:val="bottom"/>
            <w:vMerge w:val="restart"/>
            <w:shd w:val="clear" w:color="auto" w:fill="98BDE2"/>
          </w:tcPr>
          <w:p>
            <w:pPr>
              <w:jc w:val="center"/>
              <w:spacing w:after="0"/>
              <w:rPr>
                <w:sz w:val="20"/>
                <w:szCs w:val="20"/>
                <w:color w:val="auto"/>
              </w:rPr>
            </w:pPr>
            <w:r>
              <w:rPr>
                <w:rFonts w:ascii="Arial" w:cs="Arial" w:eastAsia="Arial" w:hAnsi="Arial"/>
                <w:sz w:val="14"/>
                <w:szCs w:val="14"/>
                <w:b w:val="1"/>
                <w:bCs w:val="1"/>
                <w:color w:val="032E5C"/>
              </w:rPr>
              <w:t>Fiscal</w:t>
            </w:r>
          </w:p>
        </w:tc>
        <w:tc>
          <w:tcPr>
            <w:tcW w:w="1080" w:type="dxa"/>
            <w:vAlign w:val="bottom"/>
            <w:shd w:val="clear" w:color="auto" w:fill="98BDE2"/>
          </w:tcPr>
          <w:p>
            <w:pPr>
              <w:spacing w:after="0"/>
              <w:rPr>
                <w:sz w:val="15"/>
                <w:szCs w:val="15"/>
                <w:color w:val="auto"/>
              </w:rPr>
            </w:pPr>
          </w:p>
        </w:tc>
        <w:tc>
          <w:tcPr>
            <w:tcW w:w="660" w:type="dxa"/>
            <w:vAlign w:val="bottom"/>
            <w:vMerge w:val="restart"/>
            <w:shd w:val="clear" w:color="auto" w:fill="98BDE2"/>
          </w:tcPr>
          <w:p>
            <w:pPr>
              <w:jc w:val="right"/>
              <w:spacing w:after="0"/>
              <w:rPr>
                <w:sz w:val="20"/>
                <w:szCs w:val="20"/>
                <w:color w:val="auto"/>
              </w:rPr>
            </w:pPr>
            <w:r>
              <w:rPr>
                <w:rFonts w:ascii="Arial" w:cs="Arial" w:eastAsia="Arial" w:hAnsi="Arial"/>
                <w:sz w:val="14"/>
                <w:szCs w:val="14"/>
                <w:b w:val="1"/>
                <w:bCs w:val="1"/>
                <w:color w:val="032E5C"/>
              </w:rPr>
              <w:t>Bonus</w:t>
            </w:r>
          </w:p>
        </w:tc>
        <w:tc>
          <w:tcPr>
            <w:tcW w:w="1040" w:type="dxa"/>
            <w:vAlign w:val="bottom"/>
            <w:vMerge w:val="restart"/>
            <w:shd w:val="clear" w:color="auto" w:fill="98BDE2"/>
          </w:tcPr>
          <w:p>
            <w:pPr>
              <w:jc w:val="right"/>
              <w:spacing w:after="0"/>
              <w:rPr>
                <w:sz w:val="20"/>
                <w:szCs w:val="20"/>
                <w:color w:val="auto"/>
              </w:rPr>
            </w:pPr>
            <w:r>
              <w:rPr>
                <w:rFonts w:ascii="Arial" w:cs="Arial" w:eastAsia="Arial" w:hAnsi="Arial"/>
                <w:sz w:val="14"/>
                <w:szCs w:val="14"/>
                <w:b w:val="1"/>
                <w:bCs w:val="1"/>
                <w:color w:val="032E5C"/>
              </w:rPr>
              <w:t>Stock Awards</w:t>
            </w:r>
          </w:p>
        </w:tc>
        <w:tc>
          <w:tcPr>
            <w:tcW w:w="3020" w:type="dxa"/>
            <w:vAlign w:val="bottom"/>
            <w:gridSpan w:val="2"/>
            <w:shd w:val="clear" w:color="auto" w:fill="98BDE2"/>
          </w:tcPr>
          <w:p>
            <w:pPr>
              <w:jc w:val="right"/>
              <w:ind w:right="170"/>
              <w:spacing w:after="0"/>
              <w:rPr>
                <w:sz w:val="20"/>
                <w:szCs w:val="20"/>
                <w:color w:val="auto"/>
              </w:rPr>
            </w:pPr>
            <w:r>
              <w:rPr>
                <w:rFonts w:ascii="Arial" w:cs="Arial" w:eastAsia="Arial" w:hAnsi="Arial"/>
                <w:sz w:val="14"/>
                <w:szCs w:val="14"/>
                <w:b w:val="1"/>
                <w:bCs w:val="1"/>
                <w:color w:val="032E5C"/>
              </w:rPr>
              <w:t>Appreciation Right Non-Equity Incentive</w:t>
            </w:r>
          </w:p>
        </w:tc>
        <w:tc>
          <w:tcPr>
            <w:tcW w:w="1460" w:type="dxa"/>
            <w:vAlign w:val="bottom"/>
            <w:shd w:val="clear" w:color="auto" w:fill="98BDE2"/>
          </w:tcPr>
          <w:p>
            <w:pPr>
              <w:jc w:val="right"/>
              <w:ind w:right="170"/>
              <w:spacing w:after="0"/>
              <w:rPr>
                <w:sz w:val="20"/>
                <w:szCs w:val="20"/>
                <w:color w:val="auto"/>
              </w:rPr>
            </w:pPr>
            <w:r>
              <w:rPr>
                <w:rFonts w:ascii="Arial" w:cs="Arial" w:eastAsia="Arial" w:hAnsi="Arial"/>
                <w:sz w:val="14"/>
                <w:szCs w:val="14"/>
                <w:b w:val="1"/>
                <w:bCs w:val="1"/>
                <w:color w:val="032E5C"/>
              </w:rPr>
              <w:t>All Other</w:t>
            </w:r>
          </w:p>
        </w:tc>
        <w:tc>
          <w:tcPr>
            <w:tcW w:w="980" w:type="dxa"/>
            <w:vAlign w:val="bottom"/>
            <w:gridSpan w:val="2"/>
            <w:vMerge w:val="restart"/>
            <w:shd w:val="clear" w:color="auto" w:fill="98BDE2"/>
          </w:tcPr>
          <w:p>
            <w:pPr>
              <w:ind w:left="540"/>
              <w:spacing w:after="0"/>
              <w:rPr>
                <w:sz w:val="20"/>
                <w:szCs w:val="20"/>
                <w:color w:val="auto"/>
              </w:rPr>
            </w:pPr>
            <w:r>
              <w:rPr>
                <w:rFonts w:ascii="Arial" w:cs="Arial" w:eastAsia="Arial" w:hAnsi="Arial"/>
                <w:sz w:val="14"/>
                <w:szCs w:val="14"/>
                <w:b w:val="1"/>
                <w:bCs w:val="1"/>
                <w:color w:val="032E5C"/>
              </w:rPr>
              <w:t>Total</w:t>
            </w:r>
          </w:p>
        </w:tc>
        <w:tc>
          <w:tcPr>
            <w:tcW w:w="0" w:type="dxa"/>
            <w:vAlign w:val="bottom"/>
          </w:tcPr>
          <w:p>
            <w:pPr>
              <w:spacing w:after="0"/>
              <w:rPr>
                <w:sz w:val="1"/>
                <w:szCs w:val="1"/>
                <w:color w:val="auto"/>
              </w:rPr>
            </w:pPr>
          </w:p>
        </w:tc>
      </w:tr>
      <w:tr>
        <w:trPr>
          <w:trHeight w:val="160"/>
        </w:trPr>
        <w:tc>
          <w:tcPr>
            <w:tcW w:w="80" w:type="dxa"/>
            <w:vAlign w:val="bottom"/>
            <w:shd w:val="clear" w:color="auto" w:fill="98BDE2"/>
          </w:tcPr>
          <w:p>
            <w:pPr>
              <w:spacing w:after="0"/>
              <w:rPr>
                <w:sz w:val="13"/>
                <w:szCs w:val="13"/>
                <w:color w:val="auto"/>
              </w:rPr>
            </w:pPr>
          </w:p>
        </w:tc>
        <w:tc>
          <w:tcPr>
            <w:tcW w:w="2200" w:type="dxa"/>
            <w:vAlign w:val="bottom"/>
            <w:shd w:val="clear" w:color="auto" w:fill="98BDE2"/>
          </w:tcPr>
          <w:p>
            <w:pPr>
              <w:spacing w:after="0"/>
              <w:rPr>
                <w:sz w:val="13"/>
                <w:szCs w:val="13"/>
                <w:color w:val="auto"/>
              </w:rPr>
            </w:pPr>
          </w:p>
        </w:tc>
        <w:tc>
          <w:tcPr>
            <w:tcW w:w="720" w:type="dxa"/>
            <w:vAlign w:val="bottom"/>
            <w:vMerge w:val="continue"/>
            <w:shd w:val="clear" w:color="auto" w:fill="98BDE2"/>
          </w:tcPr>
          <w:p>
            <w:pPr>
              <w:spacing w:after="0"/>
              <w:rPr>
                <w:sz w:val="13"/>
                <w:szCs w:val="13"/>
                <w:color w:val="auto"/>
              </w:rPr>
            </w:pPr>
          </w:p>
        </w:tc>
        <w:tc>
          <w:tcPr>
            <w:tcW w:w="1080" w:type="dxa"/>
            <w:vAlign w:val="bottom"/>
            <w:shd w:val="clear" w:color="auto" w:fill="98BDE2"/>
          </w:tcPr>
          <w:p>
            <w:pPr>
              <w:spacing w:after="0"/>
              <w:rPr>
                <w:sz w:val="13"/>
                <w:szCs w:val="13"/>
                <w:color w:val="auto"/>
              </w:rPr>
            </w:pPr>
          </w:p>
        </w:tc>
        <w:tc>
          <w:tcPr>
            <w:tcW w:w="660" w:type="dxa"/>
            <w:vAlign w:val="bottom"/>
            <w:vMerge w:val="continue"/>
            <w:shd w:val="clear" w:color="auto" w:fill="98BDE2"/>
          </w:tcPr>
          <w:p>
            <w:pPr>
              <w:spacing w:after="0"/>
              <w:rPr>
                <w:sz w:val="13"/>
                <w:szCs w:val="13"/>
                <w:color w:val="auto"/>
              </w:rPr>
            </w:pPr>
          </w:p>
        </w:tc>
        <w:tc>
          <w:tcPr>
            <w:tcW w:w="1040" w:type="dxa"/>
            <w:vAlign w:val="bottom"/>
            <w:vMerge w:val="continue"/>
            <w:shd w:val="clear" w:color="auto" w:fill="98BDE2"/>
          </w:tcPr>
          <w:p>
            <w:pPr>
              <w:spacing w:after="0"/>
              <w:rPr>
                <w:sz w:val="13"/>
                <w:szCs w:val="13"/>
                <w:color w:val="auto"/>
              </w:rPr>
            </w:pPr>
          </w:p>
        </w:tc>
        <w:tc>
          <w:tcPr>
            <w:tcW w:w="1380" w:type="dxa"/>
            <w:vAlign w:val="bottom"/>
            <w:shd w:val="clear" w:color="auto" w:fill="98BDE2"/>
          </w:tcPr>
          <w:p>
            <w:pPr>
              <w:jc w:val="right"/>
              <w:spacing w:after="0" w:line="159" w:lineRule="exact"/>
              <w:rPr>
                <w:sz w:val="20"/>
                <w:szCs w:val="20"/>
                <w:color w:val="auto"/>
              </w:rPr>
            </w:pPr>
            <w:r>
              <w:rPr>
                <w:rFonts w:ascii="Arial" w:cs="Arial" w:eastAsia="Arial" w:hAnsi="Arial"/>
                <w:sz w:val="14"/>
                <w:szCs w:val="14"/>
                <w:b w:val="1"/>
                <w:bCs w:val="1"/>
                <w:color w:val="032E5C"/>
              </w:rPr>
              <w:t>Awards</w:t>
            </w:r>
          </w:p>
        </w:tc>
        <w:tc>
          <w:tcPr>
            <w:tcW w:w="1640" w:type="dxa"/>
            <w:vAlign w:val="bottom"/>
            <w:shd w:val="clear" w:color="auto" w:fill="98BDE2"/>
          </w:tcPr>
          <w:p>
            <w:pPr>
              <w:jc w:val="right"/>
              <w:ind w:right="170"/>
              <w:spacing w:after="0" w:line="159" w:lineRule="exact"/>
              <w:rPr>
                <w:sz w:val="20"/>
                <w:szCs w:val="20"/>
                <w:color w:val="auto"/>
              </w:rPr>
            </w:pPr>
            <w:r>
              <w:rPr>
                <w:rFonts w:ascii="Arial" w:cs="Arial" w:eastAsia="Arial" w:hAnsi="Arial"/>
                <w:sz w:val="14"/>
                <w:szCs w:val="14"/>
                <w:b w:val="1"/>
                <w:bCs w:val="1"/>
                <w:color w:val="032E5C"/>
              </w:rPr>
              <w:t>Plan Compensation</w:t>
            </w:r>
          </w:p>
        </w:tc>
        <w:tc>
          <w:tcPr>
            <w:tcW w:w="1460" w:type="dxa"/>
            <w:vAlign w:val="bottom"/>
            <w:shd w:val="clear" w:color="auto" w:fill="98BDE2"/>
          </w:tcPr>
          <w:p>
            <w:pPr>
              <w:jc w:val="right"/>
              <w:ind w:right="170"/>
              <w:spacing w:after="0" w:line="159" w:lineRule="exact"/>
              <w:rPr>
                <w:sz w:val="20"/>
                <w:szCs w:val="20"/>
                <w:color w:val="auto"/>
              </w:rPr>
            </w:pPr>
            <w:r>
              <w:rPr>
                <w:rFonts w:ascii="Arial" w:cs="Arial" w:eastAsia="Arial" w:hAnsi="Arial"/>
                <w:sz w:val="14"/>
                <w:szCs w:val="14"/>
                <w:b w:val="1"/>
                <w:bCs w:val="1"/>
                <w:color w:val="032E5C"/>
              </w:rPr>
              <w:t>Compensation</w:t>
            </w:r>
          </w:p>
        </w:tc>
        <w:tc>
          <w:tcPr>
            <w:tcW w:w="980" w:type="dxa"/>
            <w:vAlign w:val="bottom"/>
            <w:gridSpan w:val="2"/>
            <w:vMerge w:val="continue"/>
            <w:shd w:val="clear" w:color="auto" w:fill="98BDE2"/>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80" w:type="dxa"/>
            <w:vAlign w:val="bottom"/>
            <w:tcBorders>
              <w:bottom w:val="single" w:sz="8" w:color="98BDE2"/>
            </w:tcBorders>
            <w:shd w:val="clear" w:color="auto" w:fill="98BDE2"/>
          </w:tcPr>
          <w:p>
            <w:pPr>
              <w:spacing w:after="0"/>
              <w:rPr>
                <w:sz w:val="21"/>
                <w:szCs w:val="21"/>
                <w:color w:val="auto"/>
              </w:rPr>
            </w:pPr>
          </w:p>
        </w:tc>
        <w:tc>
          <w:tcPr>
            <w:tcW w:w="2200" w:type="dxa"/>
            <w:vAlign w:val="bottom"/>
            <w:tcBorders>
              <w:bottom w:val="single" w:sz="8" w:color="98BDE2"/>
            </w:tcBorders>
            <w:shd w:val="clear" w:color="auto" w:fill="98BDE2"/>
          </w:tcPr>
          <w:p>
            <w:pPr>
              <w:ind w:left="20"/>
              <w:spacing w:after="0"/>
              <w:rPr>
                <w:sz w:val="20"/>
                <w:szCs w:val="20"/>
                <w:color w:val="auto"/>
              </w:rPr>
            </w:pPr>
            <w:r>
              <w:rPr>
                <w:rFonts w:ascii="Arial" w:cs="Arial" w:eastAsia="Arial" w:hAnsi="Arial"/>
                <w:sz w:val="14"/>
                <w:szCs w:val="14"/>
                <w:b w:val="1"/>
                <w:bCs w:val="1"/>
                <w:color w:val="032E5C"/>
              </w:rPr>
              <w:t>Name and Principal Position</w:t>
            </w:r>
          </w:p>
        </w:tc>
        <w:tc>
          <w:tcPr>
            <w:tcW w:w="72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032E5C"/>
                <w:w w:val="98"/>
              </w:rPr>
              <w:t>Year</w:t>
            </w:r>
          </w:p>
        </w:tc>
        <w:tc>
          <w:tcPr>
            <w:tcW w:w="1080" w:type="dxa"/>
            <w:vAlign w:val="bottom"/>
            <w:tcBorders>
              <w:bottom w:val="single" w:sz="8" w:color="98BDE2"/>
            </w:tcBorders>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Salary ($)</w:t>
            </w:r>
            <w:r>
              <w:rPr>
                <w:rFonts w:ascii="Arial" w:cs="Arial" w:eastAsia="Arial" w:hAnsi="Arial"/>
                <w:sz w:val="9"/>
                <w:szCs w:val="9"/>
                <w:b w:val="1"/>
                <w:bCs w:val="1"/>
                <w:color w:val="032E5C"/>
              </w:rPr>
              <w:t>(1)</w:t>
            </w:r>
          </w:p>
        </w:tc>
        <w:tc>
          <w:tcPr>
            <w:tcW w:w="66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04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(2)</w:t>
            </w:r>
          </w:p>
        </w:tc>
        <w:tc>
          <w:tcPr>
            <w:tcW w:w="1380" w:type="dxa"/>
            <w:vAlign w:val="bottom"/>
            <w:tcBorders>
              <w:bottom w:val="single" w:sz="8" w:color="98BDE2"/>
            </w:tcBorders>
            <w:shd w:val="clear" w:color="auto" w:fill="98BDE2"/>
          </w:tcPr>
          <w:p>
            <w:pPr>
              <w:jc w:val="right"/>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(3)</w:t>
            </w:r>
          </w:p>
        </w:tc>
        <w:tc>
          <w:tcPr>
            <w:tcW w:w="1640" w:type="dxa"/>
            <w:vAlign w:val="bottom"/>
            <w:tcBorders>
              <w:bottom w:val="single" w:sz="8" w:color="98BDE2"/>
            </w:tcBorders>
            <w:shd w:val="clear" w:color="auto" w:fill="98BDE2"/>
          </w:tcPr>
          <w:p>
            <w:pPr>
              <w:jc w:val="right"/>
              <w:ind w:right="170"/>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(4)</w:t>
            </w:r>
          </w:p>
        </w:tc>
        <w:tc>
          <w:tcPr>
            <w:tcW w:w="1460" w:type="dxa"/>
            <w:vAlign w:val="bottom"/>
            <w:tcBorders>
              <w:bottom w:val="single" w:sz="8" w:color="98BDE2"/>
            </w:tcBorders>
            <w:shd w:val="clear" w:color="auto" w:fill="98BDE2"/>
          </w:tcPr>
          <w:p>
            <w:pPr>
              <w:jc w:val="right"/>
              <w:ind w:right="170"/>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(5)</w:t>
            </w:r>
          </w:p>
        </w:tc>
        <w:tc>
          <w:tcPr>
            <w:tcW w:w="88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00" w:type="dxa"/>
            <w:vAlign w:val="bottom"/>
            <w:tcBorders>
              <w:bottom w:val="single" w:sz="8" w:color="98BDE2"/>
            </w:tcBorders>
            <w:shd w:val="clear" w:color="auto" w:fill="98BDE2"/>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80" w:type="dxa"/>
            <w:vAlign w:val="bottom"/>
            <w:shd w:val="clear" w:color="auto" w:fill="F3EFE9"/>
          </w:tcPr>
          <w:p>
            <w:pPr>
              <w:spacing w:after="0"/>
              <w:rPr>
                <w:sz w:val="24"/>
                <w:szCs w:val="24"/>
                <w:color w:val="auto"/>
              </w:rPr>
            </w:pPr>
          </w:p>
        </w:tc>
        <w:tc>
          <w:tcPr>
            <w:tcW w:w="2200" w:type="dxa"/>
            <w:vAlign w:val="bottom"/>
            <w:shd w:val="clear" w:color="auto" w:fill="F3EFE9"/>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32E5C"/>
              </w:rPr>
              <w:t>2024</w:t>
            </w:r>
          </w:p>
        </w:tc>
        <w:tc>
          <w:tcPr>
            <w:tcW w:w="1080" w:type="dxa"/>
            <w:vAlign w:val="bottom"/>
          </w:tcPr>
          <w:p>
            <w:pPr>
              <w:jc w:val="right"/>
              <w:ind w:right="68"/>
              <w:spacing w:after="0"/>
              <w:rPr>
                <w:sz w:val="20"/>
                <w:szCs w:val="20"/>
                <w:color w:val="auto"/>
              </w:rPr>
            </w:pPr>
            <w:r>
              <w:rPr>
                <w:rFonts w:ascii="Arial" w:cs="Arial" w:eastAsia="Arial" w:hAnsi="Arial"/>
                <w:sz w:val="14"/>
                <w:szCs w:val="14"/>
                <w:color w:val="032E5C"/>
              </w:rPr>
              <w:t>1,086,908</w:t>
            </w:r>
          </w:p>
        </w:tc>
        <w:tc>
          <w:tcPr>
            <w:tcW w:w="660" w:type="dxa"/>
            <w:vAlign w:val="bottom"/>
          </w:tcPr>
          <w:p>
            <w:pPr>
              <w:jc w:val="right"/>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2,456,356</w:t>
            </w:r>
          </w:p>
        </w:tc>
        <w:tc>
          <w:tcPr>
            <w:tcW w:w="1380" w:type="dxa"/>
            <w:vAlign w:val="bottom"/>
          </w:tcPr>
          <w:p>
            <w:pPr>
              <w:jc w:val="right"/>
              <w:spacing w:after="0"/>
              <w:rPr>
                <w:sz w:val="20"/>
                <w:szCs w:val="20"/>
                <w:color w:val="auto"/>
              </w:rPr>
            </w:pPr>
            <w:r>
              <w:rPr>
                <w:rFonts w:ascii="Arial" w:cs="Arial" w:eastAsia="Arial" w:hAnsi="Arial"/>
                <w:sz w:val="14"/>
                <w:szCs w:val="14"/>
                <w:color w:val="032E5C"/>
              </w:rPr>
              <w:t>2,456,542</w:t>
            </w:r>
          </w:p>
        </w:tc>
        <w:tc>
          <w:tcPr>
            <w:tcW w:w="1640" w:type="dxa"/>
            <w:vAlign w:val="bottom"/>
          </w:tcPr>
          <w:p>
            <w:pPr>
              <w:jc w:val="right"/>
              <w:ind w:right="170"/>
              <w:spacing w:after="0"/>
              <w:rPr>
                <w:sz w:val="20"/>
                <w:szCs w:val="20"/>
                <w:color w:val="auto"/>
              </w:rPr>
            </w:pPr>
            <w:r>
              <w:rPr>
                <w:rFonts w:ascii="Arial" w:cs="Arial" w:eastAsia="Arial" w:hAnsi="Arial"/>
                <w:sz w:val="14"/>
                <w:szCs w:val="14"/>
                <w:color w:val="032E5C"/>
              </w:rPr>
              <w:t>259,193</w:t>
            </w:r>
          </w:p>
        </w:tc>
        <w:tc>
          <w:tcPr>
            <w:tcW w:w="1460" w:type="dxa"/>
            <w:vAlign w:val="bottom"/>
          </w:tcPr>
          <w:p>
            <w:pPr>
              <w:jc w:val="right"/>
              <w:ind w:right="170"/>
              <w:spacing w:after="0"/>
              <w:rPr>
                <w:sz w:val="20"/>
                <w:szCs w:val="20"/>
                <w:color w:val="auto"/>
              </w:rPr>
            </w:pPr>
            <w:r>
              <w:rPr>
                <w:rFonts w:ascii="Arial" w:cs="Arial" w:eastAsia="Arial" w:hAnsi="Arial"/>
                <w:sz w:val="14"/>
                <w:szCs w:val="14"/>
                <w:color w:val="032E5C"/>
              </w:rPr>
              <w:t>29,587</w:t>
            </w:r>
          </w:p>
        </w:tc>
        <w:tc>
          <w:tcPr>
            <w:tcW w:w="880" w:type="dxa"/>
            <w:vAlign w:val="bottom"/>
          </w:tcPr>
          <w:p>
            <w:pPr>
              <w:jc w:val="right"/>
              <w:spacing w:after="0"/>
              <w:rPr>
                <w:sz w:val="20"/>
                <w:szCs w:val="20"/>
                <w:color w:val="auto"/>
              </w:rPr>
            </w:pPr>
            <w:r>
              <w:rPr>
                <w:rFonts w:ascii="Arial" w:cs="Arial" w:eastAsia="Arial" w:hAnsi="Arial"/>
                <w:sz w:val="14"/>
                <w:szCs w:val="14"/>
                <w:color w:val="032E5C"/>
              </w:rPr>
              <w:t>6,288,586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0" w:type="dxa"/>
            <w:vAlign w:val="bottom"/>
            <w:tcBorders>
              <w:bottom w:val="single" w:sz="8" w:color="F3EFE9"/>
            </w:tcBorders>
            <w:shd w:val="clear" w:color="auto" w:fill="F3EFE9"/>
          </w:tcPr>
          <w:p>
            <w:pPr>
              <w:spacing w:after="0"/>
              <w:rPr>
                <w:sz w:val="11"/>
                <w:szCs w:val="11"/>
                <w:color w:val="auto"/>
              </w:rPr>
            </w:pPr>
          </w:p>
        </w:tc>
        <w:tc>
          <w:tcPr>
            <w:tcW w:w="220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Kirsten A. Lynch</w:t>
            </w:r>
          </w:p>
        </w:tc>
        <w:tc>
          <w:tcPr>
            <w:tcW w:w="720" w:type="dxa"/>
            <w:vAlign w:val="bottom"/>
            <w:tcBorders>
              <w:bottom w:val="single" w:sz="8" w:color="98BDE2"/>
            </w:tcBorders>
          </w:tcPr>
          <w:p>
            <w:pPr>
              <w:spacing w:after="0"/>
              <w:rPr>
                <w:sz w:val="11"/>
                <w:szCs w:val="11"/>
                <w:color w:val="auto"/>
              </w:rPr>
            </w:pPr>
          </w:p>
        </w:tc>
        <w:tc>
          <w:tcPr>
            <w:tcW w:w="1080" w:type="dxa"/>
            <w:vAlign w:val="bottom"/>
            <w:tcBorders>
              <w:bottom w:val="single" w:sz="8" w:color="98BDE2"/>
            </w:tcBorders>
          </w:tcPr>
          <w:p>
            <w:pPr>
              <w:spacing w:after="0"/>
              <w:rPr>
                <w:sz w:val="11"/>
                <w:szCs w:val="11"/>
                <w:color w:val="auto"/>
              </w:rPr>
            </w:pPr>
          </w:p>
        </w:tc>
        <w:tc>
          <w:tcPr>
            <w:tcW w:w="660" w:type="dxa"/>
            <w:vAlign w:val="bottom"/>
            <w:tcBorders>
              <w:bottom w:val="single" w:sz="8" w:color="98BDE2"/>
            </w:tcBorders>
          </w:tcPr>
          <w:p>
            <w:pPr>
              <w:spacing w:after="0"/>
              <w:rPr>
                <w:sz w:val="11"/>
                <w:szCs w:val="11"/>
                <w:color w:val="auto"/>
              </w:rPr>
            </w:pPr>
          </w:p>
        </w:tc>
        <w:tc>
          <w:tcPr>
            <w:tcW w:w="1040" w:type="dxa"/>
            <w:vAlign w:val="bottom"/>
            <w:tcBorders>
              <w:bottom w:val="single" w:sz="8" w:color="98BDE2"/>
            </w:tcBorders>
          </w:tcPr>
          <w:p>
            <w:pPr>
              <w:spacing w:after="0"/>
              <w:rPr>
                <w:sz w:val="11"/>
                <w:szCs w:val="11"/>
                <w:color w:val="auto"/>
              </w:rPr>
            </w:pPr>
          </w:p>
        </w:tc>
        <w:tc>
          <w:tcPr>
            <w:tcW w:w="1380" w:type="dxa"/>
            <w:vAlign w:val="bottom"/>
            <w:tcBorders>
              <w:bottom w:val="single" w:sz="8" w:color="98BDE2"/>
            </w:tcBorders>
          </w:tcPr>
          <w:p>
            <w:pPr>
              <w:spacing w:after="0"/>
              <w:rPr>
                <w:sz w:val="11"/>
                <w:szCs w:val="11"/>
                <w:color w:val="auto"/>
              </w:rPr>
            </w:pPr>
          </w:p>
        </w:tc>
        <w:tc>
          <w:tcPr>
            <w:tcW w:w="1640" w:type="dxa"/>
            <w:vAlign w:val="bottom"/>
            <w:tcBorders>
              <w:bottom w:val="single" w:sz="8" w:color="98BDE2"/>
            </w:tcBorders>
          </w:tcPr>
          <w:p>
            <w:pPr>
              <w:spacing w:after="0"/>
              <w:rPr>
                <w:sz w:val="11"/>
                <w:szCs w:val="11"/>
                <w:color w:val="auto"/>
              </w:rPr>
            </w:pPr>
          </w:p>
        </w:tc>
        <w:tc>
          <w:tcPr>
            <w:tcW w:w="1460" w:type="dxa"/>
            <w:vAlign w:val="bottom"/>
            <w:tcBorders>
              <w:bottom w:val="single" w:sz="8" w:color="98BDE2"/>
            </w:tcBorders>
          </w:tcPr>
          <w:p>
            <w:pPr>
              <w:spacing w:after="0"/>
              <w:rPr>
                <w:sz w:val="11"/>
                <w:szCs w:val="11"/>
                <w:color w:val="auto"/>
              </w:rPr>
            </w:pPr>
          </w:p>
        </w:tc>
        <w:tc>
          <w:tcPr>
            <w:tcW w:w="880" w:type="dxa"/>
            <w:vAlign w:val="bottom"/>
            <w:tcBorders>
              <w:bottom w:val="single" w:sz="8" w:color="98BDE2"/>
            </w:tcBorders>
          </w:tcPr>
          <w:p>
            <w:pPr>
              <w:spacing w:after="0"/>
              <w:rPr>
                <w:sz w:val="11"/>
                <w:szCs w:val="11"/>
                <w:color w:val="auto"/>
              </w:rPr>
            </w:pPr>
          </w:p>
        </w:tc>
        <w:tc>
          <w:tcPr>
            <w:tcW w:w="100" w:type="dxa"/>
            <w:vAlign w:val="bottom"/>
            <w:tcBorders>
              <w:bottom w:val="single" w:sz="8" w:color="98BDE2"/>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2200" w:type="dxa"/>
            <w:vAlign w:val="bottom"/>
            <w:vMerge w:val="continue"/>
            <w:shd w:val="clear" w:color="auto" w:fill="F3EFE9"/>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32E5C"/>
              </w:rPr>
              <w:t>2023</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032E5C"/>
              </w:rPr>
              <w:t>1,050,769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032E5C"/>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032E5C"/>
              </w:rPr>
              <w:t>2,384,820</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032E5C"/>
              </w:rPr>
              <w:t>2,384,996</w:t>
            </w:r>
          </w:p>
        </w:tc>
        <w:tc>
          <w:tcPr>
            <w:tcW w:w="1640" w:type="dxa"/>
            <w:vAlign w:val="bottom"/>
            <w:vMerge w:val="restart"/>
          </w:tcPr>
          <w:p>
            <w:pPr>
              <w:jc w:val="right"/>
              <w:ind w:right="170"/>
              <w:spacing w:after="0"/>
              <w:rPr>
                <w:sz w:val="20"/>
                <w:szCs w:val="20"/>
                <w:color w:val="auto"/>
              </w:rPr>
            </w:pPr>
            <w:r>
              <w:rPr>
                <w:rFonts w:ascii="Arial" w:cs="Arial" w:eastAsia="Arial" w:hAnsi="Arial"/>
                <w:sz w:val="14"/>
                <w:szCs w:val="14"/>
                <w:color w:val="032E5C"/>
              </w:rPr>
              <w:t>331,250</w:t>
            </w:r>
          </w:p>
        </w:tc>
        <w:tc>
          <w:tcPr>
            <w:tcW w:w="1460" w:type="dxa"/>
            <w:vAlign w:val="bottom"/>
            <w:vMerge w:val="restart"/>
          </w:tcPr>
          <w:p>
            <w:pPr>
              <w:jc w:val="right"/>
              <w:ind w:right="170"/>
              <w:spacing w:after="0"/>
              <w:rPr>
                <w:sz w:val="20"/>
                <w:szCs w:val="20"/>
                <w:color w:val="auto"/>
              </w:rPr>
            </w:pPr>
            <w:r>
              <w:rPr>
                <w:rFonts w:ascii="Arial" w:cs="Arial" w:eastAsia="Arial" w:hAnsi="Arial"/>
                <w:sz w:val="14"/>
                <w:szCs w:val="14"/>
                <w:color w:val="032E5C"/>
              </w:rPr>
              <w:t>43,467</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32E5C"/>
              </w:rPr>
              <w:t>6,195,302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80" w:type="dxa"/>
            <w:vAlign w:val="bottom"/>
            <w:shd w:val="clear" w:color="auto" w:fill="F3EFE9"/>
          </w:tcPr>
          <w:p>
            <w:pPr>
              <w:spacing w:after="0"/>
              <w:rPr>
                <w:sz w:val="9"/>
                <w:szCs w:val="9"/>
                <w:color w:val="auto"/>
              </w:rPr>
            </w:pPr>
          </w:p>
        </w:tc>
        <w:tc>
          <w:tcPr>
            <w:tcW w:w="2200" w:type="dxa"/>
            <w:vAlign w:val="bottom"/>
            <w:vMerge w:val="restart"/>
            <w:shd w:val="clear" w:color="auto" w:fill="F3EFE9"/>
          </w:tcPr>
          <w:p>
            <w:pPr>
              <w:ind w:left="20"/>
              <w:spacing w:after="0"/>
              <w:rPr>
                <w:sz w:val="20"/>
                <w:szCs w:val="20"/>
                <w:color w:val="auto"/>
              </w:rPr>
            </w:pPr>
            <w:r>
              <w:rPr>
                <w:rFonts w:ascii="Arial" w:cs="Arial" w:eastAsia="Arial" w:hAnsi="Arial"/>
                <w:sz w:val="14"/>
                <w:szCs w:val="14"/>
                <w:color w:val="032E5C"/>
              </w:rPr>
              <w:t>Chief Executive Officer</w:t>
            </w:r>
          </w:p>
        </w:tc>
        <w:tc>
          <w:tcPr>
            <w:tcW w:w="7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F3EFE9"/>
          </w:tcPr>
          <w:p>
            <w:pPr>
              <w:spacing w:after="0"/>
              <w:rPr>
                <w:sz w:val="7"/>
                <w:szCs w:val="7"/>
                <w:color w:val="auto"/>
              </w:rPr>
            </w:pPr>
          </w:p>
        </w:tc>
        <w:tc>
          <w:tcPr>
            <w:tcW w:w="2200" w:type="dxa"/>
            <w:vAlign w:val="bottom"/>
            <w:vMerge w:val="continue"/>
            <w:shd w:val="clear" w:color="auto" w:fill="F3EFE9"/>
          </w:tcPr>
          <w:p>
            <w:pPr>
              <w:spacing w:after="0"/>
              <w:rPr>
                <w:sz w:val="7"/>
                <w:szCs w:val="7"/>
                <w:color w:val="auto"/>
              </w:rPr>
            </w:pPr>
          </w:p>
        </w:tc>
        <w:tc>
          <w:tcPr>
            <w:tcW w:w="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F3EFE9"/>
            </w:tcBorders>
            <w:shd w:val="clear" w:color="auto" w:fill="F3EFE9"/>
          </w:tcPr>
          <w:p>
            <w:pPr>
              <w:spacing w:after="0"/>
              <w:rPr>
                <w:sz w:val="3"/>
                <w:szCs w:val="3"/>
                <w:color w:val="auto"/>
              </w:rPr>
            </w:pPr>
          </w:p>
        </w:tc>
        <w:tc>
          <w:tcPr>
            <w:tcW w:w="2200" w:type="dxa"/>
            <w:vAlign w:val="bottom"/>
            <w:tcBorders>
              <w:bottom w:val="single" w:sz="8" w:color="F3EFE9"/>
            </w:tcBorders>
            <w:shd w:val="clear" w:color="auto" w:fill="F3EFE9"/>
          </w:tcPr>
          <w:p>
            <w:pPr>
              <w:spacing w:after="0"/>
              <w:rPr>
                <w:sz w:val="3"/>
                <w:szCs w:val="3"/>
                <w:color w:val="auto"/>
              </w:rPr>
            </w:pPr>
          </w:p>
        </w:tc>
        <w:tc>
          <w:tcPr>
            <w:tcW w:w="720" w:type="dxa"/>
            <w:vAlign w:val="bottom"/>
            <w:tcBorders>
              <w:bottom w:val="single" w:sz="8" w:color="98BDE2"/>
            </w:tcBorders>
          </w:tcPr>
          <w:p>
            <w:pPr>
              <w:spacing w:after="0"/>
              <w:rPr>
                <w:sz w:val="3"/>
                <w:szCs w:val="3"/>
                <w:color w:val="auto"/>
              </w:rPr>
            </w:pPr>
          </w:p>
        </w:tc>
        <w:tc>
          <w:tcPr>
            <w:tcW w:w="1080" w:type="dxa"/>
            <w:vAlign w:val="bottom"/>
            <w:tcBorders>
              <w:bottom w:val="single" w:sz="8" w:color="98BDE2"/>
            </w:tcBorders>
          </w:tcPr>
          <w:p>
            <w:pPr>
              <w:spacing w:after="0"/>
              <w:rPr>
                <w:sz w:val="3"/>
                <w:szCs w:val="3"/>
                <w:color w:val="auto"/>
              </w:rPr>
            </w:pPr>
          </w:p>
        </w:tc>
        <w:tc>
          <w:tcPr>
            <w:tcW w:w="660" w:type="dxa"/>
            <w:vAlign w:val="bottom"/>
            <w:tcBorders>
              <w:bottom w:val="single" w:sz="8" w:color="98BDE2"/>
            </w:tcBorders>
          </w:tcPr>
          <w:p>
            <w:pPr>
              <w:spacing w:after="0"/>
              <w:rPr>
                <w:sz w:val="3"/>
                <w:szCs w:val="3"/>
                <w:color w:val="auto"/>
              </w:rPr>
            </w:pPr>
          </w:p>
        </w:tc>
        <w:tc>
          <w:tcPr>
            <w:tcW w:w="1040" w:type="dxa"/>
            <w:vAlign w:val="bottom"/>
            <w:tcBorders>
              <w:bottom w:val="single" w:sz="8" w:color="98BDE2"/>
            </w:tcBorders>
          </w:tcPr>
          <w:p>
            <w:pPr>
              <w:spacing w:after="0"/>
              <w:rPr>
                <w:sz w:val="3"/>
                <w:szCs w:val="3"/>
                <w:color w:val="auto"/>
              </w:rPr>
            </w:pPr>
          </w:p>
        </w:tc>
        <w:tc>
          <w:tcPr>
            <w:tcW w:w="1380" w:type="dxa"/>
            <w:vAlign w:val="bottom"/>
            <w:tcBorders>
              <w:bottom w:val="single" w:sz="8" w:color="98BDE2"/>
            </w:tcBorders>
          </w:tcPr>
          <w:p>
            <w:pPr>
              <w:spacing w:after="0"/>
              <w:rPr>
                <w:sz w:val="3"/>
                <w:szCs w:val="3"/>
                <w:color w:val="auto"/>
              </w:rPr>
            </w:pPr>
          </w:p>
        </w:tc>
        <w:tc>
          <w:tcPr>
            <w:tcW w:w="1640" w:type="dxa"/>
            <w:vAlign w:val="bottom"/>
            <w:tcBorders>
              <w:bottom w:val="single" w:sz="8" w:color="98BDE2"/>
            </w:tcBorders>
          </w:tcPr>
          <w:p>
            <w:pPr>
              <w:spacing w:after="0"/>
              <w:rPr>
                <w:sz w:val="3"/>
                <w:szCs w:val="3"/>
                <w:color w:val="auto"/>
              </w:rPr>
            </w:pPr>
          </w:p>
        </w:tc>
        <w:tc>
          <w:tcPr>
            <w:tcW w:w="1460" w:type="dxa"/>
            <w:vAlign w:val="bottom"/>
            <w:tcBorders>
              <w:bottom w:val="single" w:sz="8" w:color="98BDE2"/>
            </w:tcBorders>
          </w:tcPr>
          <w:p>
            <w:pPr>
              <w:spacing w:after="0"/>
              <w:rPr>
                <w:sz w:val="3"/>
                <w:szCs w:val="3"/>
                <w:color w:val="auto"/>
              </w:rPr>
            </w:pPr>
          </w:p>
        </w:tc>
        <w:tc>
          <w:tcPr>
            <w:tcW w:w="880" w:type="dxa"/>
            <w:vAlign w:val="bottom"/>
            <w:tcBorders>
              <w:bottom w:val="single" w:sz="8" w:color="98BDE2"/>
            </w:tcBorders>
          </w:tcPr>
          <w:p>
            <w:pPr>
              <w:spacing w:after="0"/>
              <w:rPr>
                <w:sz w:val="3"/>
                <w:szCs w:val="3"/>
                <w:color w:val="auto"/>
              </w:rPr>
            </w:pPr>
          </w:p>
        </w:tc>
        <w:tc>
          <w:tcPr>
            <w:tcW w:w="100" w:type="dxa"/>
            <w:vAlign w:val="bottom"/>
            <w:tcBorders>
              <w:bottom w:val="single" w:sz="8" w:color="98BDE2"/>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80" w:type="dxa"/>
            <w:vAlign w:val="bottom"/>
            <w:shd w:val="clear" w:color="auto" w:fill="F3EFE9"/>
          </w:tcPr>
          <w:p>
            <w:pPr>
              <w:spacing w:after="0"/>
              <w:rPr>
                <w:sz w:val="24"/>
                <w:szCs w:val="24"/>
                <w:color w:val="auto"/>
              </w:rPr>
            </w:pPr>
          </w:p>
        </w:tc>
        <w:tc>
          <w:tcPr>
            <w:tcW w:w="2200" w:type="dxa"/>
            <w:vAlign w:val="bottom"/>
            <w:shd w:val="clear" w:color="auto" w:fill="F3EFE9"/>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32E5C"/>
              </w:rPr>
              <w:t>2022</w:t>
            </w:r>
          </w:p>
        </w:tc>
        <w:tc>
          <w:tcPr>
            <w:tcW w:w="1080" w:type="dxa"/>
            <w:vAlign w:val="bottom"/>
          </w:tcPr>
          <w:p>
            <w:pPr>
              <w:jc w:val="right"/>
              <w:ind w:right="68"/>
              <w:spacing w:after="0"/>
              <w:rPr>
                <w:sz w:val="20"/>
                <w:szCs w:val="20"/>
                <w:color w:val="auto"/>
              </w:rPr>
            </w:pPr>
            <w:r>
              <w:rPr>
                <w:rFonts w:ascii="Arial" w:cs="Arial" w:eastAsia="Arial" w:hAnsi="Arial"/>
                <w:sz w:val="14"/>
                <w:szCs w:val="14"/>
                <w:color w:val="032E5C"/>
              </w:rPr>
              <w:t>885,999</w:t>
            </w:r>
          </w:p>
        </w:tc>
        <w:tc>
          <w:tcPr>
            <w:tcW w:w="660" w:type="dxa"/>
            <w:vAlign w:val="bottom"/>
          </w:tcPr>
          <w:p>
            <w:pPr>
              <w:jc w:val="right"/>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2,249,991</w:t>
            </w:r>
          </w:p>
        </w:tc>
        <w:tc>
          <w:tcPr>
            <w:tcW w:w="1380" w:type="dxa"/>
            <w:vAlign w:val="bottom"/>
          </w:tcPr>
          <w:p>
            <w:pPr>
              <w:jc w:val="right"/>
              <w:spacing w:after="0"/>
              <w:rPr>
                <w:sz w:val="20"/>
                <w:szCs w:val="20"/>
                <w:color w:val="auto"/>
              </w:rPr>
            </w:pPr>
            <w:r>
              <w:rPr>
                <w:rFonts w:ascii="Arial" w:cs="Arial" w:eastAsia="Arial" w:hAnsi="Arial"/>
                <w:sz w:val="14"/>
                <w:szCs w:val="14"/>
                <w:color w:val="032E5C"/>
              </w:rPr>
              <w:t>2,249,981</w:t>
            </w:r>
          </w:p>
        </w:tc>
        <w:tc>
          <w:tcPr>
            <w:tcW w:w="1640" w:type="dxa"/>
            <w:vAlign w:val="bottom"/>
          </w:tcPr>
          <w:p>
            <w:pPr>
              <w:jc w:val="right"/>
              <w:ind w:right="170"/>
              <w:spacing w:after="0"/>
              <w:rPr>
                <w:sz w:val="20"/>
                <w:szCs w:val="20"/>
                <w:color w:val="auto"/>
              </w:rPr>
            </w:pPr>
            <w:r>
              <w:rPr>
                <w:rFonts w:ascii="Arial" w:cs="Arial" w:eastAsia="Arial" w:hAnsi="Arial"/>
                <w:sz w:val="14"/>
                <w:szCs w:val="14"/>
                <w:color w:val="032E5C"/>
              </w:rPr>
              <w:t>1,188,300</w:t>
            </w:r>
          </w:p>
        </w:tc>
        <w:tc>
          <w:tcPr>
            <w:tcW w:w="1460" w:type="dxa"/>
            <w:vAlign w:val="bottom"/>
          </w:tcPr>
          <w:p>
            <w:pPr>
              <w:jc w:val="right"/>
              <w:ind w:right="170"/>
              <w:spacing w:after="0"/>
              <w:rPr>
                <w:sz w:val="20"/>
                <w:szCs w:val="20"/>
                <w:color w:val="auto"/>
              </w:rPr>
            </w:pPr>
            <w:r>
              <w:rPr>
                <w:rFonts w:ascii="Arial" w:cs="Arial" w:eastAsia="Arial" w:hAnsi="Arial"/>
                <w:sz w:val="14"/>
                <w:szCs w:val="14"/>
                <w:color w:val="032E5C"/>
              </w:rPr>
              <w:t>35,357</w:t>
            </w:r>
          </w:p>
        </w:tc>
        <w:tc>
          <w:tcPr>
            <w:tcW w:w="880" w:type="dxa"/>
            <w:vAlign w:val="bottom"/>
          </w:tcPr>
          <w:p>
            <w:pPr>
              <w:jc w:val="right"/>
              <w:spacing w:after="0"/>
              <w:rPr>
                <w:sz w:val="20"/>
                <w:szCs w:val="20"/>
                <w:color w:val="auto"/>
              </w:rPr>
            </w:pPr>
            <w:r>
              <w:rPr>
                <w:rFonts w:ascii="Arial" w:cs="Arial" w:eastAsia="Arial" w:hAnsi="Arial"/>
                <w:sz w:val="14"/>
                <w:szCs w:val="14"/>
                <w:color w:val="032E5C"/>
              </w:rPr>
              <w:t>6,609,628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98BDE2"/>
            </w:tcBorders>
            <w:shd w:val="clear" w:color="auto" w:fill="F3EFE9"/>
          </w:tcPr>
          <w:p>
            <w:pPr>
              <w:spacing w:after="0"/>
              <w:rPr>
                <w:sz w:val="10"/>
                <w:szCs w:val="10"/>
                <w:color w:val="auto"/>
              </w:rPr>
            </w:pPr>
          </w:p>
        </w:tc>
        <w:tc>
          <w:tcPr>
            <w:tcW w:w="2200" w:type="dxa"/>
            <w:vAlign w:val="bottom"/>
            <w:tcBorders>
              <w:bottom w:val="single" w:sz="8" w:color="98BDE2"/>
            </w:tcBorders>
            <w:shd w:val="clear" w:color="auto" w:fill="F3EFE9"/>
          </w:tcPr>
          <w:p>
            <w:pPr>
              <w:spacing w:after="0"/>
              <w:rPr>
                <w:sz w:val="10"/>
                <w:szCs w:val="10"/>
                <w:color w:val="auto"/>
              </w:rPr>
            </w:pPr>
          </w:p>
        </w:tc>
        <w:tc>
          <w:tcPr>
            <w:tcW w:w="720" w:type="dxa"/>
            <w:vAlign w:val="bottom"/>
            <w:tcBorders>
              <w:bottom w:val="single" w:sz="8" w:color="98BDE2"/>
            </w:tcBorders>
          </w:tcPr>
          <w:p>
            <w:pPr>
              <w:spacing w:after="0"/>
              <w:rPr>
                <w:sz w:val="10"/>
                <w:szCs w:val="10"/>
                <w:color w:val="auto"/>
              </w:rPr>
            </w:pPr>
          </w:p>
        </w:tc>
        <w:tc>
          <w:tcPr>
            <w:tcW w:w="1080" w:type="dxa"/>
            <w:vAlign w:val="bottom"/>
            <w:tcBorders>
              <w:bottom w:val="single" w:sz="8" w:color="98BDE2"/>
            </w:tcBorders>
          </w:tcPr>
          <w:p>
            <w:pPr>
              <w:spacing w:after="0"/>
              <w:rPr>
                <w:sz w:val="10"/>
                <w:szCs w:val="10"/>
                <w:color w:val="auto"/>
              </w:rPr>
            </w:pPr>
          </w:p>
        </w:tc>
        <w:tc>
          <w:tcPr>
            <w:tcW w:w="660" w:type="dxa"/>
            <w:vAlign w:val="bottom"/>
            <w:tcBorders>
              <w:bottom w:val="single" w:sz="8" w:color="98BDE2"/>
            </w:tcBorders>
          </w:tcPr>
          <w:p>
            <w:pPr>
              <w:spacing w:after="0"/>
              <w:rPr>
                <w:sz w:val="10"/>
                <w:szCs w:val="10"/>
                <w:color w:val="auto"/>
              </w:rPr>
            </w:pPr>
          </w:p>
        </w:tc>
        <w:tc>
          <w:tcPr>
            <w:tcW w:w="1040" w:type="dxa"/>
            <w:vAlign w:val="bottom"/>
            <w:tcBorders>
              <w:bottom w:val="single" w:sz="8" w:color="98BDE2"/>
            </w:tcBorders>
          </w:tcPr>
          <w:p>
            <w:pPr>
              <w:spacing w:after="0"/>
              <w:rPr>
                <w:sz w:val="10"/>
                <w:szCs w:val="10"/>
                <w:color w:val="auto"/>
              </w:rPr>
            </w:pPr>
          </w:p>
        </w:tc>
        <w:tc>
          <w:tcPr>
            <w:tcW w:w="1380" w:type="dxa"/>
            <w:vAlign w:val="bottom"/>
            <w:tcBorders>
              <w:bottom w:val="single" w:sz="8" w:color="98BDE2"/>
            </w:tcBorders>
          </w:tcPr>
          <w:p>
            <w:pPr>
              <w:spacing w:after="0"/>
              <w:rPr>
                <w:sz w:val="10"/>
                <w:szCs w:val="10"/>
                <w:color w:val="auto"/>
              </w:rPr>
            </w:pPr>
          </w:p>
        </w:tc>
        <w:tc>
          <w:tcPr>
            <w:tcW w:w="1640" w:type="dxa"/>
            <w:vAlign w:val="bottom"/>
            <w:tcBorders>
              <w:bottom w:val="single" w:sz="8" w:color="98BDE2"/>
            </w:tcBorders>
          </w:tcPr>
          <w:p>
            <w:pPr>
              <w:spacing w:after="0"/>
              <w:rPr>
                <w:sz w:val="10"/>
                <w:szCs w:val="10"/>
                <w:color w:val="auto"/>
              </w:rPr>
            </w:pPr>
          </w:p>
        </w:tc>
        <w:tc>
          <w:tcPr>
            <w:tcW w:w="1460" w:type="dxa"/>
            <w:vAlign w:val="bottom"/>
            <w:tcBorders>
              <w:bottom w:val="single" w:sz="8" w:color="98BDE2"/>
            </w:tcBorders>
          </w:tcPr>
          <w:p>
            <w:pPr>
              <w:spacing w:after="0"/>
              <w:rPr>
                <w:sz w:val="10"/>
                <w:szCs w:val="10"/>
                <w:color w:val="auto"/>
              </w:rPr>
            </w:pPr>
          </w:p>
        </w:tc>
        <w:tc>
          <w:tcPr>
            <w:tcW w:w="880" w:type="dxa"/>
            <w:vAlign w:val="bottom"/>
            <w:tcBorders>
              <w:bottom w:val="single" w:sz="8" w:color="98BDE2"/>
            </w:tcBorders>
          </w:tcPr>
          <w:p>
            <w:pPr>
              <w:spacing w:after="0"/>
              <w:rPr>
                <w:sz w:val="10"/>
                <w:szCs w:val="10"/>
                <w:color w:val="auto"/>
              </w:rPr>
            </w:pPr>
          </w:p>
        </w:tc>
        <w:tc>
          <w:tcPr>
            <w:tcW w:w="100" w:type="dxa"/>
            <w:vAlign w:val="bottom"/>
            <w:tcBorders>
              <w:bottom w:val="single" w:sz="8" w:color="98BDE2"/>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80" w:type="dxa"/>
            <w:vAlign w:val="bottom"/>
            <w:shd w:val="clear" w:color="auto" w:fill="F3EFE9"/>
          </w:tcPr>
          <w:p>
            <w:pPr>
              <w:spacing w:after="0"/>
              <w:rPr>
                <w:sz w:val="24"/>
                <w:szCs w:val="24"/>
                <w:color w:val="auto"/>
              </w:rPr>
            </w:pPr>
          </w:p>
        </w:tc>
        <w:tc>
          <w:tcPr>
            <w:tcW w:w="2200" w:type="dxa"/>
            <w:vAlign w:val="bottom"/>
            <w:shd w:val="clear" w:color="auto" w:fill="F3EFE9"/>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32E5C"/>
              </w:rPr>
              <w:t>2024</w:t>
            </w:r>
          </w:p>
        </w:tc>
        <w:tc>
          <w:tcPr>
            <w:tcW w:w="1080" w:type="dxa"/>
            <w:vAlign w:val="bottom"/>
          </w:tcPr>
          <w:p>
            <w:pPr>
              <w:jc w:val="right"/>
              <w:ind w:right="68"/>
              <w:spacing w:after="0"/>
              <w:rPr>
                <w:sz w:val="20"/>
                <w:szCs w:val="20"/>
                <w:color w:val="auto"/>
              </w:rPr>
            </w:pPr>
            <w:r>
              <w:rPr>
                <w:rFonts w:ascii="Arial" w:cs="Arial" w:eastAsia="Arial" w:hAnsi="Arial"/>
                <w:sz w:val="14"/>
                <w:szCs w:val="14"/>
                <w:color w:val="032E5C"/>
              </w:rPr>
              <w:t>1,086,908</w:t>
            </w:r>
          </w:p>
        </w:tc>
        <w:tc>
          <w:tcPr>
            <w:tcW w:w="660" w:type="dxa"/>
            <w:vAlign w:val="bottom"/>
          </w:tcPr>
          <w:p>
            <w:pPr>
              <w:jc w:val="right"/>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545,766</w:t>
            </w:r>
          </w:p>
        </w:tc>
        <w:tc>
          <w:tcPr>
            <w:tcW w:w="1380" w:type="dxa"/>
            <w:vAlign w:val="bottom"/>
          </w:tcPr>
          <w:p>
            <w:pPr>
              <w:jc w:val="right"/>
              <w:spacing w:after="0"/>
              <w:rPr>
                <w:sz w:val="20"/>
                <w:szCs w:val="20"/>
                <w:color w:val="auto"/>
              </w:rPr>
            </w:pPr>
            <w:r>
              <w:rPr>
                <w:rFonts w:ascii="Arial" w:cs="Arial" w:eastAsia="Arial" w:hAnsi="Arial"/>
                <w:sz w:val="14"/>
                <w:szCs w:val="14"/>
                <w:color w:val="032E5C"/>
              </w:rPr>
              <w:t>545,895</w:t>
            </w:r>
          </w:p>
        </w:tc>
        <w:tc>
          <w:tcPr>
            <w:tcW w:w="1640" w:type="dxa"/>
            <w:vAlign w:val="bottom"/>
          </w:tcPr>
          <w:p>
            <w:pPr>
              <w:jc w:val="right"/>
              <w:ind w:right="170"/>
              <w:spacing w:after="0"/>
              <w:rPr>
                <w:sz w:val="20"/>
                <w:szCs w:val="20"/>
                <w:color w:val="auto"/>
              </w:rPr>
            </w:pPr>
            <w:r>
              <w:rPr>
                <w:rFonts w:ascii="Arial" w:cs="Arial" w:eastAsia="Arial" w:hAnsi="Arial"/>
                <w:sz w:val="14"/>
                <w:szCs w:val="14"/>
                <w:color w:val="032E5C"/>
              </w:rPr>
              <w:t>—</w:t>
            </w:r>
          </w:p>
        </w:tc>
        <w:tc>
          <w:tcPr>
            <w:tcW w:w="1460" w:type="dxa"/>
            <w:vAlign w:val="bottom"/>
          </w:tcPr>
          <w:p>
            <w:pPr>
              <w:jc w:val="right"/>
              <w:ind w:right="170"/>
              <w:spacing w:after="0"/>
              <w:rPr>
                <w:sz w:val="20"/>
                <w:szCs w:val="20"/>
                <w:color w:val="auto"/>
              </w:rPr>
            </w:pPr>
            <w:r>
              <w:rPr>
                <w:rFonts w:ascii="Arial" w:cs="Arial" w:eastAsia="Arial" w:hAnsi="Arial"/>
                <w:sz w:val="14"/>
                <w:szCs w:val="14"/>
                <w:color w:val="032E5C"/>
              </w:rPr>
              <w:t>23,501</w:t>
            </w:r>
          </w:p>
        </w:tc>
        <w:tc>
          <w:tcPr>
            <w:tcW w:w="880" w:type="dxa"/>
            <w:vAlign w:val="bottom"/>
          </w:tcPr>
          <w:p>
            <w:pPr>
              <w:jc w:val="right"/>
              <w:spacing w:after="0"/>
              <w:rPr>
                <w:sz w:val="20"/>
                <w:szCs w:val="20"/>
                <w:color w:val="auto"/>
              </w:rPr>
            </w:pPr>
            <w:r>
              <w:rPr>
                <w:rFonts w:ascii="Arial" w:cs="Arial" w:eastAsia="Arial" w:hAnsi="Arial"/>
                <w:sz w:val="14"/>
                <w:szCs w:val="14"/>
                <w:color w:val="032E5C"/>
              </w:rPr>
              <w:t>2,202,070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F3EFE9"/>
            </w:tcBorders>
            <w:shd w:val="clear" w:color="auto" w:fill="F3EFE9"/>
          </w:tcPr>
          <w:p>
            <w:pPr>
              <w:spacing w:after="0"/>
              <w:rPr>
                <w:sz w:val="10"/>
                <w:szCs w:val="10"/>
                <w:color w:val="auto"/>
              </w:rPr>
            </w:pPr>
          </w:p>
        </w:tc>
        <w:tc>
          <w:tcPr>
            <w:tcW w:w="220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720" w:type="dxa"/>
            <w:vAlign w:val="bottom"/>
            <w:tcBorders>
              <w:bottom w:val="single" w:sz="8" w:color="98BDE2"/>
            </w:tcBorders>
          </w:tcPr>
          <w:p>
            <w:pPr>
              <w:spacing w:after="0"/>
              <w:rPr>
                <w:sz w:val="10"/>
                <w:szCs w:val="10"/>
                <w:color w:val="auto"/>
              </w:rPr>
            </w:pPr>
          </w:p>
        </w:tc>
        <w:tc>
          <w:tcPr>
            <w:tcW w:w="1080" w:type="dxa"/>
            <w:vAlign w:val="bottom"/>
            <w:tcBorders>
              <w:bottom w:val="single" w:sz="8" w:color="98BDE2"/>
            </w:tcBorders>
          </w:tcPr>
          <w:p>
            <w:pPr>
              <w:spacing w:after="0"/>
              <w:rPr>
                <w:sz w:val="10"/>
                <w:szCs w:val="10"/>
                <w:color w:val="auto"/>
              </w:rPr>
            </w:pPr>
          </w:p>
        </w:tc>
        <w:tc>
          <w:tcPr>
            <w:tcW w:w="660" w:type="dxa"/>
            <w:vAlign w:val="bottom"/>
            <w:tcBorders>
              <w:bottom w:val="single" w:sz="8" w:color="98BDE2"/>
            </w:tcBorders>
          </w:tcPr>
          <w:p>
            <w:pPr>
              <w:spacing w:after="0"/>
              <w:rPr>
                <w:sz w:val="10"/>
                <w:szCs w:val="10"/>
                <w:color w:val="auto"/>
              </w:rPr>
            </w:pPr>
          </w:p>
        </w:tc>
        <w:tc>
          <w:tcPr>
            <w:tcW w:w="1040" w:type="dxa"/>
            <w:vAlign w:val="bottom"/>
            <w:tcBorders>
              <w:bottom w:val="single" w:sz="8" w:color="98BDE2"/>
            </w:tcBorders>
          </w:tcPr>
          <w:p>
            <w:pPr>
              <w:spacing w:after="0"/>
              <w:rPr>
                <w:sz w:val="10"/>
                <w:szCs w:val="10"/>
                <w:color w:val="auto"/>
              </w:rPr>
            </w:pPr>
          </w:p>
        </w:tc>
        <w:tc>
          <w:tcPr>
            <w:tcW w:w="1380" w:type="dxa"/>
            <w:vAlign w:val="bottom"/>
            <w:tcBorders>
              <w:bottom w:val="single" w:sz="8" w:color="98BDE2"/>
            </w:tcBorders>
          </w:tcPr>
          <w:p>
            <w:pPr>
              <w:spacing w:after="0"/>
              <w:rPr>
                <w:sz w:val="10"/>
                <w:szCs w:val="10"/>
                <w:color w:val="auto"/>
              </w:rPr>
            </w:pPr>
          </w:p>
        </w:tc>
        <w:tc>
          <w:tcPr>
            <w:tcW w:w="1640" w:type="dxa"/>
            <w:vAlign w:val="bottom"/>
            <w:tcBorders>
              <w:bottom w:val="single" w:sz="8" w:color="98BDE2"/>
            </w:tcBorders>
          </w:tcPr>
          <w:p>
            <w:pPr>
              <w:spacing w:after="0"/>
              <w:rPr>
                <w:sz w:val="10"/>
                <w:szCs w:val="10"/>
                <w:color w:val="auto"/>
              </w:rPr>
            </w:pPr>
          </w:p>
        </w:tc>
        <w:tc>
          <w:tcPr>
            <w:tcW w:w="1460" w:type="dxa"/>
            <w:vAlign w:val="bottom"/>
            <w:tcBorders>
              <w:bottom w:val="single" w:sz="8" w:color="98BDE2"/>
            </w:tcBorders>
          </w:tcPr>
          <w:p>
            <w:pPr>
              <w:spacing w:after="0"/>
              <w:rPr>
                <w:sz w:val="10"/>
                <w:szCs w:val="10"/>
                <w:color w:val="auto"/>
              </w:rPr>
            </w:pPr>
          </w:p>
        </w:tc>
        <w:tc>
          <w:tcPr>
            <w:tcW w:w="880" w:type="dxa"/>
            <w:vAlign w:val="bottom"/>
            <w:tcBorders>
              <w:bottom w:val="single" w:sz="8" w:color="98BDE2"/>
            </w:tcBorders>
          </w:tcPr>
          <w:p>
            <w:pPr>
              <w:spacing w:after="0"/>
              <w:rPr>
                <w:sz w:val="10"/>
                <w:szCs w:val="10"/>
                <w:color w:val="auto"/>
              </w:rPr>
            </w:pPr>
          </w:p>
        </w:tc>
        <w:tc>
          <w:tcPr>
            <w:tcW w:w="100" w:type="dxa"/>
            <w:vAlign w:val="bottom"/>
            <w:tcBorders>
              <w:bottom w:val="single" w:sz="8" w:color="98BDE2"/>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80" w:type="dxa"/>
            <w:vAlign w:val="bottom"/>
            <w:shd w:val="clear" w:color="auto" w:fill="F3EFE9"/>
          </w:tcPr>
          <w:p>
            <w:pPr>
              <w:spacing w:after="0"/>
              <w:rPr>
                <w:sz w:val="9"/>
                <w:szCs w:val="9"/>
                <w:color w:val="auto"/>
              </w:rPr>
            </w:pPr>
          </w:p>
        </w:tc>
        <w:tc>
          <w:tcPr>
            <w:tcW w:w="2200" w:type="dxa"/>
            <w:vAlign w:val="bottom"/>
            <w:vMerge w:val="continue"/>
            <w:shd w:val="clear" w:color="auto" w:fill="F3EFE9"/>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F3EFE9"/>
          </w:tcPr>
          <w:p>
            <w:pPr>
              <w:spacing w:after="0"/>
              <w:rPr>
                <w:sz w:val="15"/>
                <w:szCs w:val="15"/>
                <w:color w:val="auto"/>
              </w:rPr>
            </w:pPr>
          </w:p>
        </w:tc>
        <w:tc>
          <w:tcPr>
            <w:tcW w:w="220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Executive Chairperson and</w:t>
            </w:r>
          </w:p>
        </w:tc>
        <w:tc>
          <w:tcPr>
            <w:tcW w:w="720" w:type="dxa"/>
            <w:vAlign w:val="bottom"/>
          </w:tcPr>
          <w:p>
            <w:pPr>
              <w:jc w:val="center"/>
              <w:spacing w:after="0"/>
              <w:rPr>
                <w:sz w:val="20"/>
                <w:szCs w:val="20"/>
                <w:color w:val="auto"/>
              </w:rPr>
            </w:pPr>
            <w:r>
              <w:rPr>
                <w:rFonts w:ascii="Arial" w:cs="Arial" w:eastAsia="Arial" w:hAnsi="Arial"/>
                <w:sz w:val="14"/>
                <w:szCs w:val="14"/>
                <w:color w:val="032E5C"/>
              </w:rPr>
              <w:t>2023</w:t>
            </w:r>
          </w:p>
        </w:tc>
        <w:tc>
          <w:tcPr>
            <w:tcW w:w="1080" w:type="dxa"/>
            <w:vAlign w:val="bottom"/>
          </w:tcPr>
          <w:p>
            <w:pPr>
              <w:jc w:val="right"/>
              <w:ind w:right="68"/>
              <w:spacing w:after="0"/>
              <w:rPr>
                <w:sz w:val="20"/>
                <w:szCs w:val="20"/>
                <w:color w:val="auto"/>
              </w:rPr>
            </w:pPr>
            <w:r>
              <w:rPr>
                <w:rFonts w:ascii="Arial" w:cs="Arial" w:eastAsia="Arial" w:hAnsi="Arial"/>
                <w:sz w:val="14"/>
                <w:szCs w:val="14"/>
                <w:color w:val="032E5C"/>
              </w:rPr>
              <w:t>1,050,769</w:t>
            </w:r>
          </w:p>
        </w:tc>
        <w:tc>
          <w:tcPr>
            <w:tcW w:w="660" w:type="dxa"/>
            <w:vAlign w:val="bottom"/>
          </w:tcPr>
          <w:p>
            <w:pPr>
              <w:jc w:val="right"/>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529,894</w:t>
            </w:r>
          </w:p>
        </w:tc>
        <w:tc>
          <w:tcPr>
            <w:tcW w:w="1380" w:type="dxa"/>
            <w:vAlign w:val="bottom"/>
          </w:tcPr>
          <w:p>
            <w:pPr>
              <w:jc w:val="right"/>
              <w:spacing w:after="0"/>
              <w:rPr>
                <w:sz w:val="20"/>
                <w:szCs w:val="20"/>
                <w:color w:val="auto"/>
              </w:rPr>
            </w:pPr>
            <w:r>
              <w:rPr>
                <w:rFonts w:ascii="Arial" w:cs="Arial" w:eastAsia="Arial" w:hAnsi="Arial"/>
                <w:sz w:val="14"/>
                <w:szCs w:val="14"/>
                <w:color w:val="032E5C"/>
              </w:rPr>
              <w:t>529,965</w:t>
            </w:r>
          </w:p>
        </w:tc>
        <w:tc>
          <w:tcPr>
            <w:tcW w:w="1640" w:type="dxa"/>
            <w:vAlign w:val="bottom"/>
          </w:tcPr>
          <w:p>
            <w:pPr>
              <w:jc w:val="right"/>
              <w:ind w:right="170"/>
              <w:spacing w:after="0"/>
              <w:rPr>
                <w:sz w:val="20"/>
                <w:szCs w:val="20"/>
                <w:color w:val="auto"/>
              </w:rPr>
            </w:pPr>
            <w:r>
              <w:rPr>
                <w:rFonts w:ascii="Arial" w:cs="Arial" w:eastAsia="Arial" w:hAnsi="Arial"/>
                <w:sz w:val="14"/>
                <w:szCs w:val="14"/>
                <w:color w:val="032E5C"/>
              </w:rPr>
              <w:t>—</w:t>
            </w:r>
          </w:p>
        </w:tc>
        <w:tc>
          <w:tcPr>
            <w:tcW w:w="1460" w:type="dxa"/>
            <w:vAlign w:val="bottom"/>
          </w:tcPr>
          <w:p>
            <w:pPr>
              <w:jc w:val="right"/>
              <w:ind w:right="170"/>
              <w:spacing w:after="0"/>
              <w:rPr>
                <w:sz w:val="20"/>
                <w:szCs w:val="20"/>
                <w:color w:val="auto"/>
              </w:rPr>
            </w:pPr>
            <w:r>
              <w:rPr>
                <w:rFonts w:ascii="Arial" w:cs="Arial" w:eastAsia="Arial" w:hAnsi="Arial"/>
                <w:sz w:val="14"/>
                <w:szCs w:val="14"/>
                <w:color w:val="032E5C"/>
              </w:rPr>
              <w:t>23,051</w:t>
            </w:r>
          </w:p>
        </w:tc>
        <w:tc>
          <w:tcPr>
            <w:tcW w:w="880" w:type="dxa"/>
            <w:vAlign w:val="bottom"/>
          </w:tcPr>
          <w:p>
            <w:pPr>
              <w:jc w:val="right"/>
              <w:spacing w:after="0"/>
              <w:rPr>
                <w:sz w:val="20"/>
                <w:szCs w:val="20"/>
                <w:color w:val="auto"/>
              </w:rPr>
            </w:pPr>
            <w:r>
              <w:rPr>
                <w:rFonts w:ascii="Arial" w:cs="Arial" w:eastAsia="Arial" w:hAnsi="Arial"/>
                <w:sz w:val="14"/>
                <w:szCs w:val="14"/>
                <w:color w:val="032E5C"/>
              </w:rPr>
              <w:t>2,133,679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F3EFE9"/>
            </w:tcBorders>
            <w:shd w:val="clear" w:color="auto" w:fill="F3EFE9"/>
          </w:tcPr>
          <w:p>
            <w:pPr>
              <w:spacing w:after="0"/>
              <w:rPr>
                <w:sz w:val="11"/>
                <w:szCs w:val="11"/>
                <w:color w:val="auto"/>
              </w:rPr>
            </w:pPr>
          </w:p>
        </w:tc>
        <w:tc>
          <w:tcPr>
            <w:tcW w:w="2200" w:type="dxa"/>
            <w:vAlign w:val="bottom"/>
            <w:tcBorders>
              <w:bottom w:val="single" w:sz="8" w:color="F3EFE9"/>
            </w:tcBorders>
            <w:shd w:val="clear" w:color="auto" w:fill="F3EFE9"/>
          </w:tcPr>
          <w:p>
            <w:pPr>
              <w:ind w:left="20"/>
              <w:spacing w:after="0" w:line="125" w:lineRule="exact"/>
              <w:rPr>
                <w:sz w:val="20"/>
                <w:szCs w:val="20"/>
                <w:color w:val="auto"/>
              </w:rPr>
            </w:pPr>
            <w:r>
              <w:rPr>
                <w:rFonts w:ascii="Arial" w:cs="Arial" w:eastAsia="Arial" w:hAnsi="Arial"/>
                <w:sz w:val="14"/>
                <w:szCs w:val="14"/>
                <w:color w:val="032E5C"/>
              </w:rPr>
              <w:t>Former Chief Executive Officer</w:t>
            </w:r>
          </w:p>
        </w:tc>
        <w:tc>
          <w:tcPr>
            <w:tcW w:w="720" w:type="dxa"/>
            <w:vAlign w:val="bottom"/>
            <w:tcBorders>
              <w:bottom w:val="single" w:sz="8" w:color="98BDE2"/>
            </w:tcBorders>
          </w:tcPr>
          <w:p>
            <w:pPr>
              <w:spacing w:after="0"/>
              <w:rPr>
                <w:sz w:val="11"/>
                <w:szCs w:val="11"/>
                <w:color w:val="auto"/>
              </w:rPr>
            </w:pPr>
          </w:p>
        </w:tc>
        <w:tc>
          <w:tcPr>
            <w:tcW w:w="1080" w:type="dxa"/>
            <w:vAlign w:val="bottom"/>
            <w:tcBorders>
              <w:bottom w:val="single" w:sz="8" w:color="98BDE2"/>
            </w:tcBorders>
          </w:tcPr>
          <w:p>
            <w:pPr>
              <w:spacing w:after="0"/>
              <w:rPr>
                <w:sz w:val="11"/>
                <w:szCs w:val="11"/>
                <w:color w:val="auto"/>
              </w:rPr>
            </w:pPr>
          </w:p>
        </w:tc>
        <w:tc>
          <w:tcPr>
            <w:tcW w:w="660" w:type="dxa"/>
            <w:vAlign w:val="bottom"/>
            <w:tcBorders>
              <w:bottom w:val="single" w:sz="8" w:color="98BDE2"/>
            </w:tcBorders>
          </w:tcPr>
          <w:p>
            <w:pPr>
              <w:spacing w:after="0"/>
              <w:rPr>
                <w:sz w:val="11"/>
                <w:szCs w:val="11"/>
                <w:color w:val="auto"/>
              </w:rPr>
            </w:pPr>
          </w:p>
        </w:tc>
        <w:tc>
          <w:tcPr>
            <w:tcW w:w="1040" w:type="dxa"/>
            <w:vAlign w:val="bottom"/>
            <w:tcBorders>
              <w:bottom w:val="single" w:sz="8" w:color="98BDE2"/>
            </w:tcBorders>
          </w:tcPr>
          <w:p>
            <w:pPr>
              <w:spacing w:after="0"/>
              <w:rPr>
                <w:sz w:val="11"/>
                <w:szCs w:val="11"/>
                <w:color w:val="auto"/>
              </w:rPr>
            </w:pPr>
          </w:p>
        </w:tc>
        <w:tc>
          <w:tcPr>
            <w:tcW w:w="1380" w:type="dxa"/>
            <w:vAlign w:val="bottom"/>
            <w:tcBorders>
              <w:bottom w:val="single" w:sz="8" w:color="98BDE2"/>
            </w:tcBorders>
          </w:tcPr>
          <w:p>
            <w:pPr>
              <w:spacing w:after="0"/>
              <w:rPr>
                <w:sz w:val="11"/>
                <w:szCs w:val="11"/>
                <w:color w:val="auto"/>
              </w:rPr>
            </w:pPr>
          </w:p>
        </w:tc>
        <w:tc>
          <w:tcPr>
            <w:tcW w:w="1640" w:type="dxa"/>
            <w:vAlign w:val="bottom"/>
            <w:tcBorders>
              <w:bottom w:val="single" w:sz="8" w:color="98BDE2"/>
            </w:tcBorders>
          </w:tcPr>
          <w:p>
            <w:pPr>
              <w:spacing w:after="0"/>
              <w:rPr>
                <w:sz w:val="11"/>
                <w:szCs w:val="11"/>
                <w:color w:val="auto"/>
              </w:rPr>
            </w:pPr>
          </w:p>
        </w:tc>
        <w:tc>
          <w:tcPr>
            <w:tcW w:w="1460" w:type="dxa"/>
            <w:vAlign w:val="bottom"/>
            <w:tcBorders>
              <w:bottom w:val="single" w:sz="8" w:color="98BDE2"/>
            </w:tcBorders>
          </w:tcPr>
          <w:p>
            <w:pPr>
              <w:spacing w:after="0"/>
              <w:rPr>
                <w:sz w:val="11"/>
                <w:szCs w:val="11"/>
                <w:color w:val="auto"/>
              </w:rPr>
            </w:pPr>
          </w:p>
        </w:tc>
        <w:tc>
          <w:tcPr>
            <w:tcW w:w="880" w:type="dxa"/>
            <w:vAlign w:val="bottom"/>
            <w:tcBorders>
              <w:bottom w:val="single" w:sz="8" w:color="98BDE2"/>
            </w:tcBorders>
          </w:tcPr>
          <w:p>
            <w:pPr>
              <w:spacing w:after="0"/>
              <w:rPr>
                <w:sz w:val="11"/>
                <w:szCs w:val="11"/>
                <w:color w:val="auto"/>
              </w:rPr>
            </w:pPr>
          </w:p>
        </w:tc>
        <w:tc>
          <w:tcPr>
            <w:tcW w:w="100" w:type="dxa"/>
            <w:vAlign w:val="bottom"/>
            <w:tcBorders>
              <w:bottom w:val="single" w:sz="8" w:color="98BDE2"/>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80" w:type="dxa"/>
            <w:vAlign w:val="bottom"/>
            <w:shd w:val="clear" w:color="auto" w:fill="F3EFE9"/>
          </w:tcPr>
          <w:p>
            <w:pPr>
              <w:spacing w:after="0"/>
              <w:rPr>
                <w:sz w:val="24"/>
                <w:szCs w:val="24"/>
                <w:color w:val="auto"/>
              </w:rPr>
            </w:pPr>
          </w:p>
        </w:tc>
        <w:tc>
          <w:tcPr>
            <w:tcW w:w="2200" w:type="dxa"/>
            <w:vAlign w:val="bottom"/>
            <w:shd w:val="clear" w:color="auto" w:fill="F3EFE9"/>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32E5C"/>
              </w:rPr>
              <w:t>2022</w:t>
            </w:r>
          </w:p>
        </w:tc>
        <w:tc>
          <w:tcPr>
            <w:tcW w:w="1080" w:type="dxa"/>
            <w:vAlign w:val="bottom"/>
          </w:tcPr>
          <w:p>
            <w:pPr>
              <w:jc w:val="right"/>
              <w:ind w:right="68"/>
              <w:spacing w:after="0"/>
              <w:rPr>
                <w:sz w:val="20"/>
                <w:szCs w:val="20"/>
                <w:color w:val="auto"/>
              </w:rPr>
            </w:pPr>
            <w:r>
              <w:rPr>
                <w:rFonts w:ascii="Arial" w:cs="Arial" w:eastAsia="Arial" w:hAnsi="Arial"/>
                <w:sz w:val="14"/>
                <w:szCs w:val="14"/>
                <w:color w:val="032E5C"/>
              </w:rPr>
              <w:t>1,000,320</w:t>
            </w:r>
          </w:p>
        </w:tc>
        <w:tc>
          <w:tcPr>
            <w:tcW w:w="660" w:type="dxa"/>
            <w:vAlign w:val="bottom"/>
          </w:tcPr>
          <w:p>
            <w:pPr>
              <w:jc w:val="right"/>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499,847</w:t>
            </w:r>
          </w:p>
        </w:tc>
        <w:tc>
          <w:tcPr>
            <w:tcW w:w="1380" w:type="dxa"/>
            <w:vAlign w:val="bottom"/>
          </w:tcPr>
          <w:p>
            <w:pPr>
              <w:jc w:val="right"/>
              <w:spacing w:after="0"/>
              <w:rPr>
                <w:sz w:val="20"/>
                <w:szCs w:val="20"/>
                <w:color w:val="auto"/>
              </w:rPr>
            </w:pPr>
            <w:r>
              <w:rPr>
                <w:rFonts w:ascii="Arial" w:cs="Arial" w:eastAsia="Arial" w:hAnsi="Arial"/>
                <w:sz w:val="14"/>
                <w:szCs w:val="14"/>
                <w:color w:val="032E5C"/>
              </w:rPr>
              <w:t>499,986</w:t>
            </w:r>
          </w:p>
        </w:tc>
        <w:tc>
          <w:tcPr>
            <w:tcW w:w="1640" w:type="dxa"/>
            <w:vAlign w:val="bottom"/>
          </w:tcPr>
          <w:p>
            <w:pPr>
              <w:jc w:val="right"/>
              <w:ind w:right="170"/>
              <w:spacing w:after="0"/>
              <w:rPr>
                <w:sz w:val="20"/>
                <w:szCs w:val="20"/>
                <w:color w:val="auto"/>
              </w:rPr>
            </w:pPr>
            <w:r>
              <w:rPr>
                <w:rFonts w:ascii="Arial" w:cs="Arial" w:eastAsia="Arial" w:hAnsi="Arial"/>
                <w:sz w:val="14"/>
                <w:szCs w:val="14"/>
                <w:color w:val="032E5C"/>
              </w:rPr>
              <w:t>—</w:t>
            </w:r>
          </w:p>
        </w:tc>
        <w:tc>
          <w:tcPr>
            <w:tcW w:w="1460" w:type="dxa"/>
            <w:vAlign w:val="bottom"/>
          </w:tcPr>
          <w:p>
            <w:pPr>
              <w:jc w:val="right"/>
              <w:ind w:right="170"/>
              <w:spacing w:after="0"/>
              <w:rPr>
                <w:sz w:val="20"/>
                <w:szCs w:val="20"/>
                <w:color w:val="auto"/>
              </w:rPr>
            </w:pPr>
            <w:r>
              <w:rPr>
                <w:rFonts w:ascii="Arial" w:cs="Arial" w:eastAsia="Arial" w:hAnsi="Arial"/>
                <w:sz w:val="14"/>
                <w:szCs w:val="14"/>
                <w:color w:val="032E5C"/>
              </w:rPr>
              <w:t>22,301</w:t>
            </w:r>
          </w:p>
        </w:tc>
        <w:tc>
          <w:tcPr>
            <w:tcW w:w="880" w:type="dxa"/>
            <w:vAlign w:val="bottom"/>
          </w:tcPr>
          <w:p>
            <w:pPr>
              <w:jc w:val="right"/>
              <w:spacing w:after="0"/>
              <w:rPr>
                <w:sz w:val="20"/>
                <w:szCs w:val="20"/>
                <w:color w:val="auto"/>
              </w:rPr>
            </w:pPr>
            <w:r>
              <w:rPr>
                <w:rFonts w:ascii="Arial" w:cs="Arial" w:eastAsia="Arial" w:hAnsi="Arial"/>
                <w:sz w:val="14"/>
                <w:szCs w:val="14"/>
                <w:color w:val="032E5C"/>
              </w:rPr>
              <w:t>2,022,454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A4BBCF"/>
            </w:tcBorders>
            <w:shd w:val="clear" w:color="auto" w:fill="F3EFE9"/>
          </w:tcPr>
          <w:p>
            <w:pPr>
              <w:spacing w:after="0"/>
              <w:rPr>
                <w:sz w:val="10"/>
                <w:szCs w:val="10"/>
                <w:color w:val="auto"/>
              </w:rPr>
            </w:pPr>
          </w:p>
        </w:tc>
        <w:tc>
          <w:tcPr>
            <w:tcW w:w="2200" w:type="dxa"/>
            <w:vAlign w:val="bottom"/>
            <w:tcBorders>
              <w:bottom w:val="single" w:sz="8" w:color="98BDE2"/>
            </w:tcBorders>
            <w:shd w:val="clear" w:color="auto" w:fill="F3EFE9"/>
          </w:tcPr>
          <w:p>
            <w:pPr>
              <w:spacing w:after="0"/>
              <w:rPr>
                <w:sz w:val="10"/>
                <w:szCs w:val="10"/>
                <w:color w:val="auto"/>
              </w:rPr>
            </w:pPr>
          </w:p>
        </w:tc>
        <w:tc>
          <w:tcPr>
            <w:tcW w:w="720" w:type="dxa"/>
            <w:vAlign w:val="bottom"/>
            <w:tcBorders>
              <w:bottom w:val="single" w:sz="8" w:color="98BDE2"/>
            </w:tcBorders>
          </w:tcPr>
          <w:p>
            <w:pPr>
              <w:spacing w:after="0"/>
              <w:rPr>
                <w:sz w:val="10"/>
                <w:szCs w:val="10"/>
                <w:color w:val="auto"/>
              </w:rPr>
            </w:pPr>
          </w:p>
        </w:tc>
        <w:tc>
          <w:tcPr>
            <w:tcW w:w="1080" w:type="dxa"/>
            <w:vAlign w:val="bottom"/>
            <w:tcBorders>
              <w:bottom w:val="single" w:sz="8" w:color="98BDE2"/>
            </w:tcBorders>
          </w:tcPr>
          <w:p>
            <w:pPr>
              <w:spacing w:after="0"/>
              <w:rPr>
                <w:sz w:val="10"/>
                <w:szCs w:val="10"/>
                <w:color w:val="auto"/>
              </w:rPr>
            </w:pPr>
          </w:p>
        </w:tc>
        <w:tc>
          <w:tcPr>
            <w:tcW w:w="660" w:type="dxa"/>
            <w:vAlign w:val="bottom"/>
            <w:tcBorders>
              <w:bottom w:val="single" w:sz="8" w:color="98BDE2"/>
            </w:tcBorders>
          </w:tcPr>
          <w:p>
            <w:pPr>
              <w:spacing w:after="0"/>
              <w:rPr>
                <w:sz w:val="10"/>
                <w:szCs w:val="10"/>
                <w:color w:val="auto"/>
              </w:rPr>
            </w:pPr>
          </w:p>
        </w:tc>
        <w:tc>
          <w:tcPr>
            <w:tcW w:w="1040" w:type="dxa"/>
            <w:vAlign w:val="bottom"/>
            <w:tcBorders>
              <w:bottom w:val="single" w:sz="8" w:color="98BDE2"/>
            </w:tcBorders>
          </w:tcPr>
          <w:p>
            <w:pPr>
              <w:spacing w:after="0"/>
              <w:rPr>
                <w:sz w:val="10"/>
                <w:szCs w:val="10"/>
                <w:color w:val="auto"/>
              </w:rPr>
            </w:pPr>
          </w:p>
        </w:tc>
        <w:tc>
          <w:tcPr>
            <w:tcW w:w="1380" w:type="dxa"/>
            <w:vAlign w:val="bottom"/>
            <w:tcBorders>
              <w:bottom w:val="single" w:sz="8" w:color="98BDE2"/>
            </w:tcBorders>
          </w:tcPr>
          <w:p>
            <w:pPr>
              <w:spacing w:after="0"/>
              <w:rPr>
                <w:sz w:val="10"/>
                <w:szCs w:val="10"/>
                <w:color w:val="auto"/>
              </w:rPr>
            </w:pPr>
          </w:p>
        </w:tc>
        <w:tc>
          <w:tcPr>
            <w:tcW w:w="1640" w:type="dxa"/>
            <w:vAlign w:val="bottom"/>
            <w:tcBorders>
              <w:bottom w:val="single" w:sz="8" w:color="98BDE2"/>
            </w:tcBorders>
          </w:tcPr>
          <w:p>
            <w:pPr>
              <w:spacing w:after="0"/>
              <w:rPr>
                <w:sz w:val="10"/>
                <w:szCs w:val="10"/>
                <w:color w:val="auto"/>
              </w:rPr>
            </w:pPr>
          </w:p>
        </w:tc>
        <w:tc>
          <w:tcPr>
            <w:tcW w:w="1460" w:type="dxa"/>
            <w:vAlign w:val="bottom"/>
            <w:tcBorders>
              <w:bottom w:val="single" w:sz="8" w:color="98BDE2"/>
            </w:tcBorders>
          </w:tcPr>
          <w:p>
            <w:pPr>
              <w:spacing w:after="0"/>
              <w:rPr>
                <w:sz w:val="10"/>
                <w:szCs w:val="10"/>
                <w:color w:val="auto"/>
              </w:rPr>
            </w:pPr>
          </w:p>
        </w:tc>
        <w:tc>
          <w:tcPr>
            <w:tcW w:w="880" w:type="dxa"/>
            <w:vAlign w:val="bottom"/>
            <w:tcBorders>
              <w:bottom w:val="single" w:sz="8" w:color="98BDE2"/>
            </w:tcBorders>
          </w:tcPr>
          <w:p>
            <w:pPr>
              <w:spacing w:after="0"/>
              <w:rPr>
                <w:sz w:val="10"/>
                <w:szCs w:val="10"/>
                <w:color w:val="auto"/>
              </w:rPr>
            </w:pPr>
          </w:p>
        </w:tc>
        <w:tc>
          <w:tcPr>
            <w:tcW w:w="100" w:type="dxa"/>
            <w:vAlign w:val="bottom"/>
            <w:tcBorders>
              <w:bottom w:val="single" w:sz="8" w:color="A4BBCF"/>
            </w:tcBorders>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80" w:type="dxa"/>
            <w:vAlign w:val="bottom"/>
            <w:shd w:val="clear" w:color="auto" w:fill="F3EFE9"/>
          </w:tcPr>
          <w:p>
            <w:pPr>
              <w:spacing w:after="0"/>
              <w:rPr>
                <w:sz w:val="24"/>
                <w:szCs w:val="24"/>
                <w:color w:val="auto"/>
              </w:rPr>
            </w:pPr>
          </w:p>
        </w:tc>
        <w:tc>
          <w:tcPr>
            <w:tcW w:w="220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720" w:type="dxa"/>
            <w:vAlign w:val="bottom"/>
          </w:tcPr>
          <w:p>
            <w:pPr>
              <w:jc w:val="center"/>
              <w:spacing w:after="0"/>
              <w:rPr>
                <w:sz w:val="20"/>
                <w:szCs w:val="20"/>
                <w:color w:val="auto"/>
              </w:rPr>
            </w:pPr>
            <w:r>
              <w:rPr>
                <w:rFonts w:ascii="Arial" w:cs="Arial" w:eastAsia="Arial" w:hAnsi="Arial"/>
                <w:sz w:val="14"/>
                <w:szCs w:val="14"/>
                <w:color w:val="032E5C"/>
              </w:rPr>
              <w:t>2024</w:t>
            </w:r>
          </w:p>
        </w:tc>
        <w:tc>
          <w:tcPr>
            <w:tcW w:w="1080" w:type="dxa"/>
            <w:vAlign w:val="bottom"/>
          </w:tcPr>
          <w:p>
            <w:pPr>
              <w:jc w:val="right"/>
              <w:ind w:right="68"/>
              <w:spacing w:after="0"/>
              <w:rPr>
                <w:sz w:val="20"/>
                <w:szCs w:val="20"/>
                <w:color w:val="auto"/>
              </w:rPr>
            </w:pPr>
            <w:r>
              <w:rPr>
                <w:rFonts w:ascii="Arial" w:cs="Arial" w:eastAsia="Arial" w:hAnsi="Arial"/>
                <w:sz w:val="14"/>
                <w:szCs w:val="14"/>
                <w:color w:val="032E5C"/>
              </w:rPr>
              <w:t>583,846</w:t>
            </w:r>
          </w:p>
        </w:tc>
        <w:tc>
          <w:tcPr>
            <w:tcW w:w="660" w:type="dxa"/>
            <w:vAlign w:val="bottom"/>
          </w:tcPr>
          <w:p>
            <w:pPr>
              <w:jc w:val="right"/>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733,552</w:t>
            </w:r>
          </w:p>
        </w:tc>
        <w:tc>
          <w:tcPr>
            <w:tcW w:w="1380" w:type="dxa"/>
            <w:vAlign w:val="bottom"/>
          </w:tcPr>
          <w:p>
            <w:pPr>
              <w:jc w:val="right"/>
              <w:spacing w:after="0"/>
              <w:rPr>
                <w:sz w:val="20"/>
                <w:szCs w:val="20"/>
                <w:color w:val="auto"/>
              </w:rPr>
            </w:pPr>
            <w:r>
              <w:rPr>
                <w:rFonts w:ascii="Arial" w:cs="Arial" w:eastAsia="Arial" w:hAnsi="Arial"/>
                <w:sz w:val="14"/>
                <w:szCs w:val="14"/>
                <w:color w:val="032E5C"/>
              </w:rPr>
              <w:t>733,741</w:t>
            </w:r>
          </w:p>
        </w:tc>
        <w:tc>
          <w:tcPr>
            <w:tcW w:w="1640" w:type="dxa"/>
            <w:vAlign w:val="bottom"/>
          </w:tcPr>
          <w:p>
            <w:pPr>
              <w:jc w:val="right"/>
              <w:ind w:right="170"/>
              <w:spacing w:after="0"/>
              <w:rPr>
                <w:sz w:val="20"/>
                <w:szCs w:val="20"/>
                <w:color w:val="auto"/>
              </w:rPr>
            </w:pPr>
            <w:r>
              <w:rPr>
                <w:rFonts w:ascii="Arial" w:cs="Arial" w:eastAsia="Arial" w:hAnsi="Arial"/>
                <w:sz w:val="14"/>
                <w:szCs w:val="14"/>
                <w:color w:val="032E5C"/>
              </w:rPr>
              <w:t>105,050</w:t>
            </w:r>
          </w:p>
        </w:tc>
        <w:tc>
          <w:tcPr>
            <w:tcW w:w="1460" w:type="dxa"/>
            <w:vAlign w:val="bottom"/>
          </w:tcPr>
          <w:p>
            <w:pPr>
              <w:jc w:val="right"/>
              <w:ind w:right="170"/>
              <w:spacing w:after="0"/>
              <w:rPr>
                <w:sz w:val="20"/>
                <w:szCs w:val="20"/>
                <w:color w:val="auto"/>
              </w:rPr>
            </w:pPr>
            <w:r>
              <w:rPr>
                <w:rFonts w:ascii="Arial" w:cs="Arial" w:eastAsia="Arial" w:hAnsi="Arial"/>
                <w:sz w:val="14"/>
                <w:szCs w:val="14"/>
                <w:color w:val="032E5C"/>
              </w:rPr>
              <w:t>27,007</w:t>
            </w:r>
          </w:p>
        </w:tc>
        <w:tc>
          <w:tcPr>
            <w:tcW w:w="880" w:type="dxa"/>
            <w:vAlign w:val="bottom"/>
          </w:tcPr>
          <w:p>
            <w:pPr>
              <w:jc w:val="right"/>
              <w:spacing w:after="0"/>
              <w:rPr>
                <w:sz w:val="20"/>
                <w:szCs w:val="20"/>
                <w:color w:val="auto"/>
              </w:rPr>
            </w:pPr>
            <w:r>
              <w:rPr>
                <w:rFonts w:ascii="Arial" w:cs="Arial" w:eastAsia="Arial" w:hAnsi="Arial"/>
                <w:sz w:val="14"/>
                <w:szCs w:val="14"/>
                <w:color w:val="032E5C"/>
              </w:rPr>
              <w:t>2,183,196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F3EFE9"/>
            </w:tcBorders>
            <w:shd w:val="clear" w:color="auto" w:fill="F3EFE9"/>
          </w:tcPr>
          <w:p>
            <w:pPr>
              <w:spacing w:after="0"/>
              <w:rPr>
                <w:sz w:val="7"/>
                <w:szCs w:val="7"/>
                <w:color w:val="auto"/>
              </w:rPr>
            </w:pPr>
          </w:p>
        </w:tc>
        <w:tc>
          <w:tcPr>
            <w:tcW w:w="220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color w:val="032E5C"/>
              </w:rPr>
              <w:t>Executive Vice President and</w:t>
            </w:r>
          </w:p>
        </w:tc>
        <w:tc>
          <w:tcPr>
            <w:tcW w:w="720" w:type="dxa"/>
            <w:vAlign w:val="bottom"/>
            <w:tcBorders>
              <w:bottom w:val="single" w:sz="8" w:color="98BDE2"/>
            </w:tcBorders>
          </w:tcPr>
          <w:p>
            <w:pPr>
              <w:spacing w:after="0"/>
              <w:rPr>
                <w:sz w:val="7"/>
                <w:szCs w:val="7"/>
                <w:color w:val="auto"/>
              </w:rPr>
            </w:pPr>
          </w:p>
        </w:tc>
        <w:tc>
          <w:tcPr>
            <w:tcW w:w="1080" w:type="dxa"/>
            <w:vAlign w:val="bottom"/>
            <w:tcBorders>
              <w:bottom w:val="single" w:sz="8" w:color="98BDE2"/>
            </w:tcBorders>
          </w:tcPr>
          <w:p>
            <w:pPr>
              <w:spacing w:after="0"/>
              <w:rPr>
                <w:sz w:val="7"/>
                <w:szCs w:val="7"/>
                <w:color w:val="auto"/>
              </w:rPr>
            </w:pPr>
          </w:p>
        </w:tc>
        <w:tc>
          <w:tcPr>
            <w:tcW w:w="66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1380" w:type="dxa"/>
            <w:vAlign w:val="bottom"/>
            <w:tcBorders>
              <w:bottom w:val="single" w:sz="8" w:color="98BDE2"/>
            </w:tcBorders>
          </w:tcPr>
          <w:p>
            <w:pPr>
              <w:spacing w:after="0"/>
              <w:rPr>
                <w:sz w:val="7"/>
                <w:szCs w:val="7"/>
                <w:color w:val="auto"/>
              </w:rPr>
            </w:pPr>
          </w:p>
        </w:tc>
        <w:tc>
          <w:tcPr>
            <w:tcW w:w="1640" w:type="dxa"/>
            <w:vAlign w:val="bottom"/>
            <w:tcBorders>
              <w:bottom w:val="single" w:sz="8" w:color="98BDE2"/>
            </w:tcBorders>
          </w:tcPr>
          <w:p>
            <w:pPr>
              <w:spacing w:after="0"/>
              <w:rPr>
                <w:sz w:val="7"/>
                <w:szCs w:val="7"/>
                <w:color w:val="auto"/>
              </w:rPr>
            </w:pPr>
          </w:p>
        </w:tc>
        <w:tc>
          <w:tcPr>
            <w:tcW w:w="1460" w:type="dxa"/>
            <w:vAlign w:val="bottom"/>
            <w:tcBorders>
              <w:bottom w:val="single" w:sz="8" w:color="98BDE2"/>
            </w:tcBorders>
          </w:tcPr>
          <w:p>
            <w:pPr>
              <w:spacing w:after="0"/>
              <w:rPr>
                <w:sz w:val="7"/>
                <w:szCs w:val="7"/>
                <w:color w:val="auto"/>
              </w:rPr>
            </w:pPr>
          </w:p>
        </w:tc>
        <w:tc>
          <w:tcPr>
            <w:tcW w:w="880" w:type="dxa"/>
            <w:vAlign w:val="bottom"/>
            <w:tcBorders>
              <w:bottom w:val="single" w:sz="8" w:color="98BDE2"/>
            </w:tcBorders>
          </w:tcPr>
          <w:p>
            <w:pPr>
              <w:spacing w:after="0"/>
              <w:rPr>
                <w:sz w:val="7"/>
                <w:szCs w:val="7"/>
                <w:color w:val="auto"/>
              </w:rPr>
            </w:pPr>
          </w:p>
        </w:tc>
        <w:tc>
          <w:tcPr>
            <w:tcW w:w="10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shd w:val="clear" w:color="auto" w:fill="F3EFE9"/>
          </w:tcPr>
          <w:p>
            <w:pPr>
              <w:spacing w:after="0"/>
              <w:rPr>
                <w:sz w:val="5"/>
                <w:szCs w:val="5"/>
                <w:color w:val="auto"/>
              </w:rPr>
            </w:pPr>
          </w:p>
        </w:tc>
        <w:tc>
          <w:tcPr>
            <w:tcW w:w="2200" w:type="dxa"/>
            <w:vAlign w:val="bottom"/>
            <w:vMerge w:val="continue"/>
            <w:shd w:val="clear" w:color="auto" w:fill="F3EFE9"/>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0" w:type="dxa"/>
            <w:vAlign w:val="bottom"/>
            <w:shd w:val="clear" w:color="auto" w:fill="F3EFE9"/>
          </w:tcPr>
          <w:p>
            <w:pPr>
              <w:spacing w:after="0"/>
              <w:rPr>
                <w:sz w:val="20"/>
                <w:szCs w:val="20"/>
                <w:color w:val="auto"/>
              </w:rPr>
            </w:pPr>
          </w:p>
        </w:tc>
        <w:tc>
          <w:tcPr>
            <w:tcW w:w="220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Chief Financial Officer</w:t>
            </w:r>
          </w:p>
        </w:tc>
        <w:tc>
          <w:tcPr>
            <w:tcW w:w="720" w:type="dxa"/>
            <w:vAlign w:val="bottom"/>
          </w:tcPr>
          <w:p>
            <w:pPr>
              <w:jc w:val="center"/>
              <w:spacing w:after="0"/>
              <w:rPr>
                <w:sz w:val="20"/>
                <w:szCs w:val="20"/>
                <w:color w:val="auto"/>
              </w:rPr>
            </w:pPr>
            <w:r>
              <w:rPr>
                <w:rFonts w:ascii="Arial" w:cs="Arial" w:eastAsia="Arial" w:hAnsi="Arial"/>
                <w:sz w:val="14"/>
                <w:szCs w:val="14"/>
                <w:color w:val="032E5C"/>
              </w:rPr>
              <w:t>2023</w:t>
            </w:r>
          </w:p>
        </w:tc>
        <w:tc>
          <w:tcPr>
            <w:tcW w:w="1080" w:type="dxa"/>
            <w:vAlign w:val="bottom"/>
          </w:tcPr>
          <w:p>
            <w:pPr>
              <w:jc w:val="right"/>
              <w:ind w:right="68"/>
              <w:spacing w:after="0"/>
              <w:rPr>
                <w:sz w:val="20"/>
                <w:szCs w:val="20"/>
                <w:color w:val="auto"/>
              </w:rPr>
            </w:pPr>
            <w:r>
              <w:rPr>
                <w:rFonts w:ascii="Arial" w:cs="Arial" w:eastAsia="Arial" w:hAnsi="Arial"/>
                <w:sz w:val="14"/>
                <w:szCs w:val="14"/>
                <w:color w:val="032E5C"/>
              </w:rPr>
              <w:t>323,654</w:t>
            </w:r>
          </w:p>
        </w:tc>
        <w:tc>
          <w:tcPr>
            <w:tcW w:w="660" w:type="dxa"/>
            <w:vAlign w:val="bottom"/>
          </w:tcPr>
          <w:p>
            <w:pPr>
              <w:jc w:val="right"/>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647,366</w:t>
            </w:r>
          </w:p>
        </w:tc>
        <w:tc>
          <w:tcPr>
            <w:tcW w:w="1380" w:type="dxa"/>
            <w:vAlign w:val="bottom"/>
          </w:tcPr>
          <w:p>
            <w:pPr>
              <w:jc w:val="right"/>
              <w:spacing w:after="0"/>
              <w:rPr>
                <w:sz w:val="20"/>
                <w:szCs w:val="20"/>
                <w:color w:val="auto"/>
              </w:rPr>
            </w:pPr>
            <w:r>
              <w:rPr>
                <w:rFonts w:ascii="Arial" w:cs="Arial" w:eastAsia="Arial" w:hAnsi="Arial"/>
                <w:sz w:val="14"/>
                <w:szCs w:val="14"/>
                <w:color w:val="032E5C"/>
              </w:rPr>
              <w:t>347,561</w:t>
            </w:r>
          </w:p>
        </w:tc>
        <w:tc>
          <w:tcPr>
            <w:tcW w:w="1640" w:type="dxa"/>
            <w:vAlign w:val="bottom"/>
          </w:tcPr>
          <w:p>
            <w:pPr>
              <w:jc w:val="right"/>
              <w:ind w:right="170"/>
              <w:spacing w:after="0"/>
              <w:rPr>
                <w:sz w:val="20"/>
                <w:szCs w:val="20"/>
                <w:color w:val="auto"/>
              </w:rPr>
            </w:pPr>
            <w:r>
              <w:rPr>
                <w:rFonts w:ascii="Arial" w:cs="Arial" w:eastAsia="Arial" w:hAnsi="Arial"/>
                <w:sz w:val="14"/>
                <w:szCs w:val="14"/>
                <w:color w:val="032E5C"/>
              </w:rPr>
              <w:t>86367</w:t>
            </w:r>
          </w:p>
        </w:tc>
        <w:tc>
          <w:tcPr>
            <w:tcW w:w="1460" w:type="dxa"/>
            <w:vAlign w:val="bottom"/>
          </w:tcPr>
          <w:p>
            <w:pPr>
              <w:jc w:val="right"/>
              <w:ind w:right="170"/>
              <w:spacing w:after="0"/>
              <w:rPr>
                <w:sz w:val="20"/>
                <w:szCs w:val="20"/>
                <w:color w:val="auto"/>
              </w:rPr>
            </w:pPr>
            <w:r>
              <w:rPr>
                <w:rFonts w:ascii="Arial" w:cs="Arial" w:eastAsia="Arial" w:hAnsi="Arial"/>
                <w:sz w:val="14"/>
                <w:szCs w:val="14"/>
                <w:color w:val="032E5C"/>
              </w:rPr>
              <w:t>22,099</w:t>
            </w:r>
          </w:p>
        </w:tc>
        <w:tc>
          <w:tcPr>
            <w:tcW w:w="880" w:type="dxa"/>
            <w:vAlign w:val="bottom"/>
          </w:tcPr>
          <w:p>
            <w:pPr>
              <w:jc w:val="right"/>
              <w:spacing w:after="0"/>
              <w:rPr>
                <w:sz w:val="20"/>
                <w:szCs w:val="20"/>
                <w:color w:val="auto"/>
              </w:rPr>
            </w:pPr>
            <w:r>
              <w:rPr>
                <w:rFonts w:ascii="Arial" w:cs="Arial" w:eastAsia="Arial" w:hAnsi="Arial"/>
                <w:sz w:val="14"/>
                <w:szCs w:val="14"/>
                <w:color w:val="032E5C"/>
              </w:rPr>
              <w:t>1,427,047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A4BBCF"/>
            </w:tcBorders>
            <w:shd w:val="clear" w:color="auto" w:fill="F3EFE9"/>
          </w:tcPr>
          <w:p>
            <w:pPr>
              <w:spacing w:after="0"/>
              <w:rPr>
                <w:sz w:val="10"/>
                <w:szCs w:val="10"/>
                <w:color w:val="auto"/>
              </w:rPr>
            </w:pPr>
          </w:p>
        </w:tc>
        <w:tc>
          <w:tcPr>
            <w:tcW w:w="2200" w:type="dxa"/>
            <w:vAlign w:val="bottom"/>
            <w:tcBorders>
              <w:bottom w:val="single" w:sz="8" w:color="98BDE2"/>
            </w:tcBorders>
            <w:shd w:val="clear" w:color="auto" w:fill="F3EFE9"/>
          </w:tcPr>
          <w:p>
            <w:pPr>
              <w:spacing w:after="0"/>
              <w:rPr>
                <w:sz w:val="10"/>
                <w:szCs w:val="10"/>
                <w:color w:val="auto"/>
              </w:rPr>
            </w:pPr>
          </w:p>
        </w:tc>
        <w:tc>
          <w:tcPr>
            <w:tcW w:w="720" w:type="dxa"/>
            <w:vAlign w:val="bottom"/>
            <w:tcBorders>
              <w:bottom w:val="single" w:sz="8" w:color="98BDE2"/>
            </w:tcBorders>
          </w:tcPr>
          <w:p>
            <w:pPr>
              <w:spacing w:after="0"/>
              <w:rPr>
                <w:sz w:val="10"/>
                <w:szCs w:val="10"/>
                <w:color w:val="auto"/>
              </w:rPr>
            </w:pPr>
          </w:p>
        </w:tc>
        <w:tc>
          <w:tcPr>
            <w:tcW w:w="1080" w:type="dxa"/>
            <w:vAlign w:val="bottom"/>
            <w:tcBorders>
              <w:bottom w:val="single" w:sz="8" w:color="98BDE2"/>
            </w:tcBorders>
          </w:tcPr>
          <w:p>
            <w:pPr>
              <w:spacing w:after="0"/>
              <w:rPr>
                <w:sz w:val="10"/>
                <w:szCs w:val="10"/>
                <w:color w:val="auto"/>
              </w:rPr>
            </w:pPr>
          </w:p>
        </w:tc>
        <w:tc>
          <w:tcPr>
            <w:tcW w:w="660" w:type="dxa"/>
            <w:vAlign w:val="bottom"/>
            <w:tcBorders>
              <w:bottom w:val="single" w:sz="8" w:color="98BDE2"/>
            </w:tcBorders>
          </w:tcPr>
          <w:p>
            <w:pPr>
              <w:spacing w:after="0"/>
              <w:rPr>
                <w:sz w:val="10"/>
                <w:szCs w:val="10"/>
                <w:color w:val="auto"/>
              </w:rPr>
            </w:pPr>
          </w:p>
        </w:tc>
        <w:tc>
          <w:tcPr>
            <w:tcW w:w="1040" w:type="dxa"/>
            <w:vAlign w:val="bottom"/>
            <w:tcBorders>
              <w:bottom w:val="single" w:sz="8" w:color="98BDE2"/>
            </w:tcBorders>
          </w:tcPr>
          <w:p>
            <w:pPr>
              <w:spacing w:after="0"/>
              <w:rPr>
                <w:sz w:val="10"/>
                <w:szCs w:val="10"/>
                <w:color w:val="auto"/>
              </w:rPr>
            </w:pPr>
          </w:p>
        </w:tc>
        <w:tc>
          <w:tcPr>
            <w:tcW w:w="1380" w:type="dxa"/>
            <w:vAlign w:val="bottom"/>
            <w:tcBorders>
              <w:bottom w:val="single" w:sz="8" w:color="98BDE2"/>
            </w:tcBorders>
          </w:tcPr>
          <w:p>
            <w:pPr>
              <w:spacing w:after="0"/>
              <w:rPr>
                <w:sz w:val="10"/>
                <w:szCs w:val="10"/>
                <w:color w:val="auto"/>
              </w:rPr>
            </w:pPr>
          </w:p>
        </w:tc>
        <w:tc>
          <w:tcPr>
            <w:tcW w:w="1640" w:type="dxa"/>
            <w:vAlign w:val="bottom"/>
            <w:tcBorders>
              <w:bottom w:val="single" w:sz="8" w:color="98BDE2"/>
            </w:tcBorders>
          </w:tcPr>
          <w:p>
            <w:pPr>
              <w:spacing w:after="0"/>
              <w:rPr>
                <w:sz w:val="10"/>
                <w:szCs w:val="10"/>
                <w:color w:val="auto"/>
              </w:rPr>
            </w:pPr>
          </w:p>
        </w:tc>
        <w:tc>
          <w:tcPr>
            <w:tcW w:w="1460" w:type="dxa"/>
            <w:vAlign w:val="bottom"/>
            <w:tcBorders>
              <w:bottom w:val="single" w:sz="8" w:color="98BDE2"/>
            </w:tcBorders>
          </w:tcPr>
          <w:p>
            <w:pPr>
              <w:spacing w:after="0"/>
              <w:rPr>
                <w:sz w:val="10"/>
                <w:szCs w:val="10"/>
                <w:color w:val="auto"/>
              </w:rPr>
            </w:pPr>
          </w:p>
        </w:tc>
        <w:tc>
          <w:tcPr>
            <w:tcW w:w="880" w:type="dxa"/>
            <w:vAlign w:val="bottom"/>
            <w:tcBorders>
              <w:bottom w:val="single" w:sz="8" w:color="98BDE2"/>
            </w:tcBorders>
          </w:tcPr>
          <w:p>
            <w:pPr>
              <w:spacing w:after="0"/>
              <w:rPr>
                <w:sz w:val="10"/>
                <w:szCs w:val="10"/>
                <w:color w:val="auto"/>
              </w:rPr>
            </w:pPr>
          </w:p>
        </w:tc>
        <w:tc>
          <w:tcPr>
            <w:tcW w:w="100" w:type="dxa"/>
            <w:vAlign w:val="bottom"/>
            <w:tcBorders>
              <w:bottom w:val="single" w:sz="8" w:color="98BDE2"/>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220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William C. Rock</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032E5C"/>
              </w:rPr>
              <w:t>2024</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032E5C"/>
              </w:rPr>
              <w:t>512,692</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032E5C"/>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032E5C"/>
              </w:rPr>
              <w:t>514,878</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032E5C"/>
              </w:rPr>
              <w:t>514,988</w:t>
            </w:r>
          </w:p>
        </w:tc>
        <w:tc>
          <w:tcPr>
            <w:tcW w:w="1640" w:type="dxa"/>
            <w:vAlign w:val="bottom"/>
            <w:vMerge w:val="restart"/>
          </w:tcPr>
          <w:p>
            <w:pPr>
              <w:jc w:val="right"/>
              <w:ind w:right="170"/>
              <w:spacing w:after="0"/>
              <w:rPr>
                <w:sz w:val="20"/>
                <w:szCs w:val="20"/>
                <w:color w:val="auto"/>
              </w:rPr>
            </w:pPr>
            <w:r>
              <w:rPr>
                <w:rFonts w:ascii="Arial" w:cs="Arial" w:eastAsia="Arial" w:hAnsi="Arial"/>
                <w:sz w:val="14"/>
                <w:szCs w:val="14"/>
                <w:color w:val="032E5C"/>
              </w:rPr>
              <w:t>91,696</w:t>
            </w:r>
          </w:p>
        </w:tc>
        <w:tc>
          <w:tcPr>
            <w:tcW w:w="1460" w:type="dxa"/>
            <w:vAlign w:val="bottom"/>
            <w:vMerge w:val="restart"/>
          </w:tcPr>
          <w:p>
            <w:pPr>
              <w:jc w:val="right"/>
              <w:ind w:right="170"/>
              <w:spacing w:after="0"/>
              <w:rPr>
                <w:sz w:val="20"/>
                <w:szCs w:val="20"/>
                <w:color w:val="auto"/>
              </w:rPr>
            </w:pPr>
            <w:r>
              <w:rPr>
                <w:rFonts w:ascii="Arial" w:cs="Arial" w:eastAsia="Arial" w:hAnsi="Arial"/>
                <w:sz w:val="14"/>
                <w:szCs w:val="14"/>
                <w:color w:val="032E5C"/>
              </w:rPr>
              <w:t>18,593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32E5C"/>
              </w:rPr>
              <w:t>1,652,847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3EFE9"/>
          </w:tcPr>
          <w:p>
            <w:pPr>
              <w:spacing w:after="0"/>
              <w:rPr>
                <w:sz w:val="15"/>
                <w:szCs w:val="15"/>
                <w:color w:val="auto"/>
              </w:rPr>
            </w:pPr>
          </w:p>
        </w:tc>
        <w:tc>
          <w:tcPr>
            <w:tcW w:w="220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President - Mountain</w:t>
            </w:r>
          </w:p>
        </w:tc>
        <w:tc>
          <w:tcPr>
            <w:tcW w:w="7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98BDE2"/>
            </w:tcBorders>
            <w:shd w:val="clear" w:color="auto" w:fill="F3EFE9"/>
          </w:tcPr>
          <w:p>
            <w:pPr>
              <w:spacing w:after="0"/>
              <w:rPr>
                <w:sz w:val="16"/>
                <w:szCs w:val="16"/>
                <w:color w:val="auto"/>
              </w:rPr>
            </w:pPr>
          </w:p>
        </w:tc>
        <w:tc>
          <w:tcPr>
            <w:tcW w:w="220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color w:val="032E5C"/>
              </w:rPr>
              <w:t>Division</w:t>
            </w:r>
          </w:p>
        </w:tc>
        <w:tc>
          <w:tcPr>
            <w:tcW w:w="720" w:type="dxa"/>
            <w:vAlign w:val="bottom"/>
            <w:tcBorders>
              <w:bottom w:val="single" w:sz="8" w:color="98BDE2"/>
            </w:tcBorders>
          </w:tcPr>
          <w:p>
            <w:pPr>
              <w:spacing w:after="0"/>
              <w:rPr>
                <w:sz w:val="16"/>
                <w:szCs w:val="16"/>
                <w:color w:val="auto"/>
              </w:rPr>
            </w:pPr>
          </w:p>
        </w:tc>
        <w:tc>
          <w:tcPr>
            <w:tcW w:w="1080" w:type="dxa"/>
            <w:vAlign w:val="bottom"/>
            <w:tcBorders>
              <w:bottom w:val="single" w:sz="8" w:color="98BDE2"/>
            </w:tcBorders>
          </w:tcPr>
          <w:p>
            <w:pPr>
              <w:spacing w:after="0"/>
              <w:rPr>
                <w:sz w:val="16"/>
                <w:szCs w:val="16"/>
                <w:color w:val="auto"/>
              </w:rPr>
            </w:pPr>
          </w:p>
        </w:tc>
        <w:tc>
          <w:tcPr>
            <w:tcW w:w="660" w:type="dxa"/>
            <w:vAlign w:val="bottom"/>
            <w:tcBorders>
              <w:bottom w:val="single" w:sz="8" w:color="98BDE2"/>
            </w:tcBorders>
          </w:tcPr>
          <w:p>
            <w:pPr>
              <w:spacing w:after="0"/>
              <w:rPr>
                <w:sz w:val="16"/>
                <w:szCs w:val="16"/>
                <w:color w:val="auto"/>
              </w:rPr>
            </w:pPr>
          </w:p>
        </w:tc>
        <w:tc>
          <w:tcPr>
            <w:tcW w:w="1040" w:type="dxa"/>
            <w:vAlign w:val="bottom"/>
            <w:tcBorders>
              <w:bottom w:val="single" w:sz="8" w:color="98BDE2"/>
            </w:tcBorders>
          </w:tcPr>
          <w:p>
            <w:pPr>
              <w:spacing w:after="0"/>
              <w:rPr>
                <w:sz w:val="16"/>
                <w:szCs w:val="16"/>
                <w:color w:val="auto"/>
              </w:rPr>
            </w:pPr>
          </w:p>
        </w:tc>
        <w:tc>
          <w:tcPr>
            <w:tcW w:w="1380" w:type="dxa"/>
            <w:vAlign w:val="bottom"/>
            <w:tcBorders>
              <w:bottom w:val="single" w:sz="8" w:color="98BDE2"/>
            </w:tcBorders>
          </w:tcPr>
          <w:p>
            <w:pPr>
              <w:spacing w:after="0"/>
              <w:rPr>
                <w:sz w:val="16"/>
                <w:szCs w:val="16"/>
                <w:color w:val="auto"/>
              </w:rPr>
            </w:pPr>
          </w:p>
        </w:tc>
        <w:tc>
          <w:tcPr>
            <w:tcW w:w="1640" w:type="dxa"/>
            <w:vAlign w:val="bottom"/>
            <w:tcBorders>
              <w:bottom w:val="single" w:sz="8" w:color="98BDE2"/>
            </w:tcBorders>
          </w:tcPr>
          <w:p>
            <w:pPr>
              <w:spacing w:after="0"/>
              <w:rPr>
                <w:sz w:val="16"/>
                <w:szCs w:val="16"/>
                <w:color w:val="auto"/>
              </w:rPr>
            </w:pPr>
          </w:p>
        </w:tc>
        <w:tc>
          <w:tcPr>
            <w:tcW w:w="1460" w:type="dxa"/>
            <w:vAlign w:val="bottom"/>
            <w:tcBorders>
              <w:bottom w:val="single" w:sz="8" w:color="98BDE2"/>
            </w:tcBorders>
          </w:tcPr>
          <w:p>
            <w:pPr>
              <w:spacing w:after="0"/>
              <w:rPr>
                <w:sz w:val="16"/>
                <w:szCs w:val="16"/>
                <w:color w:val="auto"/>
              </w:rPr>
            </w:pPr>
          </w:p>
        </w:tc>
        <w:tc>
          <w:tcPr>
            <w:tcW w:w="880" w:type="dxa"/>
            <w:vAlign w:val="bottom"/>
            <w:tcBorders>
              <w:bottom w:val="single" w:sz="8" w:color="98BDE2"/>
            </w:tcBorders>
          </w:tcPr>
          <w:p>
            <w:pPr>
              <w:spacing w:after="0"/>
              <w:rPr>
                <w:sz w:val="16"/>
                <w:szCs w:val="16"/>
                <w:color w:val="auto"/>
              </w:rPr>
            </w:pPr>
          </w:p>
        </w:tc>
        <w:tc>
          <w:tcPr>
            <w:tcW w:w="100" w:type="dxa"/>
            <w:vAlign w:val="bottom"/>
            <w:tcBorders>
              <w:bottom w:val="single" w:sz="8" w:color="98BDE2"/>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80" w:type="dxa"/>
            <w:vAlign w:val="bottom"/>
            <w:shd w:val="clear" w:color="auto" w:fill="F3EFE9"/>
          </w:tcPr>
          <w:p>
            <w:pPr>
              <w:spacing w:after="0"/>
              <w:rPr>
                <w:sz w:val="24"/>
                <w:szCs w:val="24"/>
                <w:color w:val="auto"/>
              </w:rPr>
            </w:pPr>
          </w:p>
        </w:tc>
        <w:tc>
          <w:tcPr>
            <w:tcW w:w="22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David T. Shapiro</w:t>
            </w:r>
          </w:p>
        </w:tc>
        <w:tc>
          <w:tcPr>
            <w:tcW w:w="720" w:type="dxa"/>
            <w:vAlign w:val="bottom"/>
          </w:tcPr>
          <w:p>
            <w:pPr>
              <w:jc w:val="center"/>
              <w:spacing w:after="0"/>
              <w:rPr>
                <w:sz w:val="20"/>
                <w:szCs w:val="20"/>
                <w:color w:val="auto"/>
              </w:rPr>
            </w:pPr>
            <w:r>
              <w:rPr>
                <w:rFonts w:ascii="Arial" w:cs="Arial" w:eastAsia="Arial" w:hAnsi="Arial"/>
                <w:sz w:val="14"/>
                <w:szCs w:val="14"/>
                <w:color w:val="032E5C"/>
              </w:rPr>
              <w:t>2024</w:t>
            </w:r>
          </w:p>
        </w:tc>
        <w:tc>
          <w:tcPr>
            <w:tcW w:w="1080" w:type="dxa"/>
            <w:vAlign w:val="bottom"/>
          </w:tcPr>
          <w:p>
            <w:pPr>
              <w:jc w:val="right"/>
              <w:ind w:right="68"/>
              <w:spacing w:after="0"/>
              <w:rPr>
                <w:sz w:val="20"/>
                <w:szCs w:val="20"/>
                <w:color w:val="auto"/>
              </w:rPr>
            </w:pPr>
            <w:r>
              <w:rPr>
                <w:rFonts w:ascii="Arial" w:cs="Arial" w:eastAsia="Arial" w:hAnsi="Arial"/>
                <w:sz w:val="14"/>
                <w:szCs w:val="14"/>
                <w:color w:val="032E5C"/>
              </w:rPr>
              <w:t>371,443</w:t>
            </w:r>
          </w:p>
        </w:tc>
        <w:tc>
          <w:tcPr>
            <w:tcW w:w="660" w:type="dxa"/>
            <w:vAlign w:val="bottom"/>
          </w:tcPr>
          <w:p>
            <w:pPr>
              <w:jc w:val="right"/>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891,063</w:t>
            </w:r>
          </w:p>
        </w:tc>
        <w:tc>
          <w:tcPr>
            <w:tcW w:w="1380" w:type="dxa"/>
            <w:vAlign w:val="bottom"/>
          </w:tcPr>
          <w:p>
            <w:pPr>
              <w:jc w:val="right"/>
              <w:spacing w:after="0"/>
              <w:rPr>
                <w:sz w:val="20"/>
                <w:szCs w:val="20"/>
                <w:color w:val="auto"/>
              </w:rPr>
            </w:pPr>
            <w:r>
              <w:rPr>
                <w:rFonts w:ascii="Arial" w:cs="Arial" w:eastAsia="Arial" w:hAnsi="Arial"/>
                <w:sz w:val="14"/>
                <w:szCs w:val="14"/>
                <w:color w:val="032E5C"/>
              </w:rPr>
              <w:t>891,050</w:t>
            </w:r>
          </w:p>
        </w:tc>
        <w:tc>
          <w:tcPr>
            <w:tcW w:w="1640" w:type="dxa"/>
            <w:vAlign w:val="bottom"/>
          </w:tcPr>
          <w:p>
            <w:pPr>
              <w:jc w:val="right"/>
              <w:ind w:right="170"/>
              <w:spacing w:after="0"/>
              <w:rPr>
                <w:sz w:val="20"/>
                <w:szCs w:val="20"/>
                <w:color w:val="auto"/>
              </w:rPr>
            </w:pPr>
            <w:r>
              <w:rPr>
                <w:rFonts w:ascii="Arial" w:cs="Arial" w:eastAsia="Arial" w:hAnsi="Arial"/>
                <w:sz w:val="14"/>
                <w:szCs w:val="14"/>
                <w:color w:val="032E5C"/>
              </w:rPr>
              <w:t>—</w:t>
            </w:r>
          </w:p>
        </w:tc>
        <w:tc>
          <w:tcPr>
            <w:tcW w:w="1460" w:type="dxa"/>
            <w:vAlign w:val="bottom"/>
          </w:tcPr>
          <w:p>
            <w:pPr>
              <w:jc w:val="right"/>
              <w:ind w:right="170"/>
              <w:spacing w:after="0"/>
              <w:rPr>
                <w:sz w:val="20"/>
                <w:szCs w:val="20"/>
                <w:color w:val="auto"/>
              </w:rPr>
            </w:pPr>
            <w:r>
              <w:rPr>
                <w:rFonts w:ascii="Arial" w:cs="Arial" w:eastAsia="Arial" w:hAnsi="Arial"/>
                <w:sz w:val="14"/>
                <w:szCs w:val="14"/>
                <w:color w:val="032E5C"/>
              </w:rPr>
              <w:t>9,078</w:t>
            </w:r>
          </w:p>
        </w:tc>
        <w:tc>
          <w:tcPr>
            <w:tcW w:w="880" w:type="dxa"/>
            <w:vAlign w:val="bottom"/>
          </w:tcPr>
          <w:p>
            <w:pPr>
              <w:jc w:val="right"/>
              <w:spacing w:after="0"/>
              <w:rPr>
                <w:sz w:val="20"/>
                <w:szCs w:val="20"/>
                <w:color w:val="auto"/>
              </w:rPr>
            </w:pPr>
            <w:r>
              <w:rPr>
                <w:rFonts w:ascii="Arial" w:cs="Arial" w:eastAsia="Arial" w:hAnsi="Arial"/>
                <w:sz w:val="14"/>
                <w:szCs w:val="14"/>
                <w:color w:val="032E5C"/>
              </w:rPr>
              <w:t>2,162,634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80" w:type="dxa"/>
            <w:vAlign w:val="bottom"/>
            <w:shd w:val="clear" w:color="auto" w:fill="F3EFE9"/>
          </w:tcPr>
          <w:p>
            <w:pPr>
              <w:spacing w:after="0"/>
              <w:rPr>
                <w:sz w:val="5"/>
                <w:szCs w:val="5"/>
                <w:color w:val="auto"/>
              </w:rPr>
            </w:pPr>
          </w:p>
        </w:tc>
        <w:tc>
          <w:tcPr>
            <w:tcW w:w="2200" w:type="dxa"/>
            <w:vAlign w:val="bottom"/>
            <w:vMerge w:val="continue"/>
            <w:shd w:val="clear" w:color="auto" w:fill="F3EFE9"/>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80" w:type="dxa"/>
            <w:vAlign w:val="bottom"/>
            <w:tcBorders>
              <w:bottom w:val="single" w:sz="8" w:color="F3EFE9"/>
            </w:tcBorders>
            <w:shd w:val="clear" w:color="auto" w:fill="F3EFE9"/>
          </w:tcPr>
          <w:p>
            <w:pPr>
              <w:spacing w:after="0"/>
              <w:rPr>
                <w:sz w:val="4"/>
                <w:szCs w:val="4"/>
                <w:color w:val="auto"/>
              </w:rPr>
            </w:pPr>
          </w:p>
        </w:tc>
        <w:tc>
          <w:tcPr>
            <w:tcW w:w="220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color w:val="032E5C"/>
              </w:rPr>
              <w:t>Former Executive Vice</w:t>
            </w:r>
          </w:p>
        </w:tc>
        <w:tc>
          <w:tcPr>
            <w:tcW w:w="720" w:type="dxa"/>
            <w:vAlign w:val="bottom"/>
            <w:tcBorders>
              <w:bottom w:val="single" w:sz="8" w:color="98BDE2"/>
            </w:tcBorders>
          </w:tcPr>
          <w:p>
            <w:pPr>
              <w:spacing w:after="0"/>
              <w:rPr>
                <w:sz w:val="4"/>
                <w:szCs w:val="4"/>
                <w:color w:val="auto"/>
              </w:rPr>
            </w:pPr>
          </w:p>
        </w:tc>
        <w:tc>
          <w:tcPr>
            <w:tcW w:w="1080" w:type="dxa"/>
            <w:vAlign w:val="bottom"/>
            <w:tcBorders>
              <w:bottom w:val="single" w:sz="8" w:color="98BDE2"/>
            </w:tcBorders>
          </w:tcPr>
          <w:p>
            <w:pPr>
              <w:spacing w:after="0"/>
              <w:rPr>
                <w:sz w:val="4"/>
                <w:szCs w:val="4"/>
                <w:color w:val="auto"/>
              </w:rPr>
            </w:pPr>
          </w:p>
        </w:tc>
        <w:tc>
          <w:tcPr>
            <w:tcW w:w="660" w:type="dxa"/>
            <w:vAlign w:val="bottom"/>
            <w:tcBorders>
              <w:bottom w:val="single" w:sz="8" w:color="98BDE2"/>
            </w:tcBorders>
          </w:tcPr>
          <w:p>
            <w:pPr>
              <w:spacing w:after="0"/>
              <w:rPr>
                <w:sz w:val="4"/>
                <w:szCs w:val="4"/>
                <w:color w:val="auto"/>
              </w:rPr>
            </w:pPr>
          </w:p>
        </w:tc>
        <w:tc>
          <w:tcPr>
            <w:tcW w:w="1040" w:type="dxa"/>
            <w:vAlign w:val="bottom"/>
            <w:tcBorders>
              <w:bottom w:val="single" w:sz="8" w:color="98BDE2"/>
            </w:tcBorders>
          </w:tcPr>
          <w:p>
            <w:pPr>
              <w:spacing w:after="0"/>
              <w:rPr>
                <w:sz w:val="4"/>
                <w:szCs w:val="4"/>
                <w:color w:val="auto"/>
              </w:rPr>
            </w:pPr>
          </w:p>
        </w:tc>
        <w:tc>
          <w:tcPr>
            <w:tcW w:w="1380" w:type="dxa"/>
            <w:vAlign w:val="bottom"/>
            <w:tcBorders>
              <w:bottom w:val="single" w:sz="8" w:color="98BDE2"/>
            </w:tcBorders>
          </w:tcPr>
          <w:p>
            <w:pPr>
              <w:spacing w:after="0"/>
              <w:rPr>
                <w:sz w:val="4"/>
                <w:szCs w:val="4"/>
                <w:color w:val="auto"/>
              </w:rPr>
            </w:pPr>
          </w:p>
        </w:tc>
        <w:tc>
          <w:tcPr>
            <w:tcW w:w="1640" w:type="dxa"/>
            <w:vAlign w:val="bottom"/>
            <w:tcBorders>
              <w:bottom w:val="single" w:sz="8" w:color="98BDE2"/>
            </w:tcBorders>
          </w:tcPr>
          <w:p>
            <w:pPr>
              <w:spacing w:after="0"/>
              <w:rPr>
                <w:sz w:val="4"/>
                <w:szCs w:val="4"/>
                <w:color w:val="auto"/>
              </w:rPr>
            </w:pPr>
          </w:p>
        </w:tc>
        <w:tc>
          <w:tcPr>
            <w:tcW w:w="1460" w:type="dxa"/>
            <w:vAlign w:val="bottom"/>
            <w:tcBorders>
              <w:bottom w:val="single" w:sz="8" w:color="98BDE2"/>
            </w:tcBorders>
          </w:tcPr>
          <w:p>
            <w:pPr>
              <w:spacing w:after="0"/>
              <w:rPr>
                <w:sz w:val="4"/>
                <w:szCs w:val="4"/>
                <w:color w:val="auto"/>
              </w:rPr>
            </w:pPr>
          </w:p>
        </w:tc>
        <w:tc>
          <w:tcPr>
            <w:tcW w:w="880" w:type="dxa"/>
            <w:vAlign w:val="bottom"/>
            <w:tcBorders>
              <w:bottom w:val="single" w:sz="8" w:color="98BDE2"/>
            </w:tcBorders>
          </w:tcPr>
          <w:p>
            <w:pPr>
              <w:spacing w:after="0"/>
              <w:rPr>
                <w:sz w:val="4"/>
                <w:szCs w:val="4"/>
                <w:color w:val="auto"/>
              </w:rPr>
            </w:pPr>
          </w:p>
        </w:tc>
        <w:tc>
          <w:tcPr>
            <w:tcW w:w="100" w:type="dxa"/>
            <w:vAlign w:val="bottom"/>
            <w:tcBorders>
              <w:bottom w:val="single" w:sz="8" w:color="98BDE2"/>
            </w:tcBorders>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80" w:type="dxa"/>
            <w:vAlign w:val="bottom"/>
            <w:shd w:val="clear" w:color="auto" w:fill="F3EFE9"/>
          </w:tcPr>
          <w:p>
            <w:pPr>
              <w:spacing w:after="0"/>
              <w:rPr>
                <w:sz w:val="9"/>
                <w:szCs w:val="9"/>
                <w:color w:val="auto"/>
              </w:rPr>
            </w:pPr>
          </w:p>
        </w:tc>
        <w:tc>
          <w:tcPr>
            <w:tcW w:w="2200" w:type="dxa"/>
            <w:vAlign w:val="bottom"/>
            <w:vMerge w:val="continue"/>
            <w:shd w:val="clear" w:color="auto" w:fill="F3EFE9"/>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3EFE9"/>
          </w:tcPr>
          <w:p>
            <w:pPr>
              <w:spacing w:after="0"/>
              <w:rPr>
                <w:sz w:val="15"/>
                <w:szCs w:val="15"/>
                <w:color w:val="auto"/>
              </w:rPr>
            </w:pPr>
          </w:p>
        </w:tc>
        <w:tc>
          <w:tcPr>
            <w:tcW w:w="220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President,</w:t>
            </w:r>
          </w:p>
        </w:tc>
        <w:tc>
          <w:tcPr>
            <w:tcW w:w="720" w:type="dxa"/>
            <w:vAlign w:val="bottom"/>
          </w:tcPr>
          <w:p>
            <w:pPr>
              <w:jc w:val="center"/>
              <w:spacing w:after="0"/>
              <w:rPr>
                <w:sz w:val="20"/>
                <w:szCs w:val="20"/>
                <w:color w:val="auto"/>
              </w:rPr>
            </w:pPr>
            <w:r>
              <w:rPr>
                <w:rFonts w:ascii="Arial" w:cs="Arial" w:eastAsia="Arial" w:hAnsi="Arial"/>
                <w:sz w:val="14"/>
                <w:szCs w:val="14"/>
                <w:color w:val="032E5C"/>
              </w:rPr>
              <w:t>2023</w:t>
            </w:r>
          </w:p>
        </w:tc>
        <w:tc>
          <w:tcPr>
            <w:tcW w:w="1080" w:type="dxa"/>
            <w:vAlign w:val="bottom"/>
          </w:tcPr>
          <w:p>
            <w:pPr>
              <w:jc w:val="right"/>
              <w:ind w:right="68"/>
              <w:spacing w:after="0"/>
              <w:rPr>
                <w:sz w:val="20"/>
                <w:szCs w:val="20"/>
                <w:color w:val="auto"/>
              </w:rPr>
            </w:pPr>
            <w:r>
              <w:rPr>
                <w:rFonts w:ascii="Arial" w:cs="Arial" w:eastAsia="Arial" w:hAnsi="Arial"/>
                <w:sz w:val="14"/>
                <w:szCs w:val="14"/>
                <w:color w:val="032E5C"/>
              </w:rPr>
              <w:t>604,192</w:t>
            </w:r>
          </w:p>
        </w:tc>
        <w:tc>
          <w:tcPr>
            <w:tcW w:w="660" w:type="dxa"/>
            <w:vAlign w:val="bottom"/>
          </w:tcPr>
          <w:p>
            <w:pPr>
              <w:jc w:val="right"/>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865,093</w:t>
            </w:r>
          </w:p>
        </w:tc>
        <w:tc>
          <w:tcPr>
            <w:tcW w:w="1380" w:type="dxa"/>
            <w:vAlign w:val="bottom"/>
          </w:tcPr>
          <w:p>
            <w:pPr>
              <w:jc w:val="right"/>
              <w:spacing w:after="0"/>
              <w:rPr>
                <w:sz w:val="20"/>
                <w:szCs w:val="20"/>
                <w:color w:val="auto"/>
              </w:rPr>
            </w:pPr>
            <w:r>
              <w:rPr>
                <w:rFonts w:ascii="Arial" w:cs="Arial" w:eastAsia="Arial" w:hAnsi="Arial"/>
                <w:sz w:val="14"/>
                <w:szCs w:val="14"/>
                <w:color w:val="032E5C"/>
              </w:rPr>
              <w:t>865,091</w:t>
            </w:r>
          </w:p>
        </w:tc>
        <w:tc>
          <w:tcPr>
            <w:tcW w:w="1640" w:type="dxa"/>
            <w:vAlign w:val="bottom"/>
          </w:tcPr>
          <w:p>
            <w:pPr>
              <w:jc w:val="right"/>
              <w:ind w:right="170"/>
              <w:spacing w:after="0"/>
              <w:rPr>
                <w:sz w:val="20"/>
                <w:szCs w:val="20"/>
                <w:color w:val="auto"/>
              </w:rPr>
            </w:pPr>
            <w:r>
              <w:rPr>
                <w:rFonts w:ascii="Arial" w:cs="Arial" w:eastAsia="Arial" w:hAnsi="Arial"/>
                <w:sz w:val="14"/>
                <w:szCs w:val="14"/>
                <w:color w:val="032E5C"/>
              </w:rPr>
              <w:t>95,234</w:t>
            </w:r>
          </w:p>
        </w:tc>
        <w:tc>
          <w:tcPr>
            <w:tcW w:w="1460" w:type="dxa"/>
            <w:vAlign w:val="bottom"/>
          </w:tcPr>
          <w:p>
            <w:pPr>
              <w:jc w:val="right"/>
              <w:ind w:right="170"/>
              <w:spacing w:after="0"/>
              <w:rPr>
                <w:sz w:val="20"/>
                <w:szCs w:val="20"/>
                <w:color w:val="auto"/>
              </w:rPr>
            </w:pPr>
            <w:r>
              <w:rPr>
                <w:rFonts w:ascii="Arial" w:cs="Arial" w:eastAsia="Arial" w:hAnsi="Arial"/>
                <w:sz w:val="14"/>
                <w:szCs w:val="14"/>
                <w:color w:val="032E5C"/>
              </w:rPr>
              <w:t>30,209</w:t>
            </w:r>
          </w:p>
        </w:tc>
        <w:tc>
          <w:tcPr>
            <w:tcW w:w="880" w:type="dxa"/>
            <w:vAlign w:val="bottom"/>
          </w:tcPr>
          <w:p>
            <w:pPr>
              <w:jc w:val="right"/>
              <w:spacing w:after="0"/>
              <w:rPr>
                <w:sz w:val="20"/>
                <w:szCs w:val="20"/>
                <w:color w:val="auto"/>
              </w:rPr>
            </w:pPr>
            <w:r>
              <w:rPr>
                <w:rFonts w:ascii="Arial" w:cs="Arial" w:eastAsia="Arial" w:hAnsi="Arial"/>
                <w:sz w:val="14"/>
                <w:szCs w:val="14"/>
                <w:color w:val="032E5C"/>
              </w:rPr>
              <w:t>2,459,819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F3EFE9"/>
            </w:tcBorders>
            <w:shd w:val="clear" w:color="auto" w:fill="F3EFE9"/>
          </w:tcPr>
          <w:p>
            <w:pPr>
              <w:spacing w:after="0"/>
              <w:rPr>
                <w:sz w:val="11"/>
                <w:szCs w:val="11"/>
                <w:color w:val="auto"/>
              </w:rPr>
            </w:pPr>
          </w:p>
        </w:tc>
        <w:tc>
          <w:tcPr>
            <w:tcW w:w="2200" w:type="dxa"/>
            <w:vAlign w:val="bottom"/>
            <w:tcBorders>
              <w:bottom w:val="single" w:sz="8" w:color="F3EFE9"/>
            </w:tcBorders>
            <w:shd w:val="clear" w:color="auto" w:fill="F3EFE9"/>
          </w:tcPr>
          <w:p>
            <w:pPr>
              <w:ind w:left="20"/>
              <w:spacing w:after="0" w:line="125" w:lineRule="exact"/>
              <w:rPr>
                <w:sz w:val="20"/>
                <w:szCs w:val="20"/>
                <w:color w:val="auto"/>
              </w:rPr>
            </w:pPr>
            <w:r>
              <w:rPr>
                <w:rFonts w:ascii="Arial" w:cs="Arial" w:eastAsia="Arial" w:hAnsi="Arial"/>
                <w:sz w:val="14"/>
                <w:szCs w:val="14"/>
                <w:color w:val="032E5C"/>
              </w:rPr>
              <w:t>General Counsel and</w:t>
            </w:r>
          </w:p>
        </w:tc>
        <w:tc>
          <w:tcPr>
            <w:tcW w:w="720" w:type="dxa"/>
            <w:vAlign w:val="bottom"/>
            <w:tcBorders>
              <w:bottom w:val="single" w:sz="8" w:color="98BDE2"/>
            </w:tcBorders>
          </w:tcPr>
          <w:p>
            <w:pPr>
              <w:spacing w:after="0"/>
              <w:rPr>
                <w:sz w:val="11"/>
                <w:szCs w:val="11"/>
                <w:color w:val="auto"/>
              </w:rPr>
            </w:pPr>
          </w:p>
        </w:tc>
        <w:tc>
          <w:tcPr>
            <w:tcW w:w="1080" w:type="dxa"/>
            <w:vAlign w:val="bottom"/>
            <w:tcBorders>
              <w:bottom w:val="single" w:sz="8" w:color="98BDE2"/>
            </w:tcBorders>
          </w:tcPr>
          <w:p>
            <w:pPr>
              <w:spacing w:after="0"/>
              <w:rPr>
                <w:sz w:val="11"/>
                <w:szCs w:val="11"/>
                <w:color w:val="auto"/>
              </w:rPr>
            </w:pPr>
          </w:p>
        </w:tc>
        <w:tc>
          <w:tcPr>
            <w:tcW w:w="660" w:type="dxa"/>
            <w:vAlign w:val="bottom"/>
            <w:tcBorders>
              <w:bottom w:val="single" w:sz="8" w:color="98BDE2"/>
            </w:tcBorders>
          </w:tcPr>
          <w:p>
            <w:pPr>
              <w:spacing w:after="0"/>
              <w:rPr>
                <w:sz w:val="11"/>
                <w:szCs w:val="11"/>
                <w:color w:val="auto"/>
              </w:rPr>
            </w:pPr>
          </w:p>
        </w:tc>
        <w:tc>
          <w:tcPr>
            <w:tcW w:w="1040" w:type="dxa"/>
            <w:vAlign w:val="bottom"/>
            <w:tcBorders>
              <w:bottom w:val="single" w:sz="8" w:color="98BDE2"/>
            </w:tcBorders>
          </w:tcPr>
          <w:p>
            <w:pPr>
              <w:spacing w:after="0"/>
              <w:rPr>
                <w:sz w:val="11"/>
                <w:szCs w:val="11"/>
                <w:color w:val="auto"/>
              </w:rPr>
            </w:pPr>
          </w:p>
        </w:tc>
        <w:tc>
          <w:tcPr>
            <w:tcW w:w="1380" w:type="dxa"/>
            <w:vAlign w:val="bottom"/>
            <w:tcBorders>
              <w:bottom w:val="single" w:sz="8" w:color="98BDE2"/>
            </w:tcBorders>
          </w:tcPr>
          <w:p>
            <w:pPr>
              <w:spacing w:after="0"/>
              <w:rPr>
                <w:sz w:val="11"/>
                <w:szCs w:val="11"/>
                <w:color w:val="auto"/>
              </w:rPr>
            </w:pPr>
          </w:p>
        </w:tc>
        <w:tc>
          <w:tcPr>
            <w:tcW w:w="1640" w:type="dxa"/>
            <w:vAlign w:val="bottom"/>
            <w:tcBorders>
              <w:bottom w:val="single" w:sz="8" w:color="98BDE2"/>
            </w:tcBorders>
          </w:tcPr>
          <w:p>
            <w:pPr>
              <w:spacing w:after="0"/>
              <w:rPr>
                <w:sz w:val="11"/>
                <w:szCs w:val="11"/>
                <w:color w:val="auto"/>
              </w:rPr>
            </w:pPr>
          </w:p>
        </w:tc>
        <w:tc>
          <w:tcPr>
            <w:tcW w:w="1460" w:type="dxa"/>
            <w:vAlign w:val="bottom"/>
            <w:tcBorders>
              <w:bottom w:val="single" w:sz="8" w:color="98BDE2"/>
            </w:tcBorders>
          </w:tcPr>
          <w:p>
            <w:pPr>
              <w:spacing w:after="0"/>
              <w:rPr>
                <w:sz w:val="11"/>
                <w:szCs w:val="11"/>
                <w:color w:val="auto"/>
              </w:rPr>
            </w:pPr>
          </w:p>
        </w:tc>
        <w:tc>
          <w:tcPr>
            <w:tcW w:w="880" w:type="dxa"/>
            <w:vAlign w:val="bottom"/>
            <w:tcBorders>
              <w:bottom w:val="single" w:sz="8" w:color="98BDE2"/>
            </w:tcBorders>
          </w:tcPr>
          <w:p>
            <w:pPr>
              <w:spacing w:after="0"/>
              <w:rPr>
                <w:sz w:val="11"/>
                <w:szCs w:val="11"/>
                <w:color w:val="auto"/>
              </w:rPr>
            </w:pPr>
          </w:p>
        </w:tc>
        <w:tc>
          <w:tcPr>
            <w:tcW w:w="100" w:type="dxa"/>
            <w:vAlign w:val="bottom"/>
            <w:tcBorders>
              <w:bottom w:val="single" w:sz="8" w:color="98BDE2"/>
            </w:tcBorders>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F3EFE9"/>
          </w:tcPr>
          <w:p>
            <w:pPr>
              <w:spacing w:after="0"/>
              <w:rPr>
                <w:sz w:val="18"/>
                <w:szCs w:val="18"/>
                <w:color w:val="auto"/>
              </w:rPr>
            </w:pPr>
          </w:p>
        </w:tc>
        <w:tc>
          <w:tcPr>
            <w:tcW w:w="220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Secretary</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032E5C"/>
              </w:rPr>
              <w:t>2022</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032E5C"/>
              </w:rPr>
              <w:t>564,539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032E5C"/>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032E5C"/>
              </w:rPr>
              <w:t>768,786</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032E5C"/>
              </w:rPr>
              <w:t>768,912</w:t>
            </w:r>
          </w:p>
        </w:tc>
        <w:tc>
          <w:tcPr>
            <w:tcW w:w="1640" w:type="dxa"/>
            <w:vAlign w:val="bottom"/>
            <w:vMerge w:val="restart"/>
          </w:tcPr>
          <w:p>
            <w:pPr>
              <w:jc w:val="right"/>
              <w:ind w:right="170"/>
              <w:spacing w:after="0"/>
              <w:rPr>
                <w:sz w:val="20"/>
                <w:szCs w:val="20"/>
                <w:color w:val="auto"/>
              </w:rPr>
            </w:pPr>
            <w:r>
              <w:rPr>
                <w:rFonts w:ascii="Arial" w:cs="Arial" w:eastAsia="Arial" w:hAnsi="Arial"/>
                <w:sz w:val="14"/>
                <w:szCs w:val="14"/>
                <w:color w:val="032E5C"/>
              </w:rPr>
              <w:t>341,636</w:t>
            </w:r>
          </w:p>
        </w:tc>
        <w:tc>
          <w:tcPr>
            <w:tcW w:w="1460" w:type="dxa"/>
            <w:vAlign w:val="bottom"/>
            <w:vMerge w:val="restart"/>
          </w:tcPr>
          <w:p>
            <w:pPr>
              <w:jc w:val="right"/>
              <w:ind w:right="170"/>
              <w:spacing w:after="0"/>
              <w:rPr>
                <w:sz w:val="20"/>
                <w:szCs w:val="20"/>
                <w:color w:val="auto"/>
              </w:rPr>
            </w:pPr>
            <w:r>
              <w:rPr>
                <w:rFonts w:ascii="Arial" w:cs="Arial" w:eastAsia="Arial" w:hAnsi="Arial"/>
                <w:sz w:val="14"/>
                <w:szCs w:val="14"/>
                <w:color w:val="032E5C"/>
              </w:rPr>
              <w:t>27,561</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32E5C"/>
              </w:rPr>
              <w:t>2,471,434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F3EFE9"/>
          </w:tcPr>
          <w:p>
            <w:pPr>
              <w:spacing w:after="0"/>
              <w:rPr>
                <w:sz w:val="7"/>
                <w:szCs w:val="7"/>
                <w:color w:val="auto"/>
              </w:rPr>
            </w:pPr>
          </w:p>
        </w:tc>
        <w:tc>
          <w:tcPr>
            <w:tcW w:w="2200" w:type="dxa"/>
            <w:vAlign w:val="bottom"/>
            <w:shd w:val="clear" w:color="auto" w:fill="F3EFE9"/>
          </w:tcPr>
          <w:p>
            <w:pPr>
              <w:spacing w:after="0"/>
              <w:rPr>
                <w:sz w:val="7"/>
                <w:szCs w:val="7"/>
                <w:color w:val="auto"/>
              </w:rPr>
            </w:pPr>
          </w:p>
        </w:tc>
        <w:tc>
          <w:tcPr>
            <w:tcW w:w="7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98BDE2"/>
            </w:tcBorders>
            <w:shd w:val="clear" w:color="auto" w:fill="F3EFE9"/>
          </w:tcPr>
          <w:p>
            <w:pPr>
              <w:spacing w:after="0"/>
              <w:rPr>
                <w:sz w:val="10"/>
                <w:szCs w:val="10"/>
                <w:color w:val="auto"/>
              </w:rPr>
            </w:pPr>
          </w:p>
        </w:tc>
        <w:tc>
          <w:tcPr>
            <w:tcW w:w="2200" w:type="dxa"/>
            <w:vAlign w:val="bottom"/>
            <w:tcBorders>
              <w:bottom w:val="single" w:sz="8" w:color="98BDE2"/>
            </w:tcBorders>
            <w:shd w:val="clear" w:color="auto" w:fill="F3EFE9"/>
          </w:tcPr>
          <w:p>
            <w:pPr>
              <w:spacing w:after="0"/>
              <w:rPr>
                <w:sz w:val="10"/>
                <w:szCs w:val="10"/>
                <w:color w:val="auto"/>
              </w:rPr>
            </w:pPr>
          </w:p>
        </w:tc>
        <w:tc>
          <w:tcPr>
            <w:tcW w:w="720" w:type="dxa"/>
            <w:vAlign w:val="bottom"/>
            <w:tcBorders>
              <w:bottom w:val="single" w:sz="8" w:color="98BDE2"/>
            </w:tcBorders>
          </w:tcPr>
          <w:p>
            <w:pPr>
              <w:spacing w:after="0"/>
              <w:rPr>
                <w:sz w:val="10"/>
                <w:szCs w:val="10"/>
                <w:color w:val="auto"/>
              </w:rPr>
            </w:pPr>
          </w:p>
        </w:tc>
        <w:tc>
          <w:tcPr>
            <w:tcW w:w="1080" w:type="dxa"/>
            <w:vAlign w:val="bottom"/>
            <w:tcBorders>
              <w:bottom w:val="single" w:sz="8" w:color="98BDE2"/>
            </w:tcBorders>
          </w:tcPr>
          <w:p>
            <w:pPr>
              <w:spacing w:after="0"/>
              <w:rPr>
                <w:sz w:val="10"/>
                <w:szCs w:val="10"/>
                <w:color w:val="auto"/>
              </w:rPr>
            </w:pPr>
          </w:p>
        </w:tc>
        <w:tc>
          <w:tcPr>
            <w:tcW w:w="660" w:type="dxa"/>
            <w:vAlign w:val="bottom"/>
            <w:tcBorders>
              <w:bottom w:val="single" w:sz="8" w:color="98BDE2"/>
            </w:tcBorders>
          </w:tcPr>
          <w:p>
            <w:pPr>
              <w:spacing w:after="0"/>
              <w:rPr>
                <w:sz w:val="10"/>
                <w:szCs w:val="10"/>
                <w:color w:val="auto"/>
              </w:rPr>
            </w:pPr>
          </w:p>
        </w:tc>
        <w:tc>
          <w:tcPr>
            <w:tcW w:w="1040" w:type="dxa"/>
            <w:vAlign w:val="bottom"/>
            <w:tcBorders>
              <w:bottom w:val="single" w:sz="8" w:color="98BDE2"/>
            </w:tcBorders>
          </w:tcPr>
          <w:p>
            <w:pPr>
              <w:spacing w:after="0"/>
              <w:rPr>
                <w:sz w:val="10"/>
                <w:szCs w:val="10"/>
                <w:color w:val="auto"/>
              </w:rPr>
            </w:pPr>
          </w:p>
        </w:tc>
        <w:tc>
          <w:tcPr>
            <w:tcW w:w="1380" w:type="dxa"/>
            <w:vAlign w:val="bottom"/>
            <w:tcBorders>
              <w:bottom w:val="single" w:sz="8" w:color="98BDE2"/>
            </w:tcBorders>
          </w:tcPr>
          <w:p>
            <w:pPr>
              <w:spacing w:after="0"/>
              <w:rPr>
                <w:sz w:val="10"/>
                <w:szCs w:val="10"/>
                <w:color w:val="auto"/>
              </w:rPr>
            </w:pPr>
          </w:p>
        </w:tc>
        <w:tc>
          <w:tcPr>
            <w:tcW w:w="1640" w:type="dxa"/>
            <w:vAlign w:val="bottom"/>
            <w:tcBorders>
              <w:bottom w:val="single" w:sz="8" w:color="98BDE2"/>
            </w:tcBorders>
          </w:tcPr>
          <w:p>
            <w:pPr>
              <w:spacing w:after="0"/>
              <w:rPr>
                <w:sz w:val="10"/>
                <w:szCs w:val="10"/>
                <w:color w:val="auto"/>
              </w:rPr>
            </w:pPr>
          </w:p>
        </w:tc>
        <w:tc>
          <w:tcPr>
            <w:tcW w:w="1460" w:type="dxa"/>
            <w:vAlign w:val="bottom"/>
            <w:tcBorders>
              <w:bottom w:val="single" w:sz="8" w:color="98BDE2"/>
            </w:tcBorders>
          </w:tcPr>
          <w:p>
            <w:pPr>
              <w:spacing w:after="0"/>
              <w:rPr>
                <w:sz w:val="10"/>
                <w:szCs w:val="10"/>
                <w:color w:val="auto"/>
              </w:rPr>
            </w:pPr>
          </w:p>
        </w:tc>
        <w:tc>
          <w:tcPr>
            <w:tcW w:w="880" w:type="dxa"/>
            <w:vAlign w:val="bottom"/>
            <w:tcBorders>
              <w:bottom w:val="single" w:sz="8" w:color="98BDE2"/>
            </w:tcBorders>
          </w:tcPr>
          <w:p>
            <w:pPr>
              <w:spacing w:after="0"/>
              <w:rPr>
                <w:sz w:val="10"/>
                <w:szCs w:val="10"/>
                <w:color w:val="auto"/>
              </w:rPr>
            </w:pPr>
          </w:p>
        </w:tc>
        <w:tc>
          <w:tcPr>
            <w:tcW w:w="100" w:type="dxa"/>
            <w:vAlign w:val="bottom"/>
            <w:tcBorders>
              <w:bottom w:val="single" w:sz="8" w:color="98BDE2"/>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220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Gregory J. Sullivan</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032E5C"/>
              </w:rPr>
              <w:t>2024</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032E5C"/>
              </w:rPr>
              <w:t>438,730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032E5C"/>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032E5C"/>
              </w:rPr>
              <w:t>225,834</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032E5C"/>
              </w:rPr>
              <w:t>225,970</w:t>
            </w:r>
          </w:p>
        </w:tc>
        <w:tc>
          <w:tcPr>
            <w:tcW w:w="1640" w:type="dxa"/>
            <w:vAlign w:val="bottom"/>
            <w:vMerge w:val="restart"/>
          </w:tcPr>
          <w:p>
            <w:pPr>
              <w:jc w:val="right"/>
              <w:ind w:right="170"/>
              <w:spacing w:after="0"/>
              <w:rPr>
                <w:sz w:val="20"/>
                <w:szCs w:val="20"/>
                <w:color w:val="auto"/>
              </w:rPr>
            </w:pPr>
            <w:r>
              <w:rPr>
                <w:rFonts w:ascii="Arial" w:cs="Arial" w:eastAsia="Arial" w:hAnsi="Arial"/>
                <w:sz w:val="14"/>
                <w:szCs w:val="14"/>
                <w:color w:val="032E5C"/>
              </w:rPr>
              <w:t>52,312</w:t>
            </w:r>
          </w:p>
        </w:tc>
        <w:tc>
          <w:tcPr>
            <w:tcW w:w="1460" w:type="dxa"/>
            <w:vAlign w:val="bottom"/>
            <w:vMerge w:val="restart"/>
          </w:tcPr>
          <w:p>
            <w:pPr>
              <w:jc w:val="right"/>
              <w:ind w:right="170"/>
              <w:spacing w:after="0"/>
              <w:rPr>
                <w:sz w:val="20"/>
                <w:szCs w:val="20"/>
                <w:color w:val="auto"/>
              </w:rPr>
            </w:pPr>
            <w:r>
              <w:rPr>
                <w:rFonts w:ascii="Arial" w:cs="Arial" w:eastAsia="Arial" w:hAnsi="Arial"/>
                <w:sz w:val="14"/>
                <w:szCs w:val="14"/>
                <w:color w:val="032E5C"/>
              </w:rPr>
              <w:t>32,869</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32E5C"/>
              </w:rPr>
              <w:t>975,715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3EFE9"/>
          </w:tcPr>
          <w:p>
            <w:pPr>
              <w:spacing w:after="0"/>
              <w:rPr>
                <w:sz w:val="15"/>
                <w:szCs w:val="15"/>
                <w:color w:val="auto"/>
              </w:rPr>
            </w:pPr>
          </w:p>
        </w:tc>
        <w:tc>
          <w:tcPr>
            <w:tcW w:w="220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Executive Vice President,</w:t>
            </w:r>
          </w:p>
        </w:tc>
        <w:tc>
          <w:tcPr>
            <w:tcW w:w="7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3E5C7C"/>
            </w:tcBorders>
            <w:shd w:val="clear" w:color="auto" w:fill="F3EFE9"/>
          </w:tcPr>
          <w:p>
            <w:pPr>
              <w:spacing w:after="0"/>
              <w:rPr>
                <w:sz w:val="17"/>
                <w:szCs w:val="17"/>
                <w:color w:val="auto"/>
              </w:rPr>
            </w:pPr>
          </w:p>
        </w:tc>
        <w:tc>
          <w:tcPr>
            <w:tcW w:w="2200" w:type="dxa"/>
            <w:vAlign w:val="bottom"/>
            <w:tcBorders>
              <w:bottom w:val="single" w:sz="8" w:color="3E5C7C"/>
            </w:tcBorders>
            <w:shd w:val="clear" w:color="auto" w:fill="F3EFE9"/>
          </w:tcPr>
          <w:p>
            <w:pPr>
              <w:ind w:left="20"/>
              <w:spacing w:after="0"/>
              <w:rPr>
                <w:sz w:val="20"/>
                <w:szCs w:val="20"/>
                <w:color w:val="auto"/>
              </w:rPr>
            </w:pPr>
            <w:r>
              <w:rPr>
                <w:rFonts w:ascii="Arial" w:cs="Arial" w:eastAsia="Arial" w:hAnsi="Arial"/>
                <w:sz w:val="14"/>
                <w:szCs w:val="14"/>
                <w:color w:val="032E5C"/>
              </w:rPr>
              <w:t>Retail/Rental and Hospitality</w:t>
            </w:r>
          </w:p>
        </w:tc>
        <w:tc>
          <w:tcPr>
            <w:tcW w:w="720" w:type="dxa"/>
            <w:vAlign w:val="bottom"/>
            <w:tcBorders>
              <w:bottom w:val="single" w:sz="8" w:color="3E5C7C"/>
            </w:tcBorders>
          </w:tcPr>
          <w:p>
            <w:pPr>
              <w:spacing w:after="0"/>
              <w:rPr>
                <w:sz w:val="17"/>
                <w:szCs w:val="17"/>
                <w:color w:val="auto"/>
              </w:rPr>
            </w:pPr>
          </w:p>
        </w:tc>
        <w:tc>
          <w:tcPr>
            <w:tcW w:w="1080" w:type="dxa"/>
            <w:vAlign w:val="bottom"/>
            <w:tcBorders>
              <w:bottom w:val="single" w:sz="8" w:color="3E5C7C"/>
            </w:tcBorders>
          </w:tcPr>
          <w:p>
            <w:pPr>
              <w:spacing w:after="0"/>
              <w:rPr>
                <w:sz w:val="17"/>
                <w:szCs w:val="17"/>
                <w:color w:val="auto"/>
              </w:rPr>
            </w:pPr>
          </w:p>
        </w:tc>
        <w:tc>
          <w:tcPr>
            <w:tcW w:w="660" w:type="dxa"/>
            <w:vAlign w:val="bottom"/>
            <w:tcBorders>
              <w:bottom w:val="single" w:sz="8" w:color="3E5C7C"/>
            </w:tcBorders>
          </w:tcPr>
          <w:p>
            <w:pPr>
              <w:spacing w:after="0"/>
              <w:rPr>
                <w:sz w:val="17"/>
                <w:szCs w:val="17"/>
                <w:color w:val="auto"/>
              </w:rPr>
            </w:pPr>
          </w:p>
        </w:tc>
        <w:tc>
          <w:tcPr>
            <w:tcW w:w="1040" w:type="dxa"/>
            <w:vAlign w:val="bottom"/>
            <w:tcBorders>
              <w:bottom w:val="single" w:sz="8" w:color="3E5C7C"/>
            </w:tcBorders>
          </w:tcPr>
          <w:p>
            <w:pPr>
              <w:spacing w:after="0"/>
              <w:rPr>
                <w:sz w:val="17"/>
                <w:szCs w:val="17"/>
                <w:color w:val="auto"/>
              </w:rPr>
            </w:pPr>
          </w:p>
        </w:tc>
        <w:tc>
          <w:tcPr>
            <w:tcW w:w="1380" w:type="dxa"/>
            <w:vAlign w:val="bottom"/>
            <w:tcBorders>
              <w:bottom w:val="single" w:sz="8" w:color="3E5C7C"/>
            </w:tcBorders>
          </w:tcPr>
          <w:p>
            <w:pPr>
              <w:spacing w:after="0"/>
              <w:rPr>
                <w:sz w:val="17"/>
                <w:szCs w:val="17"/>
                <w:color w:val="auto"/>
              </w:rPr>
            </w:pPr>
          </w:p>
        </w:tc>
        <w:tc>
          <w:tcPr>
            <w:tcW w:w="1640" w:type="dxa"/>
            <w:vAlign w:val="bottom"/>
            <w:tcBorders>
              <w:bottom w:val="single" w:sz="8" w:color="3E5C7C"/>
            </w:tcBorders>
          </w:tcPr>
          <w:p>
            <w:pPr>
              <w:spacing w:after="0"/>
              <w:rPr>
                <w:sz w:val="17"/>
                <w:szCs w:val="17"/>
                <w:color w:val="auto"/>
              </w:rPr>
            </w:pPr>
          </w:p>
        </w:tc>
        <w:tc>
          <w:tcPr>
            <w:tcW w:w="1460" w:type="dxa"/>
            <w:vAlign w:val="bottom"/>
            <w:tcBorders>
              <w:bottom w:val="single" w:sz="8" w:color="3E5C7C"/>
            </w:tcBorders>
          </w:tcPr>
          <w:p>
            <w:pPr>
              <w:spacing w:after="0"/>
              <w:rPr>
                <w:sz w:val="17"/>
                <w:szCs w:val="17"/>
                <w:color w:val="auto"/>
              </w:rPr>
            </w:pPr>
          </w:p>
        </w:tc>
        <w:tc>
          <w:tcPr>
            <w:tcW w:w="880" w:type="dxa"/>
            <w:vAlign w:val="bottom"/>
            <w:tcBorders>
              <w:bottom w:val="single" w:sz="8" w:color="3E5C7C"/>
            </w:tcBorders>
          </w:tcPr>
          <w:p>
            <w:pPr>
              <w:spacing w:after="0"/>
              <w:rPr>
                <w:sz w:val="17"/>
                <w:szCs w:val="17"/>
                <w:color w:val="auto"/>
              </w:rPr>
            </w:pPr>
          </w:p>
        </w:tc>
        <w:tc>
          <w:tcPr>
            <w:tcW w:w="100" w:type="dxa"/>
            <w:vAlign w:val="bottom"/>
            <w:tcBorders>
              <w:bottom w:val="single" w:sz="8" w:color="3E5C7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80" w:hanging="332"/>
        <w:spacing w:after="0" w:line="305" w:lineRule="auto"/>
        <w:tabs>
          <w:tab w:leader="none" w:pos="340" w:val="left"/>
        </w:tabs>
        <w:numPr>
          <w:ilvl w:val="0"/>
          <w:numId w:val="50"/>
        </w:numPr>
        <w:rPr>
          <w:rFonts w:ascii="Arial" w:cs="Arial" w:eastAsia="Arial" w:hAnsi="Arial"/>
          <w:sz w:val="14"/>
          <w:szCs w:val="14"/>
          <w:color w:val="29292B"/>
        </w:rPr>
      </w:pPr>
      <w:r>
        <w:rPr>
          <w:rFonts w:ascii="Arial" w:cs="Arial" w:eastAsia="Arial" w:hAnsi="Arial"/>
          <w:sz w:val="14"/>
          <w:szCs w:val="14"/>
          <w:color w:val="29292B"/>
        </w:rPr>
        <w:t>Amounts shown reflect salary earned during the fiscal year, which differ from base salaries in that year based in part on the timing of previous year annual adjustments, mid-year promotions, service period, and other adjustments in any given year.</w:t>
      </w:r>
    </w:p>
    <w:p>
      <w:pPr>
        <w:spacing w:after="0" w:line="36" w:lineRule="exact"/>
        <w:rPr>
          <w:rFonts w:ascii="Arial" w:cs="Arial" w:eastAsia="Arial" w:hAnsi="Arial"/>
          <w:sz w:val="14"/>
          <w:szCs w:val="14"/>
          <w:color w:val="29292B"/>
        </w:rPr>
      </w:pPr>
    </w:p>
    <w:p>
      <w:pPr>
        <w:ind w:left="340" w:right="100" w:hanging="332"/>
        <w:spacing w:after="0" w:line="273" w:lineRule="auto"/>
        <w:tabs>
          <w:tab w:leader="none" w:pos="340" w:val="left"/>
        </w:tabs>
        <w:numPr>
          <w:ilvl w:val="0"/>
          <w:numId w:val="50"/>
        </w:numPr>
        <w:rPr>
          <w:rFonts w:ascii="Arial" w:cs="Arial" w:eastAsia="Arial" w:hAnsi="Arial"/>
          <w:sz w:val="14"/>
          <w:szCs w:val="14"/>
          <w:color w:val="29292B"/>
        </w:rPr>
      </w:pPr>
      <w:r>
        <w:rPr>
          <w:rFonts w:ascii="Arial" w:cs="Arial" w:eastAsia="Arial" w:hAnsi="Arial"/>
          <w:sz w:val="14"/>
          <w:szCs w:val="14"/>
          <w:color w:val="29292B"/>
        </w:rPr>
        <w:t>Awards consist of RSUs. The amounts represent the aggregate grant date fair value of RSUs granted during the applicable fiscal year computed in accordance with FASB ASC Topic 718, and do not represent cash payments made to individuals or amounts realized, or amounts that may be realized. Assumptions used in the calculation of these amounts are included in note 14 to our audited financial statements for fiscal 2024, which are included in our Annual Report.</w:t>
      </w:r>
    </w:p>
    <w:p>
      <w:pPr>
        <w:spacing w:after="0" w:line="58" w:lineRule="exact"/>
        <w:rPr>
          <w:rFonts w:ascii="Arial" w:cs="Arial" w:eastAsia="Arial" w:hAnsi="Arial"/>
          <w:sz w:val="14"/>
          <w:szCs w:val="14"/>
          <w:color w:val="29292B"/>
        </w:rPr>
      </w:pPr>
    </w:p>
    <w:p>
      <w:pPr>
        <w:ind w:left="340" w:right="100" w:hanging="332"/>
        <w:spacing w:after="0" w:line="273" w:lineRule="auto"/>
        <w:tabs>
          <w:tab w:leader="none" w:pos="340" w:val="left"/>
        </w:tabs>
        <w:numPr>
          <w:ilvl w:val="0"/>
          <w:numId w:val="50"/>
        </w:numPr>
        <w:rPr>
          <w:rFonts w:ascii="Arial" w:cs="Arial" w:eastAsia="Arial" w:hAnsi="Arial"/>
          <w:sz w:val="14"/>
          <w:szCs w:val="14"/>
          <w:color w:val="29292B"/>
        </w:rPr>
      </w:pPr>
      <w:r>
        <w:rPr>
          <w:rFonts w:ascii="Arial" w:cs="Arial" w:eastAsia="Arial" w:hAnsi="Arial"/>
          <w:sz w:val="14"/>
          <w:szCs w:val="14"/>
          <w:color w:val="29292B"/>
        </w:rPr>
        <w:t>Awards consist of SARs. The amounts represent the aggregate grant date fair value of SARs granted during the applicable fiscal year computed in accordance with FASB ASC Topic 718, and do not represent cash payments made to individuals or amounts realized, or amounts that may be realized. Assumptions used in the calculation of these amounts are included in note 14 to our audited financial statements for fiscal 2024, which are included in our Annual Report.</w:t>
      </w:r>
    </w:p>
    <w:p>
      <w:pPr>
        <w:spacing w:after="0" w:line="58" w:lineRule="exact"/>
        <w:rPr>
          <w:rFonts w:ascii="Arial" w:cs="Arial" w:eastAsia="Arial" w:hAnsi="Arial"/>
          <w:sz w:val="14"/>
          <w:szCs w:val="14"/>
          <w:color w:val="29292B"/>
        </w:rPr>
      </w:pPr>
    </w:p>
    <w:p>
      <w:pPr>
        <w:ind w:left="340" w:right="520" w:hanging="332"/>
        <w:spacing w:after="0" w:line="273" w:lineRule="auto"/>
        <w:tabs>
          <w:tab w:leader="none" w:pos="340" w:val="left"/>
        </w:tabs>
        <w:numPr>
          <w:ilvl w:val="0"/>
          <w:numId w:val="50"/>
        </w:numPr>
        <w:rPr>
          <w:rFonts w:ascii="Arial" w:cs="Arial" w:eastAsia="Arial" w:hAnsi="Arial"/>
          <w:sz w:val="14"/>
          <w:szCs w:val="14"/>
          <w:color w:val="29292B"/>
        </w:rPr>
      </w:pPr>
      <w:r>
        <w:rPr>
          <w:rFonts w:ascii="Arial" w:cs="Arial" w:eastAsia="Arial" w:hAnsi="Arial"/>
          <w:sz w:val="14"/>
          <w:szCs w:val="14"/>
          <w:color w:val="29292B"/>
        </w:rPr>
        <w:t>In September 2024, pursuant to the MIP, as more fully described in the CD&amp;A and based upon the attainment of performance targets previously established by the Compensation Committee under the MIP, the Compensation Committee approved fiscal 2024 MIP awards for the NEOs other than Messrs. Katz and Shapiro. Such amounts were paid in October 2024.</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58</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59"/>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63" w:name="page64"/>
    <w:bookmarkEnd w:id="63"/>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29292B"/>
        </w:rPr>
      </w:pPr>
      <w:r>
        <w:rPr>
          <w:rFonts w:ascii="Arial" w:cs="Arial" w:eastAsia="Arial" w:hAnsi="Arial"/>
          <w:sz w:val="14"/>
          <w:szCs w:val="14"/>
          <w:color w:val="29292B"/>
        </w:rPr>
        <w:t>All other compensation for fiscal 2024 includes the following:</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1900" w:type="dxa"/>
            <w:vAlign w:val="bottom"/>
            <w:shd w:val="clear" w:color="auto" w:fill="98BDE2"/>
          </w:tcPr>
          <w:p>
            <w:pPr>
              <w:spacing w:after="0"/>
              <w:rPr>
                <w:sz w:val="16"/>
                <w:szCs w:val="16"/>
                <w:color w:val="auto"/>
              </w:rPr>
            </w:pPr>
          </w:p>
        </w:tc>
        <w:tc>
          <w:tcPr>
            <w:tcW w:w="760" w:type="dxa"/>
            <w:vAlign w:val="bottom"/>
            <w:shd w:val="clear" w:color="auto" w:fill="98BDE2"/>
          </w:tcPr>
          <w:p>
            <w:pPr>
              <w:spacing w:after="0"/>
              <w:rPr>
                <w:sz w:val="16"/>
                <w:szCs w:val="16"/>
                <w:color w:val="auto"/>
              </w:rPr>
            </w:pPr>
          </w:p>
        </w:tc>
        <w:tc>
          <w:tcPr>
            <w:tcW w:w="1760" w:type="dxa"/>
            <w:vAlign w:val="bottom"/>
            <w:shd w:val="clear" w:color="auto" w:fill="98BDE2"/>
          </w:tcPr>
          <w:p>
            <w:pPr>
              <w:spacing w:after="0"/>
              <w:rPr>
                <w:sz w:val="16"/>
                <w:szCs w:val="16"/>
                <w:color w:val="auto"/>
              </w:rPr>
            </w:pPr>
          </w:p>
        </w:tc>
        <w:tc>
          <w:tcPr>
            <w:tcW w:w="13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Company-paid</w:t>
            </w:r>
          </w:p>
        </w:tc>
        <w:tc>
          <w:tcPr>
            <w:tcW w:w="1560" w:type="dxa"/>
            <w:vAlign w:val="bottom"/>
            <w:shd w:val="clear" w:color="auto" w:fill="98BDE2"/>
          </w:tcPr>
          <w:p>
            <w:pPr>
              <w:jc w:val="right"/>
              <w:ind w:right="71"/>
              <w:spacing w:after="0"/>
              <w:rPr>
                <w:sz w:val="20"/>
                <w:szCs w:val="20"/>
                <w:color w:val="auto"/>
              </w:rPr>
            </w:pPr>
            <w:r>
              <w:rPr>
                <w:rFonts w:ascii="Arial" w:cs="Arial" w:eastAsia="Arial" w:hAnsi="Arial"/>
                <w:sz w:val="14"/>
                <w:szCs w:val="14"/>
                <w:b w:val="1"/>
                <w:bCs w:val="1"/>
                <w:color w:val="032E5C"/>
              </w:rPr>
              <w:t>Company-paid</w:t>
            </w:r>
          </w:p>
        </w:tc>
        <w:tc>
          <w:tcPr>
            <w:tcW w:w="2360" w:type="dxa"/>
            <w:vAlign w:val="bottom"/>
            <w:shd w:val="clear" w:color="auto" w:fill="98BDE2"/>
          </w:tcPr>
          <w:p>
            <w:pPr>
              <w:jc w:val="right"/>
              <w:ind w:right="231"/>
              <w:spacing w:after="0"/>
              <w:rPr>
                <w:sz w:val="20"/>
                <w:szCs w:val="20"/>
                <w:color w:val="auto"/>
              </w:rPr>
            </w:pPr>
            <w:r>
              <w:rPr>
                <w:rFonts w:ascii="Arial" w:cs="Arial" w:eastAsia="Arial" w:hAnsi="Arial"/>
                <w:sz w:val="14"/>
                <w:szCs w:val="14"/>
                <w:b w:val="1"/>
                <w:bCs w:val="1"/>
                <w:color w:val="032E5C"/>
              </w:rPr>
              <w:t>Company-paid Lodging, Ski</w:t>
            </w:r>
          </w:p>
        </w:tc>
        <w:tc>
          <w:tcPr>
            <w:tcW w:w="860" w:type="dxa"/>
            <w:vAlign w:val="bottom"/>
            <w:shd w:val="clear" w:color="auto" w:fill="98BDE2"/>
          </w:tcPr>
          <w:p>
            <w:pPr>
              <w:spacing w:after="0"/>
              <w:rPr>
                <w:sz w:val="16"/>
                <w:szCs w:val="16"/>
                <w:color w:val="auto"/>
              </w:rPr>
            </w:pPr>
          </w:p>
        </w:tc>
      </w:tr>
      <w:tr>
        <w:trPr>
          <w:trHeight w:val="162"/>
        </w:trPr>
        <w:tc>
          <w:tcPr>
            <w:tcW w:w="1900" w:type="dxa"/>
            <w:vAlign w:val="bottom"/>
            <w:shd w:val="clear" w:color="auto" w:fill="98BDE2"/>
          </w:tcPr>
          <w:p>
            <w:pPr>
              <w:spacing w:after="0"/>
              <w:rPr>
                <w:sz w:val="14"/>
                <w:szCs w:val="14"/>
                <w:color w:val="auto"/>
              </w:rPr>
            </w:pPr>
          </w:p>
        </w:tc>
        <w:tc>
          <w:tcPr>
            <w:tcW w:w="760" w:type="dxa"/>
            <w:vAlign w:val="bottom"/>
            <w:shd w:val="clear" w:color="auto" w:fill="98BDE2"/>
          </w:tcPr>
          <w:p>
            <w:pPr>
              <w:spacing w:after="0"/>
              <w:rPr>
                <w:sz w:val="14"/>
                <w:szCs w:val="14"/>
                <w:color w:val="auto"/>
              </w:rPr>
            </w:pPr>
          </w:p>
        </w:tc>
        <w:tc>
          <w:tcPr>
            <w:tcW w:w="1760" w:type="dxa"/>
            <w:vAlign w:val="bottom"/>
            <w:shd w:val="clear" w:color="auto" w:fill="98BDE2"/>
          </w:tcPr>
          <w:p>
            <w:pPr>
              <w:jc w:val="right"/>
              <w:ind w:right="171"/>
              <w:spacing w:after="0"/>
              <w:rPr>
                <w:sz w:val="20"/>
                <w:szCs w:val="20"/>
                <w:color w:val="auto"/>
              </w:rPr>
            </w:pPr>
            <w:r>
              <w:rPr>
                <w:rFonts w:ascii="Arial" w:cs="Arial" w:eastAsia="Arial" w:hAnsi="Arial"/>
                <w:sz w:val="14"/>
                <w:szCs w:val="14"/>
                <w:b w:val="1"/>
                <w:bCs w:val="1"/>
                <w:color w:val="032E5C"/>
              </w:rPr>
              <w:t>Company</w:t>
            </w:r>
          </w:p>
        </w:tc>
        <w:tc>
          <w:tcPr>
            <w:tcW w:w="13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Supplemental</w:t>
            </w:r>
          </w:p>
        </w:tc>
        <w:tc>
          <w:tcPr>
            <w:tcW w:w="1560" w:type="dxa"/>
            <w:vAlign w:val="bottom"/>
            <w:shd w:val="clear" w:color="auto" w:fill="98BDE2"/>
          </w:tcPr>
          <w:p>
            <w:pPr>
              <w:jc w:val="right"/>
              <w:ind w:right="71"/>
              <w:spacing w:after="0"/>
              <w:rPr>
                <w:sz w:val="20"/>
                <w:szCs w:val="20"/>
                <w:color w:val="auto"/>
              </w:rPr>
            </w:pPr>
            <w:r>
              <w:rPr>
                <w:rFonts w:ascii="Arial" w:cs="Arial" w:eastAsia="Arial" w:hAnsi="Arial"/>
                <w:sz w:val="14"/>
                <w:szCs w:val="14"/>
                <w:b w:val="1"/>
                <w:bCs w:val="1"/>
                <w:color w:val="032E5C"/>
              </w:rPr>
              <w:t>Supplemental</w:t>
            </w:r>
          </w:p>
        </w:tc>
        <w:tc>
          <w:tcPr>
            <w:tcW w:w="2360" w:type="dxa"/>
            <w:vAlign w:val="bottom"/>
            <w:shd w:val="clear" w:color="auto" w:fill="98BDE2"/>
          </w:tcPr>
          <w:p>
            <w:pPr>
              <w:jc w:val="right"/>
              <w:ind w:right="231"/>
              <w:spacing w:after="0"/>
              <w:rPr>
                <w:sz w:val="20"/>
                <w:szCs w:val="20"/>
                <w:color w:val="auto"/>
              </w:rPr>
            </w:pPr>
            <w:r>
              <w:rPr>
                <w:rFonts w:ascii="Arial" w:cs="Arial" w:eastAsia="Arial" w:hAnsi="Arial"/>
                <w:sz w:val="14"/>
                <w:szCs w:val="14"/>
                <w:b w:val="1"/>
                <w:bCs w:val="1"/>
                <w:color w:val="032E5C"/>
              </w:rPr>
              <w:t>School Privileges and</w:t>
            </w:r>
          </w:p>
        </w:tc>
        <w:tc>
          <w:tcPr>
            <w:tcW w:w="860" w:type="dxa"/>
            <w:vAlign w:val="bottom"/>
            <w:shd w:val="clear" w:color="auto" w:fill="98BDE2"/>
          </w:tcPr>
          <w:p>
            <w:pPr>
              <w:spacing w:after="0"/>
              <w:rPr>
                <w:sz w:val="14"/>
                <w:szCs w:val="14"/>
                <w:color w:val="auto"/>
              </w:rPr>
            </w:pPr>
          </w:p>
        </w:tc>
      </w:tr>
      <w:tr>
        <w:trPr>
          <w:trHeight w:val="176"/>
        </w:trPr>
        <w:tc>
          <w:tcPr>
            <w:tcW w:w="1900" w:type="dxa"/>
            <w:vAlign w:val="bottom"/>
            <w:shd w:val="clear" w:color="auto" w:fill="98BDE2"/>
          </w:tcPr>
          <w:p>
            <w:pPr>
              <w:spacing w:after="0"/>
              <w:rPr>
                <w:sz w:val="15"/>
                <w:szCs w:val="15"/>
                <w:color w:val="auto"/>
              </w:rPr>
            </w:pPr>
          </w:p>
        </w:tc>
        <w:tc>
          <w:tcPr>
            <w:tcW w:w="760" w:type="dxa"/>
            <w:vAlign w:val="bottom"/>
            <w:shd w:val="clear" w:color="auto" w:fill="98BDE2"/>
          </w:tcPr>
          <w:p>
            <w:pPr>
              <w:spacing w:after="0"/>
              <w:rPr>
                <w:sz w:val="15"/>
                <w:szCs w:val="15"/>
                <w:color w:val="auto"/>
              </w:rPr>
            </w:pPr>
          </w:p>
        </w:tc>
        <w:tc>
          <w:tcPr>
            <w:tcW w:w="1760" w:type="dxa"/>
            <w:vAlign w:val="bottom"/>
            <w:shd w:val="clear" w:color="auto" w:fill="98BDE2"/>
          </w:tcPr>
          <w:p>
            <w:pPr>
              <w:jc w:val="right"/>
              <w:ind w:right="171"/>
              <w:spacing w:after="0"/>
              <w:rPr>
                <w:sz w:val="20"/>
                <w:szCs w:val="20"/>
                <w:color w:val="auto"/>
              </w:rPr>
            </w:pPr>
            <w:r>
              <w:rPr>
                <w:rFonts w:ascii="Arial" w:cs="Arial" w:eastAsia="Arial" w:hAnsi="Arial"/>
                <w:sz w:val="14"/>
                <w:szCs w:val="14"/>
                <w:b w:val="1"/>
                <w:bCs w:val="1"/>
                <w:color w:val="032E5C"/>
              </w:rPr>
              <w:t>Contributions Under</w:t>
            </w:r>
          </w:p>
        </w:tc>
        <w:tc>
          <w:tcPr>
            <w:tcW w:w="13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Life Insurance</w:t>
            </w:r>
          </w:p>
        </w:tc>
        <w:tc>
          <w:tcPr>
            <w:tcW w:w="1560" w:type="dxa"/>
            <w:vAlign w:val="bottom"/>
            <w:shd w:val="clear" w:color="auto" w:fill="98BDE2"/>
          </w:tcPr>
          <w:p>
            <w:pPr>
              <w:jc w:val="right"/>
              <w:ind w:right="71"/>
              <w:spacing w:after="0"/>
              <w:rPr>
                <w:sz w:val="20"/>
                <w:szCs w:val="20"/>
                <w:color w:val="auto"/>
              </w:rPr>
            </w:pPr>
            <w:r>
              <w:rPr>
                <w:rFonts w:ascii="Arial" w:cs="Arial" w:eastAsia="Arial" w:hAnsi="Arial"/>
                <w:sz w:val="14"/>
                <w:szCs w:val="14"/>
                <w:b w:val="1"/>
                <w:bCs w:val="1"/>
                <w:color w:val="032E5C"/>
              </w:rPr>
              <w:t>Disability Insurance</w:t>
            </w:r>
          </w:p>
        </w:tc>
        <w:tc>
          <w:tcPr>
            <w:tcW w:w="2360" w:type="dxa"/>
            <w:vAlign w:val="bottom"/>
            <w:shd w:val="clear" w:color="auto" w:fill="98BDE2"/>
          </w:tcPr>
          <w:p>
            <w:pPr>
              <w:jc w:val="right"/>
              <w:ind w:right="231"/>
              <w:spacing w:after="0"/>
              <w:rPr>
                <w:sz w:val="20"/>
                <w:szCs w:val="20"/>
                <w:color w:val="auto"/>
              </w:rPr>
            </w:pPr>
            <w:r>
              <w:rPr>
                <w:rFonts w:ascii="Arial" w:cs="Arial" w:eastAsia="Arial" w:hAnsi="Arial"/>
                <w:sz w:val="14"/>
                <w:szCs w:val="14"/>
                <w:b w:val="1"/>
                <w:bCs w:val="1"/>
                <w:color w:val="032E5C"/>
              </w:rPr>
              <w:t>Discretionary Spending on</w:t>
            </w:r>
          </w:p>
        </w:tc>
        <w:tc>
          <w:tcPr>
            <w:tcW w:w="860" w:type="dxa"/>
            <w:vAlign w:val="bottom"/>
            <w:shd w:val="clear" w:color="auto" w:fill="98BDE2"/>
          </w:tcPr>
          <w:p>
            <w:pPr>
              <w:spacing w:after="0"/>
              <w:rPr>
                <w:sz w:val="15"/>
                <w:szCs w:val="15"/>
                <w:color w:val="auto"/>
              </w:rPr>
            </w:pPr>
          </w:p>
        </w:tc>
      </w:tr>
      <w:tr>
        <w:trPr>
          <w:trHeight w:val="173"/>
        </w:trPr>
        <w:tc>
          <w:tcPr>
            <w:tcW w:w="1900" w:type="dxa"/>
            <w:vAlign w:val="bottom"/>
            <w:shd w:val="clear" w:color="auto" w:fill="98BDE2"/>
          </w:tcPr>
          <w:p>
            <w:pPr>
              <w:spacing w:after="0"/>
              <w:rPr>
                <w:sz w:val="15"/>
                <w:szCs w:val="15"/>
                <w:color w:val="auto"/>
              </w:rPr>
            </w:pPr>
          </w:p>
        </w:tc>
        <w:tc>
          <w:tcPr>
            <w:tcW w:w="760" w:type="dxa"/>
            <w:vAlign w:val="bottom"/>
            <w:shd w:val="clear" w:color="auto" w:fill="98BDE2"/>
          </w:tcPr>
          <w:p>
            <w:pPr>
              <w:jc w:val="center"/>
              <w:ind w:left="8"/>
              <w:spacing w:after="0"/>
              <w:rPr>
                <w:sz w:val="20"/>
                <w:szCs w:val="20"/>
                <w:color w:val="auto"/>
              </w:rPr>
            </w:pPr>
            <w:r>
              <w:rPr>
                <w:rFonts w:ascii="Arial" w:cs="Arial" w:eastAsia="Arial" w:hAnsi="Arial"/>
                <w:sz w:val="14"/>
                <w:szCs w:val="14"/>
                <w:b w:val="1"/>
                <w:bCs w:val="1"/>
                <w:color w:val="032E5C"/>
              </w:rPr>
              <w:t>Fiscal</w:t>
            </w:r>
          </w:p>
        </w:tc>
        <w:tc>
          <w:tcPr>
            <w:tcW w:w="1760" w:type="dxa"/>
            <w:vAlign w:val="bottom"/>
            <w:shd w:val="clear" w:color="auto" w:fill="98BDE2"/>
          </w:tcPr>
          <w:p>
            <w:pPr>
              <w:jc w:val="right"/>
              <w:ind w:right="171"/>
              <w:spacing w:after="0"/>
              <w:rPr>
                <w:sz w:val="20"/>
                <w:szCs w:val="20"/>
                <w:color w:val="auto"/>
              </w:rPr>
            </w:pPr>
            <w:r>
              <w:rPr>
                <w:rFonts w:ascii="Arial" w:cs="Arial" w:eastAsia="Arial" w:hAnsi="Arial"/>
                <w:sz w:val="14"/>
                <w:szCs w:val="14"/>
                <w:b w:val="1"/>
                <w:bCs w:val="1"/>
                <w:color w:val="032E5C"/>
              </w:rPr>
              <w:t>401(k) Savings Plan</w:t>
            </w:r>
          </w:p>
        </w:tc>
        <w:tc>
          <w:tcPr>
            <w:tcW w:w="13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Premiums</w:t>
            </w:r>
          </w:p>
        </w:tc>
        <w:tc>
          <w:tcPr>
            <w:tcW w:w="1560" w:type="dxa"/>
            <w:vAlign w:val="bottom"/>
            <w:shd w:val="clear" w:color="auto" w:fill="98BDE2"/>
          </w:tcPr>
          <w:p>
            <w:pPr>
              <w:jc w:val="right"/>
              <w:ind w:right="71"/>
              <w:spacing w:after="0"/>
              <w:rPr>
                <w:sz w:val="20"/>
                <w:szCs w:val="20"/>
                <w:color w:val="auto"/>
              </w:rPr>
            </w:pPr>
            <w:r>
              <w:rPr>
                <w:rFonts w:ascii="Arial" w:cs="Arial" w:eastAsia="Arial" w:hAnsi="Arial"/>
                <w:sz w:val="14"/>
                <w:szCs w:val="14"/>
                <w:b w:val="1"/>
                <w:bCs w:val="1"/>
                <w:color w:val="032E5C"/>
              </w:rPr>
              <w:t>Premiums</w:t>
            </w:r>
          </w:p>
        </w:tc>
        <w:tc>
          <w:tcPr>
            <w:tcW w:w="2360" w:type="dxa"/>
            <w:vAlign w:val="bottom"/>
            <w:shd w:val="clear" w:color="auto" w:fill="98BDE2"/>
          </w:tcPr>
          <w:p>
            <w:pPr>
              <w:jc w:val="right"/>
              <w:ind w:right="231"/>
              <w:spacing w:after="0"/>
              <w:rPr>
                <w:sz w:val="20"/>
                <w:szCs w:val="20"/>
                <w:color w:val="auto"/>
              </w:rPr>
            </w:pPr>
            <w:r>
              <w:rPr>
                <w:rFonts w:ascii="Arial" w:cs="Arial" w:eastAsia="Arial" w:hAnsi="Arial"/>
                <w:sz w:val="14"/>
                <w:szCs w:val="14"/>
                <w:b w:val="1"/>
                <w:bCs w:val="1"/>
                <w:color w:val="032E5C"/>
              </w:rPr>
              <w:t>Goods and Services</w:t>
            </w:r>
          </w:p>
        </w:tc>
        <w:tc>
          <w:tcPr>
            <w:tcW w:w="8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Total</w:t>
            </w:r>
          </w:p>
        </w:tc>
      </w:tr>
      <w:tr>
        <w:trPr>
          <w:trHeight w:val="248"/>
        </w:trPr>
        <w:tc>
          <w:tcPr>
            <w:tcW w:w="190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76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032E5C"/>
                <w:w w:val="98"/>
              </w:rPr>
              <w:t>Year</w:t>
            </w:r>
          </w:p>
        </w:tc>
        <w:tc>
          <w:tcPr>
            <w:tcW w:w="1760" w:type="dxa"/>
            <w:vAlign w:val="bottom"/>
            <w:tcBorders>
              <w:bottom w:val="single" w:sz="8" w:color="98BDE2"/>
            </w:tcBorders>
            <w:shd w:val="clear" w:color="auto" w:fill="98BDE2"/>
          </w:tcPr>
          <w:p>
            <w:pPr>
              <w:jc w:val="right"/>
              <w:ind w:right="171"/>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(a)</w:t>
            </w:r>
          </w:p>
        </w:tc>
        <w:tc>
          <w:tcPr>
            <w:tcW w:w="1320" w:type="dxa"/>
            <w:vAlign w:val="bottom"/>
            <w:tcBorders>
              <w:bottom w:val="single" w:sz="8" w:color="98BDE2"/>
            </w:tcBorders>
            <w:shd w:val="clear" w:color="auto" w:fill="98BDE2"/>
          </w:tcPr>
          <w:p>
            <w:pPr>
              <w:jc w:val="right"/>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(b)</w:t>
            </w:r>
          </w:p>
        </w:tc>
        <w:tc>
          <w:tcPr>
            <w:tcW w:w="1560" w:type="dxa"/>
            <w:vAlign w:val="bottom"/>
            <w:tcBorders>
              <w:bottom w:val="single" w:sz="8" w:color="98BDE2"/>
            </w:tcBorders>
            <w:shd w:val="clear" w:color="auto" w:fill="98BDE2"/>
          </w:tcPr>
          <w:p>
            <w:pPr>
              <w:jc w:val="right"/>
              <w:ind w:right="71"/>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(c)</w:t>
            </w:r>
          </w:p>
        </w:tc>
        <w:tc>
          <w:tcPr>
            <w:tcW w:w="2360" w:type="dxa"/>
            <w:vAlign w:val="bottom"/>
            <w:tcBorders>
              <w:bottom w:val="single" w:sz="8" w:color="98BDE2"/>
            </w:tcBorders>
            <w:shd w:val="clear" w:color="auto" w:fill="98BDE2"/>
          </w:tcPr>
          <w:p>
            <w:pPr>
              <w:jc w:val="right"/>
              <w:ind w:right="231"/>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(d)</w:t>
            </w:r>
          </w:p>
        </w:tc>
        <w:tc>
          <w:tcPr>
            <w:tcW w:w="86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r>
      <w:tr>
        <w:trPr>
          <w:trHeight w:val="223"/>
        </w:trPr>
        <w:tc>
          <w:tcPr>
            <w:tcW w:w="190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Kirsten A. Lynch</w:t>
            </w:r>
          </w:p>
        </w:tc>
        <w:tc>
          <w:tcPr>
            <w:tcW w:w="760" w:type="dxa"/>
            <w:vAlign w:val="bottom"/>
            <w:tcBorders>
              <w:bottom w:val="single" w:sz="8" w:color="98BDE2"/>
            </w:tcBorders>
          </w:tcPr>
          <w:p>
            <w:pPr>
              <w:jc w:val="center"/>
              <w:ind w:left="8"/>
              <w:spacing w:after="0"/>
              <w:rPr>
                <w:sz w:val="20"/>
                <w:szCs w:val="20"/>
                <w:color w:val="auto"/>
              </w:rPr>
            </w:pPr>
            <w:r>
              <w:rPr>
                <w:rFonts w:ascii="Arial" w:cs="Arial" w:eastAsia="Arial" w:hAnsi="Arial"/>
                <w:sz w:val="14"/>
                <w:szCs w:val="14"/>
                <w:color w:val="032E5C"/>
              </w:rPr>
              <w:t>2024</w:t>
            </w:r>
          </w:p>
        </w:tc>
        <w:tc>
          <w:tcPr>
            <w:tcW w:w="1760" w:type="dxa"/>
            <w:vAlign w:val="bottom"/>
            <w:tcBorders>
              <w:bottom w:val="single" w:sz="8" w:color="98BDE2"/>
            </w:tcBorders>
          </w:tcPr>
          <w:p>
            <w:pPr>
              <w:jc w:val="right"/>
              <w:ind w:right="171"/>
              <w:spacing w:after="0"/>
              <w:rPr>
                <w:sz w:val="20"/>
                <w:szCs w:val="20"/>
                <w:color w:val="auto"/>
              </w:rPr>
            </w:pPr>
            <w:r>
              <w:rPr>
                <w:rFonts w:ascii="Arial" w:cs="Arial" w:eastAsia="Arial" w:hAnsi="Arial"/>
                <w:sz w:val="14"/>
                <w:szCs w:val="14"/>
                <w:color w:val="032E5C"/>
              </w:rPr>
              <w:t>10,350</w:t>
            </w:r>
          </w:p>
        </w:tc>
        <w:tc>
          <w:tcPr>
            <w:tcW w:w="13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900</w:t>
            </w:r>
          </w:p>
        </w:tc>
        <w:tc>
          <w:tcPr>
            <w:tcW w:w="1560" w:type="dxa"/>
            <w:vAlign w:val="bottom"/>
            <w:tcBorders>
              <w:bottom w:val="single" w:sz="8" w:color="98BDE2"/>
            </w:tcBorders>
          </w:tcPr>
          <w:p>
            <w:pPr>
              <w:jc w:val="right"/>
              <w:ind w:right="71"/>
              <w:spacing w:after="0"/>
              <w:rPr>
                <w:sz w:val="20"/>
                <w:szCs w:val="20"/>
                <w:color w:val="auto"/>
              </w:rPr>
            </w:pPr>
            <w:r>
              <w:rPr>
                <w:rFonts w:ascii="Arial" w:cs="Arial" w:eastAsia="Arial" w:hAnsi="Arial"/>
                <w:sz w:val="14"/>
                <w:szCs w:val="14"/>
                <w:color w:val="032E5C"/>
              </w:rPr>
              <w:t>5,533</w:t>
            </w:r>
          </w:p>
        </w:tc>
        <w:tc>
          <w:tcPr>
            <w:tcW w:w="2360" w:type="dxa"/>
            <w:vAlign w:val="bottom"/>
            <w:tcBorders>
              <w:bottom w:val="single" w:sz="8" w:color="98BDE2"/>
            </w:tcBorders>
          </w:tcPr>
          <w:p>
            <w:pPr>
              <w:jc w:val="right"/>
              <w:ind w:right="231"/>
              <w:spacing w:after="0"/>
              <w:rPr>
                <w:sz w:val="20"/>
                <w:szCs w:val="20"/>
                <w:color w:val="auto"/>
              </w:rPr>
            </w:pPr>
            <w:r>
              <w:rPr>
                <w:rFonts w:ascii="Arial" w:cs="Arial" w:eastAsia="Arial" w:hAnsi="Arial"/>
                <w:sz w:val="14"/>
                <w:szCs w:val="14"/>
                <w:color w:val="032E5C"/>
              </w:rPr>
              <w:t>12,804</w:t>
            </w:r>
          </w:p>
        </w:tc>
        <w:tc>
          <w:tcPr>
            <w:tcW w:w="86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29,587</w:t>
            </w:r>
          </w:p>
        </w:tc>
      </w:tr>
      <w:tr>
        <w:trPr>
          <w:trHeight w:val="223"/>
        </w:trPr>
        <w:tc>
          <w:tcPr>
            <w:tcW w:w="190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760" w:type="dxa"/>
            <w:vAlign w:val="bottom"/>
            <w:tcBorders>
              <w:bottom w:val="single" w:sz="8" w:color="98BDE2"/>
            </w:tcBorders>
          </w:tcPr>
          <w:p>
            <w:pPr>
              <w:jc w:val="center"/>
              <w:ind w:left="8"/>
              <w:spacing w:after="0"/>
              <w:rPr>
                <w:sz w:val="20"/>
                <w:szCs w:val="20"/>
                <w:color w:val="auto"/>
              </w:rPr>
            </w:pPr>
            <w:r>
              <w:rPr>
                <w:rFonts w:ascii="Arial" w:cs="Arial" w:eastAsia="Arial" w:hAnsi="Arial"/>
                <w:sz w:val="14"/>
                <w:szCs w:val="14"/>
                <w:color w:val="032E5C"/>
              </w:rPr>
              <w:t>2024</w:t>
            </w:r>
          </w:p>
        </w:tc>
        <w:tc>
          <w:tcPr>
            <w:tcW w:w="1760" w:type="dxa"/>
            <w:vAlign w:val="bottom"/>
            <w:tcBorders>
              <w:bottom w:val="single" w:sz="8" w:color="98BDE2"/>
            </w:tcBorders>
          </w:tcPr>
          <w:p>
            <w:pPr>
              <w:jc w:val="right"/>
              <w:ind w:right="171"/>
              <w:spacing w:after="0"/>
              <w:rPr>
                <w:sz w:val="20"/>
                <w:szCs w:val="20"/>
                <w:color w:val="auto"/>
              </w:rPr>
            </w:pPr>
            <w:r>
              <w:rPr>
                <w:rFonts w:ascii="Arial" w:cs="Arial" w:eastAsia="Arial" w:hAnsi="Arial"/>
                <w:sz w:val="14"/>
                <w:szCs w:val="14"/>
                <w:color w:val="032E5C"/>
              </w:rPr>
              <w:t>10,350</w:t>
            </w:r>
          </w:p>
        </w:tc>
        <w:tc>
          <w:tcPr>
            <w:tcW w:w="13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7,295</w:t>
            </w:r>
          </w:p>
        </w:tc>
        <w:tc>
          <w:tcPr>
            <w:tcW w:w="1560" w:type="dxa"/>
            <w:vAlign w:val="bottom"/>
            <w:tcBorders>
              <w:bottom w:val="single" w:sz="8" w:color="98BDE2"/>
            </w:tcBorders>
          </w:tcPr>
          <w:p>
            <w:pPr>
              <w:jc w:val="right"/>
              <w:ind w:right="71"/>
              <w:spacing w:after="0"/>
              <w:rPr>
                <w:sz w:val="20"/>
                <w:szCs w:val="20"/>
                <w:color w:val="auto"/>
              </w:rPr>
            </w:pPr>
            <w:r>
              <w:rPr>
                <w:rFonts w:ascii="Arial" w:cs="Arial" w:eastAsia="Arial" w:hAnsi="Arial"/>
                <w:sz w:val="14"/>
                <w:szCs w:val="14"/>
                <w:color w:val="032E5C"/>
              </w:rPr>
              <w:t>5,856</w:t>
            </w:r>
          </w:p>
        </w:tc>
        <w:tc>
          <w:tcPr>
            <w:tcW w:w="2360" w:type="dxa"/>
            <w:vAlign w:val="bottom"/>
            <w:tcBorders>
              <w:bottom w:val="single" w:sz="8" w:color="98BDE2"/>
            </w:tcBorders>
          </w:tcPr>
          <w:p>
            <w:pPr>
              <w:jc w:val="right"/>
              <w:ind w:right="231"/>
              <w:spacing w:after="0"/>
              <w:rPr>
                <w:sz w:val="20"/>
                <w:szCs w:val="20"/>
                <w:color w:val="auto"/>
              </w:rPr>
            </w:pPr>
            <w:r>
              <w:rPr>
                <w:rFonts w:ascii="Arial" w:cs="Arial" w:eastAsia="Arial" w:hAnsi="Arial"/>
                <w:sz w:val="14"/>
                <w:szCs w:val="14"/>
                <w:color w:val="032E5C"/>
              </w:rPr>
              <w:t>—</w:t>
            </w:r>
          </w:p>
        </w:tc>
        <w:tc>
          <w:tcPr>
            <w:tcW w:w="86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23,501</w:t>
            </w:r>
          </w:p>
        </w:tc>
      </w:tr>
      <w:tr>
        <w:trPr>
          <w:trHeight w:val="223"/>
        </w:trPr>
        <w:tc>
          <w:tcPr>
            <w:tcW w:w="190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760" w:type="dxa"/>
            <w:vAlign w:val="bottom"/>
            <w:tcBorders>
              <w:bottom w:val="single" w:sz="8" w:color="98BDE2"/>
            </w:tcBorders>
          </w:tcPr>
          <w:p>
            <w:pPr>
              <w:jc w:val="center"/>
              <w:ind w:left="8"/>
              <w:spacing w:after="0"/>
              <w:rPr>
                <w:sz w:val="20"/>
                <w:szCs w:val="20"/>
                <w:color w:val="auto"/>
              </w:rPr>
            </w:pPr>
            <w:r>
              <w:rPr>
                <w:rFonts w:ascii="Arial" w:cs="Arial" w:eastAsia="Arial" w:hAnsi="Arial"/>
                <w:sz w:val="14"/>
                <w:szCs w:val="14"/>
                <w:color w:val="032E5C"/>
              </w:rPr>
              <w:t>2024</w:t>
            </w:r>
          </w:p>
        </w:tc>
        <w:tc>
          <w:tcPr>
            <w:tcW w:w="1760" w:type="dxa"/>
            <w:vAlign w:val="bottom"/>
            <w:tcBorders>
              <w:bottom w:val="single" w:sz="8" w:color="98BDE2"/>
            </w:tcBorders>
          </w:tcPr>
          <w:p>
            <w:pPr>
              <w:jc w:val="right"/>
              <w:ind w:right="171"/>
              <w:spacing w:after="0"/>
              <w:rPr>
                <w:sz w:val="20"/>
                <w:szCs w:val="20"/>
                <w:color w:val="auto"/>
              </w:rPr>
            </w:pPr>
            <w:r>
              <w:rPr>
                <w:rFonts w:ascii="Arial" w:cs="Arial" w:eastAsia="Arial" w:hAnsi="Arial"/>
                <w:sz w:val="14"/>
                <w:szCs w:val="14"/>
                <w:color w:val="032E5C"/>
              </w:rPr>
              <w:t>10,212</w:t>
            </w:r>
          </w:p>
        </w:tc>
        <w:tc>
          <w:tcPr>
            <w:tcW w:w="13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900</w:t>
            </w:r>
          </w:p>
        </w:tc>
        <w:tc>
          <w:tcPr>
            <w:tcW w:w="1560" w:type="dxa"/>
            <w:vAlign w:val="bottom"/>
            <w:tcBorders>
              <w:bottom w:val="single" w:sz="8" w:color="98BDE2"/>
            </w:tcBorders>
          </w:tcPr>
          <w:p>
            <w:pPr>
              <w:jc w:val="right"/>
              <w:ind w:right="71"/>
              <w:spacing w:after="0"/>
              <w:rPr>
                <w:sz w:val="20"/>
                <w:szCs w:val="20"/>
                <w:color w:val="auto"/>
              </w:rPr>
            </w:pPr>
            <w:r>
              <w:rPr>
                <w:rFonts w:ascii="Arial" w:cs="Arial" w:eastAsia="Arial" w:hAnsi="Arial"/>
                <w:sz w:val="14"/>
                <w:szCs w:val="14"/>
                <w:color w:val="032E5C"/>
              </w:rPr>
              <w:t>3,165</w:t>
            </w:r>
          </w:p>
        </w:tc>
        <w:tc>
          <w:tcPr>
            <w:tcW w:w="2360" w:type="dxa"/>
            <w:vAlign w:val="bottom"/>
            <w:tcBorders>
              <w:bottom w:val="single" w:sz="8" w:color="98BDE2"/>
            </w:tcBorders>
          </w:tcPr>
          <w:p>
            <w:pPr>
              <w:jc w:val="right"/>
              <w:ind w:right="231"/>
              <w:spacing w:after="0"/>
              <w:rPr>
                <w:sz w:val="20"/>
                <w:szCs w:val="20"/>
                <w:color w:val="auto"/>
              </w:rPr>
            </w:pPr>
            <w:r>
              <w:rPr>
                <w:rFonts w:ascii="Arial" w:cs="Arial" w:eastAsia="Arial" w:hAnsi="Arial"/>
                <w:sz w:val="14"/>
                <w:szCs w:val="14"/>
                <w:color w:val="032E5C"/>
              </w:rPr>
              <w:t>12,730</w:t>
            </w:r>
          </w:p>
        </w:tc>
        <w:tc>
          <w:tcPr>
            <w:tcW w:w="86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27,007</w:t>
            </w:r>
          </w:p>
        </w:tc>
      </w:tr>
      <w:tr>
        <w:trPr>
          <w:trHeight w:val="223"/>
        </w:trPr>
        <w:tc>
          <w:tcPr>
            <w:tcW w:w="190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C. Rock</w:t>
            </w:r>
          </w:p>
        </w:tc>
        <w:tc>
          <w:tcPr>
            <w:tcW w:w="760" w:type="dxa"/>
            <w:vAlign w:val="bottom"/>
            <w:tcBorders>
              <w:bottom w:val="single" w:sz="8" w:color="98BDE2"/>
            </w:tcBorders>
          </w:tcPr>
          <w:p>
            <w:pPr>
              <w:jc w:val="center"/>
              <w:ind w:left="8"/>
              <w:spacing w:after="0"/>
              <w:rPr>
                <w:sz w:val="20"/>
                <w:szCs w:val="20"/>
                <w:color w:val="auto"/>
              </w:rPr>
            </w:pPr>
            <w:r>
              <w:rPr>
                <w:rFonts w:ascii="Arial" w:cs="Arial" w:eastAsia="Arial" w:hAnsi="Arial"/>
                <w:sz w:val="14"/>
                <w:szCs w:val="14"/>
                <w:color w:val="032E5C"/>
              </w:rPr>
              <w:t>2024</w:t>
            </w:r>
          </w:p>
        </w:tc>
        <w:tc>
          <w:tcPr>
            <w:tcW w:w="1760" w:type="dxa"/>
            <w:vAlign w:val="bottom"/>
            <w:tcBorders>
              <w:bottom w:val="single" w:sz="8" w:color="98BDE2"/>
            </w:tcBorders>
          </w:tcPr>
          <w:p>
            <w:pPr>
              <w:jc w:val="right"/>
              <w:ind w:right="171"/>
              <w:spacing w:after="0"/>
              <w:rPr>
                <w:sz w:val="20"/>
                <w:szCs w:val="20"/>
                <w:color w:val="auto"/>
              </w:rPr>
            </w:pPr>
            <w:r>
              <w:rPr>
                <w:rFonts w:ascii="Arial" w:cs="Arial" w:eastAsia="Arial" w:hAnsi="Arial"/>
                <w:sz w:val="14"/>
                <w:szCs w:val="14"/>
                <w:color w:val="032E5C"/>
              </w:rPr>
              <w:t>10,730</w:t>
            </w:r>
          </w:p>
        </w:tc>
        <w:tc>
          <w:tcPr>
            <w:tcW w:w="13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900</w:t>
            </w:r>
          </w:p>
        </w:tc>
        <w:tc>
          <w:tcPr>
            <w:tcW w:w="1560" w:type="dxa"/>
            <w:vAlign w:val="bottom"/>
            <w:tcBorders>
              <w:bottom w:val="single" w:sz="8" w:color="98BDE2"/>
            </w:tcBorders>
          </w:tcPr>
          <w:p>
            <w:pPr>
              <w:jc w:val="right"/>
              <w:ind w:right="71"/>
              <w:spacing w:after="0"/>
              <w:rPr>
                <w:sz w:val="20"/>
                <w:szCs w:val="20"/>
                <w:color w:val="auto"/>
              </w:rPr>
            </w:pPr>
            <w:r>
              <w:rPr>
                <w:rFonts w:ascii="Arial" w:cs="Arial" w:eastAsia="Arial" w:hAnsi="Arial"/>
                <w:sz w:val="14"/>
                <w:szCs w:val="14"/>
                <w:color w:val="032E5C"/>
              </w:rPr>
              <w:t>6,963</w:t>
            </w:r>
          </w:p>
        </w:tc>
        <w:tc>
          <w:tcPr>
            <w:tcW w:w="2360" w:type="dxa"/>
            <w:vAlign w:val="bottom"/>
            <w:tcBorders>
              <w:bottom w:val="single" w:sz="8" w:color="98BDE2"/>
            </w:tcBorders>
          </w:tcPr>
          <w:p>
            <w:pPr>
              <w:jc w:val="right"/>
              <w:ind w:right="231"/>
              <w:spacing w:after="0"/>
              <w:rPr>
                <w:sz w:val="20"/>
                <w:szCs w:val="20"/>
                <w:color w:val="auto"/>
              </w:rPr>
            </w:pPr>
            <w:r>
              <w:rPr>
                <w:rFonts w:ascii="Arial" w:cs="Arial" w:eastAsia="Arial" w:hAnsi="Arial"/>
                <w:sz w:val="14"/>
                <w:szCs w:val="14"/>
                <w:color w:val="032E5C"/>
              </w:rPr>
              <w:t>—</w:t>
            </w:r>
          </w:p>
        </w:tc>
        <w:tc>
          <w:tcPr>
            <w:tcW w:w="86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18,593</w:t>
            </w:r>
          </w:p>
        </w:tc>
      </w:tr>
      <w:tr>
        <w:trPr>
          <w:trHeight w:val="223"/>
        </w:trPr>
        <w:tc>
          <w:tcPr>
            <w:tcW w:w="190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David T. Shapiro</w:t>
            </w:r>
          </w:p>
        </w:tc>
        <w:tc>
          <w:tcPr>
            <w:tcW w:w="760" w:type="dxa"/>
            <w:vAlign w:val="bottom"/>
            <w:tcBorders>
              <w:bottom w:val="single" w:sz="8" w:color="98BDE2"/>
            </w:tcBorders>
          </w:tcPr>
          <w:p>
            <w:pPr>
              <w:jc w:val="center"/>
              <w:ind w:left="8"/>
              <w:spacing w:after="0"/>
              <w:rPr>
                <w:sz w:val="20"/>
                <w:szCs w:val="20"/>
                <w:color w:val="auto"/>
              </w:rPr>
            </w:pPr>
            <w:r>
              <w:rPr>
                <w:rFonts w:ascii="Arial" w:cs="Arial" w:eastAsia="Arial" w:hAnsi="Arial"/>
                <w:sz w:val="14"/>
                <w:szCs w:val="14"/>
                <w:color w:val="032E5C"/>
              </w:rPr>
              <w:t>2024</w:t>
            </w:r>
          </w:p>
        </w:tc>
        <w:tc>
          <w:tcPr>
            <w:tcW w:w="1760" w:type="dxa"/>
            <w:vAlign w:val="bottom"/>
            <w:tcBorders>
              <w:bottom w:val="single" w:sz="8" w:color="98BDE2"/>
            </w:tcBorders>
          </w:tcPr>
          <w:p>
            <w:pPr>
              <w:jc w:val="right"/>
              <w:ind w:right="171"/>
              <w:spacing w:after="0"/>
              <w:rPr>
                <w:sz w:val="20"/>
                <w:szCs w:val="20"/>
                <w:color w:val="auto"/>
              </w:rPr>
            </w:pPr>
            <w:r>
              <w:rPr>
                <w:rFonts w:ascii="Arial" w:cs="Arial" w:eastAsia="Arial" w:hAnsi="Arial"/>
                <w:sz w:val="14"/>
                <w:szCs w:val="14"/>
                <w:color w:val="032E5C"/>
              </w:rPr>
              <w:t>3,260</w:t>
            </w:r>
          </w:p>
        </w:tc>
        <w:tc>
          <w:tcPr>
            <w:tcW w:w="13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525</w:t>
            </w:r>
          </w:p>
        </w:tc>
        <w:tc>
          <w:tcPr>
            <w:tcW w:w="1560" w:type="dxa"/>
            <w:vAlign w:val="bottom"/>
            <w:tcBorders>
              <w:bottom w:val="single" w:sz="8" w:color="98BDE2"/>
            </w:tcBorders>
          </w:tcPr>
          <w:p>
            <w:pPr>
              <w:jc w:val="right"/>
              <w:ind w:right="71"/>
              <w:spacing w:after="0"/>
              <w:rPr>
                <w:sz w:val="20"/>
                <w:szCs w:val="20"/>
                <w:color w:val="auto"/>
              </w:rPr>
            </w:pPr>
            <w:r>
              <w:rPr>
                <w:rFonts w:ascii="Arial" w:cs="Arial" w:eastAsia="Arial" w:hAnsi="Arial"/>
                <w:sz w:val="14"/>
                <w:szCs w:val="14"/>
                <w:color w:val="032E5C"/>
              </w:rPr>
              <w:t>5,293</w:t>
            </w:r>
          </w:p>
        </w:tc>
        <w:tc>
          <w:tcPr>
            <w:tcW w:w="2360" w:type="dxa"/>
            <w:vAlign w:val="bottom"/>
            <w:tcBorders>
              <w:bottom w:val="single" w:sz="8" w:color="98BDE2"/>
            </w:tcBorders>
          </w:tcPr>
          <w:p>
            <w:pPr>
              <w:jc w:val="right"/>
              <w:ind w:right="231"/>
              <w:spacing w:after="0"/>
              <w:rPr>
                <w:sz w:val="20"/>
                <w:szCs w:val="20"/>
                <w:color w:val="auto"/>
              </w:rPr>
            </w:pPr>
            <w:r>
              <w:rPr>
                <w:rFonts w:ascii="Arial" w:cs="Arial" w:eastAsia="Arial" w:hAnsi="Arial"/>
                <w:sz w:val="14"/>
                <w:szCs w:val="14"/>
                <w:color w:val="032E5C"/>
              </w:rPr>
              <w:t>—</w:t>
            </w:r>
          </w:p>
        </w:tc>
        <w:tc>
          <w:tcPr>
            <w:tcW w:w="86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9,078</w:t>
            </w:r>
          </w:p>
        </w:tc>
      </w:tr>
      <w:tr>
        <w:trPr>
          <w:trHeight w:val="237"/>
        </w:trPr>
        <w:tc>
          <w:tcPr>
            <w:tcW w:w="1900" w:type="dxa"/>
            <w:vAlign w:val="bottom"/>
            <w:tcBorders>
              <w:bottom w:val="single" w:sz="8" w:color="3E5C7C"/>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Gregory J. Sullivan</w:t>
            </w:r>
          </w:p>
        </w:tc>
        <w:tc>
          <w:tcPr>
            <w:tcW w:w="760" w:type="dxa"/>
            <w:vAlign w:val="bottom"/>
            <w:tcBorders>
              <w:bottom w:val="single" w:sz="8" w:color="3E5C7C"/>
            </w:tcBorders>
          </w:tcPr>
          <w:p>
            <w:pPr>
              <w:jc w:val="center"/>
              <w:ind w:left="8"/>
              <w:spacing w:after="0"/>
              <w:rPr>
                <w:sz w:val="20"/>
                <w:szCs w:val="20"/>
                <w:color w:val="auto"/>
              </w:rPr>
            </w:pPr>
            <w:r>
              <w:rPr>
                <w:rFonts w:ascii="Arial" w:cs="Arial" w:eastAsia="Arial" w:hAnsi="Arial"/>
                <w:sz w:val="14"/>
                <w:szCs w:val="14"/>
                <w:color w:val="032E5C"/>
              </w:rPr>
              <w:t>2024</w:t>
            </w:r>
          </w:p>
        </w:tc>
        <w:tc>
          <w:tcPr>
            <w:tcW w:w="1760" w:type="dxa"/>
            <w:vAlign w:val="bottom"/>
            <w:tcBorders>
              <w:bottom w:val="single" w:sz="8" w:color="3E5C7C"/>
            </w:tcBorders>
          </w:tcPr>
          <w:p>
            <w:pPr>
              <w:jc w:val="right"/>
              <w:ind w:right="171"/>
              <w:spacing w:after="0"/>
              <w:rPr>
                <w:sz w:val="20"/>
                <w:szCs w:val="20"/>
                <w:color w:val="auto"/>
              </w:rPr>
            </w:pPr>
            <w:r>
              <w:rPr>
                <w:rFonts w:ascii="Arial" w:cs="Arial" w:eastAsia="Arial" w:hAnsi="Arial"/>
                <w:sz w:val="14"/>
                <w:szCs w:val="14"/>
                <w:color w:val="032E5C"/>
              </w:rPr>
              <w:t>9,741</w:t>
            </w:r>
          </w:p>
        </w:tc>
        <w:tc>
          <w:tcPr>
            <w:tcW w:w="132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900</w:t>
            </w:r>
          </w:p>
        </w:tc>
        <w:tc>
          <w:tcPr>
            <w:tcW w:w="1560" w:type="dxa"/>
            <w:vAlign w:val="bottom"/>
            <w:tcBorders>
              <w:bottom w:val="single" w:sz="8" w:color="3E5C7C"/>
            </w:tcBorders>
          </w:tcPr>
          <w:p>
            <w:pPr>
              <w:jc w:val="right"/>
              <w:ind w:right="71"/>
              <w:spacing w:after="0"/>
              <w:rPr>
                <w:sz w:val="20"/>
                <w:szCs w:val="20"/>
                <w:color w:val="auto"/>
              </w:rPr>
            </w:pPr>
            <w:r>
              <w:rPr>
                <w:rFonts w:ascii="Arial" w:cs="Arial" w:eastAsia="Arial" w:hAnsi="Arial"/>
                <w:sz w:val="14"/>
                <w:szCs w:val="14"/>
                <w:color w:val="032E5C"/>
              </w:rPr>
              <w:t>6,316</w:t>
            </w:r>
          </w:p>
        </w:tc>
        <w:tc>
          <w:tcPr>
            <w:tcW w:w="2360" w:type="dxa"/>
            <w:vAlign w:val="bottom"/>
            <w:tcBorders>
              <w:bottom w:val="single" w:sz="8" w:color="3E5C7C"/>
            </w:tcBorders>
          </w:tcPr>
          <w:p>
            <w:pPr>
              <w:jc w:val="right"/>
              <w:ind w:right="231"/>
              <w:spacing w:after="0"/>
              <w:rPr>
                <w:sz w:val="20"/>
                <w:szCs w:val="20"/>
                <w:color w:val="auto"/>
              </w:rPr>
            </w:pPr>
            <w:r>
              <w:rPr>
                <w:rFonts w:ascii="Arial" w:cs="Arial" w:eastAsia="Arial" w:hAnsi="Arial"/>
                <w:sz w:val="14"/>
                <w:szCs w:val="14"/>
                <w:color w:val="032E5C"/>
              </w:rPr>
              <w:t>15,912</w:t>
            </w:r>
          </w:p>
        </w:tc>
        <w:tc>
          <w:tcPr>
            <w:tcW w:w="86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color w:val="032E5C"/>
              </w:rPr>
              <w:t>32,869</w:t>
            </w:r>
          </w:p>
        </w:tc>
      </w:tr>
    </w:tbl>
    <w:p>
      <w:pPr>
        <w:spacing w:after="0" w:line="15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4"/>
          <w:szCs w:val="14"/>
          <w:color w:val="29292B"/>
        </w:rPr>
      </w:pPr>
      <w:r>
        <w:rPr>
          <w:rFonts w:ascii="Arial" w:cs="Arial" w:eastAsia="Arial" w:hAnsi="Arial"/>
          <w:sz w:val="14"/>
          <w:szCs w:val="14"/>
          <w:color w:val="29292B"/>
        </w:rPr>
        <w:t>Consists of Company contributions to the NEO’s accounts in the Company’s tax-qualified 401(k) plan.</w:t>
      </w:r>
    </w:p>
    <w:p>
      <w:pPr>
        <w:spacing w:after="0" w:line="95" w:lineRule="exact"/>
        <w:rPr>
          <w:rFonts w:ascii="Arial" w:cs="Arial" w:eastAsia="Arial" w:hAnsi="Arial"/>
          <w:sz w:val="14"/>
          <w:szCs w:val="14"/>
          <w:color w:val="29292B"/>
        </w:rPr>
      </w:pPr>
    </w:p>
    <w:p>
      <w:pPr>
        <w:ind w:left="660" w:hanging="328"/>
        <w:spacing w:after="0"/>
        <w:tabs>
          <w:tab w:leader="none" w:pos="660" w:val="left"/>
        </w:tabs>
        <w:numPr>
          <w:ilvl w:val="0"/>
          <w:numId w:val="52"/>
        </w:numPr>
        <w:rPr>
          <w:rFonts w:ascii="Arial" w:cs="Arial" w:eastAsia="Arial" w:hAnsi="Arial"/>
          <w:sz w:val="14"/>
          <w:szCs w:val="14"/>
          <w:color w:val="29292B"/>
        </w:rPr>
      </w:pPr>
      <w:r>
        <w:rPr>
          <w:rFonts w:ascii="Arial" w:cs="Arial" w:eastAsia="Arial" w:hAnsi="Arial"/>
          <w:sz w:val="14"/>
          <w:szCs w:val="14"/>
          <w:color w:val="29292B"/>
        </w:rPr>
        <w:t>Consists of premiums paid on behalf of the NEO for supplemental life insurance.</w:t>
      </w:r>
    </w:p>
    <w:p>
      <w:pPr>
        <w:spacing w:after="0" w:line="109" w:lineRule="exact"/>
        <w:rPr>
          <w:rFonts w:ascii="Arial" w:cs="Arial" w:eastAsia="Arial" w:hAnsi="Arial"/>
          <w:sz w:val="14"/>
          <w:szCs w:val="14"/>
          <w:color w:val="29292B"/>
        </w:rPr>
      </w:pPr>
    </w:p>
    <w:p>
      <w:pPr>
        <w:ind w:left="660" w:hanging="328"/>
        <w:spacing w:after="0"/>
        <w:tabs>
          <w:tab w:leader="none" w:pos="660" w:val="left"/>
        </w:tabs>
        <w:numPr>
          <w:ilvl w:val="0"/>
          <w:numId w:val="52"/>
        </w:numPr>
        <w:rPr>
          <w:rFonts w:ascii="Arial" w:cs="Arial" w:eastAsia="Arial" w:hAnsi="Arial"/>
          <w:sz w:val="14"/>
          <w:szCs w:val="14"/>
          <w:color w:val="29292B"/>
        </w:rPr>
      </w:pPr>
      <w:r>
        <w:rPr>
          <w:rFonts w:ascii="Arial" w:cs="Arial" w:eastAsia="Arial" w:hAnsi="Arial"/>
          <w:sz w:val="14"/>
          <w:szCs w:val="14"/>
          <w:color w:val="29292B"/>
        </w:rPr>
        <w:t>Consists of premiums paid on behalf of the NEO for supplemental disability insurance.</w:t>
      </w:r>
    </w:p>
    <w:p>
      <w:pPr>
        <w:spacing w:after="0" w:line="95" w:lineRule="exact"/>
        <w:rPr>
          <w:rFonts w:ascii="Arial" w:cs="Arial" w:eastAsia="Arial" w:hAnsi="Arial"/>
          <w:sz w:val="14"/>
          <w:szCs w:val="14"/>
          <w:color w:val="29292B"/>
        </w:rPr>
      </w:pPr>
    </w:p>
    <w:p>
      <w:pPr>
        <w:ind w:left="660" w:right="100" w:hanging="328"/>
        <w:spacing w:after="0" w:line="272" w:lineRule="auto"/>
        <w:tabs>
          <w:tab w:leader="none" w:pos="660" w:val="left"/>
        </w:tabs>
        <w:numPr>
          <w:ilvl w:val="0"/>
          <w:numId w:val="52"/>
        </w:numPr>
        <w:rPr>
          <w:rFonts w:ascii="Arial" w:cs="Arial" w:eastAsia="Arial" w:hAnsi="Arial"/>
          <w:sz w:val="14"/>
          <w:szCs w:val="14"/>
          <w:color w:val="29292B"/>
        </w:rPr>
      </w:pPr>
      <w:r>
        <w:rPr>
          <w:rFonts w:ascii="Arial" w:cs="Arial" w:eastAsia="Arial" w:hAnsi="Arial"/>
          <w:sz w:val="14"/>
          <w:szCs w:val="14"/>
          <w:color w:val="29292B"/>
        </w:rPr>
        <w:t>In fiscal 2024, our NEOs were entitled to participate in our Executive Perquisite Fund Program, under which certain of the Company’s officers receive an annual allowance based on officer level to be used at the Company’s resorts. For fiscal 2024, annual allowances for NEOs were as follows: CEO and Executive Chairperson</w:t>
      </w:r>
    </w:p>
    <w:p>
      <w:pPr>
        <w:ind w:left="660"/>
        <w:spacing w:after="0" w:line="259" w:lineRule="auto"/>
        <w:rPr>
          <w:rFonts w:ascii="Arial" w:cs="Arial" w:eastAsia="Arial" w:hAnsi="Arial"/>
          <w:sz w:val="14"/>
          <w:szCs w:val="14"/>
          <w:color w:val="29292B"/>
        </w:rPr>
      </w:pPr>
      <w:r>
        <w:rPr>
          <w:rFonts w:ascii="Arial" w:cs="Arial" w:eastAsia="Arial" w:hAnsi="Arial"/>
          <w:sz w:val="14"/>
          <w:szCs w:val="14"/>
          <w:color w:val="29292B"/>
        </w:rPr>
        <w:t>—$80,0000; Chief Financial Officer and President – Mountain Division—$50,000; Executive Vice President (excluding the Chief Financial Officer) —$40,000; and Senior Vice President—$30,000. Executives may draw against the account to pay for services or goods at the market rate. Amounts of the fund used by the NEO are taxed as ordinary income, like other compensation. The amounts reported include the amounts used by the NEO towards lodging, ski school privileges and discretionary spending on services or goods at our properties for personal use. In accordance with SEC rules, the value of these benefits is measured on the basis of the estimated aggregate incremental cost to the Company for providing these benefits, and perquisites and personal benefits are not reported for any NEO for whom such amounts were less than $10,000 in the aggregate for the fiscal year. In fiscal 2024, the Company also provided each NEO with access to one or more of our private clubs through our quality assessment program, for which the Company incurred no incremental costs. NEOs are responsible for the payment of their individual, non-business related expenditures incurred at such clubs, although these expenses would qualify for reimbursement under the Company’s Executive Perquisite Fund Program if within the NEO’s allowance under that program.</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59</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Grants of Plan-Based Awards in Fiscal 2024</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shows certain information regarding grants of plan-based awards to the NEOs during fiscal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80" w:type="dxa"/>
            <w:vAlign w:val="bottom"/>
            <w:gridSpan w:val="2"/>
            <w:shd w:val="clear" w:color="auto" w:fill="3E5C7C"/>
          </w:tcPr>
          <w:p>
            <w:pPr>
              <w:jc w:val="center"/>
              <w:ind w:left="668"/>
              <w:spacing w:after="0"/>
              <w:rPr>
                <w:sz w:val="20"/>
                <w:szCs w:val="20"/>
                <w:color w:val="auto"/>
              </w:rPr>
            </w:pPr>
            <w:r>
              <w:rPr>
                <w:rFonts w:ascii="Arial" w:cs="Arial" w:eastAsia="Arial" w:hAnsi="Arial"/>
                <w:sz w:val="14"/>
                <w:szCs w:val="14"/>
                <w:b w:val="1"/>
                <w:bCs w:val="1"/>
                <w:color w:val="FFFFFF"/>
              </w:rPr>
              <w:t>Estimated Possible Payouts</w:t>
            </w:r>
          </w:p>
        </w:tc>
        <w:tc>
          <w:tcPr>
            <w:tcW w:w="740" w:type="dxa"/>
            <w:vAlign w:val="bottom"/>
            <w:shd w:val="clear" w:color="auto" w:fill="3E5C7C"/>
          </w:tcPr>
          <w:p>
            <w:pPr>
              <w:spacing w:after="0"/>
              <w:rPr>
                <w:sz w:val="22"/>
                <w:szCs w:val="22"/>
                <w:color w:val="auto"/>
              </w:rPr>
            </w:pPr>
          </w:p>
        </w:tc>
        <w:tc>
          <w:tcPr>
            <w:tcW w:w="1160" w:type="dxa"/>
            <w:vAlign w:val="bottom"/>
            <w:shd w:val="clear" w:color="auto" w:fill="98BDE2"/>
          </w:tcPr>
          <w:p>
            <w:pPr>
              <w:spacing w:after="0"/>
              <w:rPr>
                <w:sz w:val="22"/>
                <w:szCs w:val="22"/>
                <w:color w:val="auto"/>
              </w:rPr>
            </w:pPr>
          </w:p>
        </w:tc>
        <w:tc>
          <w:tcPr>
            <w:tcW w:w="148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All Other</w:t>
            </w:r>
          </w:p>
        </w:tc>
        <w:tc>
          <w:tcPr>
            <w:tcW w:w="980" w:type="dxa"/>
            <w:vAlign w:val="bottom"/>
            <w:shd w:val="clear" w:color="auto" w:fill="98BDE2"/>
          </w:tcPr>
          <w:p>
            <w:pPr>
              <w:spacing w:after="0"/>
              <w:rPr>
                <w:sz w:val="22"/>
                <w:szCs w:val="22"/>
                <w:color w:val="auto"/>
              </w:rPr>
            </w:pPr>
          </w:p>
        </w:tc>
        <w:tc>
          <w:tcPr>
            <w:tcW w:w="1180" w:type="dxa"/>
            <w:vAlign w:val="bottom"/>
            <w:shd w:val="clear" w:color="auto" w:fill="98BDE2"/>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gridSpan w:val="2"/>
            <w:shd w:val="clear" w:color="auto" w:fill="3E5C7C"/>
          </w:tcPr>
          <w:p>
            <w:pPr>
              <w:jc w:val="center"/>
              <w:ind w:left="648"/>
              <w:spacing w:after="0"/>
              <w:rPr>
                <w:sz w:val="20"/>
                <w:szCs w:val="20"/>
                <w:color w:val="auto"/>
              </w:rPr>
            </w:pPr>
            <w:r>
              <w:rPr>
                <w:rFonts w:ascii="Arial" w:cs="Arial" w:eastAsia="Arial" w:hAnsi="Arial"/>
                <w:sz w:val="14"/>
                <w:szCs w:val="14"/>
                <w:b w:val="1"/>
                <w:bCs w:val="1"/>
                <w:color w:val="FFFFFF"/>
              </w:rPr>
              <w:t>Under Non-Equity Incentive</w:t>
            </w:r>
          </w:p>
        </w:tc>
        <w:tc>
          <w:tcPr>
            <w:tcW w:w="740" w:type="dxa"/>
            <w:vAlign w:val="bottom"/>
            <w:shd w:val="clear" w:color="auto" w:fill="3E5C7C"/>
          </w:tcPr>
          <w:p>
            <w:pPr>
              <w:spacing w:after="0"/>
              <w:rPr>
                <w:sz w:val="14"/>
                <w:szCs w:val="14"/>
                <w:color w:val="auto"/>
              </w:rPr>
            </w:pP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All Other</w:t>
            </w:r>
          </w:p>
        </w:tc>
        <w:tc>
          <w:tcPr>
            <w:tcW w:w="148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Option/SAR</w:t>
            </w:r>
          </w:p>
        </w:tc>
        <w:tc>
          <w:tcPr>
            <w:tcW w:w="9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Exercise</w:t>
            </w:r>
          </w:p>
        </w:tc>
        <w:tc>
          <w:tcPr>
            <w:tcW w:w="1180" w:type="dxa"/>
            <w:vAlign w:val="bottom"/>
            <w:shd w:val="clear" w:color="auto" w:fill="98BDE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shd w:val="clear" w:color="auto" w:fill="3E5C7C"/>
          </w:tcPr>
          <w:p>
            <w:pPr>
              <w:spacing w:after="0"/>
              <w:rPr>
                <w:sz w:val="15"/>
                <w:szCs w:val="15"/>
                <w:color w:val="auto"/>
              </w:rPr>
            </w:pPr>
          </w:p>
        </w:tc>
        <w:tc>
          <w:tcPr>
            <w:tcW w:w="1580" w:type="dxa"/>
            <w:vAlign w:val="bottom"/>
            <w:shd w:val="clear" w:color="auto" w:fill="3E5C7C"/>
          </w:tcPr>
          <w:p>
            <w:pPr>
              <w:jc w:val="center"/>
              <w:ind w:right="408"/>
              <w:spacing w:after="0" w:line="176" w:lineRule="exact"/>
              <w:rPr>
                <w:sz w:val="20"/>
                <w:szCs w:val="20"/>
                <w:color w:val="auto"/>
              </w:rPr>
            </w:pPr>
            <w:r>
              <w:rPr>
                <w:rFonts w:ascii="Arial" w:cs="Arial" w:eastAsia="Arial" w:hAnsi="Arial"/>
                <w:sz w:val="14"/>
                <w:szCs w:val="14"/>
                <w:b w:val="1"/>
                <w:bCs w:val="1"/>
                <w:color w:val="FFFFFF"/>
                <w:w w:val="99"/>
              </w:rPr>
              <w:t>Plan Awards</w:t>
            </w:r>
            <w:r>
              <w:rPr>
                <w:rFonts w:ascii="Arial" w:cs="Arial" w:eastAsia="Arial" w:hAnsi="Arial"/>
                <w:sz w:val="18"/>
                <w:szCs w:val="18"/>
                <w:b w:val="1"/>
                <w:bCs w:val="1"/>
                <w:color w:val="FFFFFF"/>
                <w:w w:val="99"/>
                <w:vertAlign w:val="superscript"/>
              </w:rPr>
              <w:t>(2)</w:t>
            </w:r>
          </w:p>
        </w:tc>
        <w:tc>
          <w:tcPr>
            <w:tcW w:w="740" w:type="dxa"/>
            <w:vAlign w:val="bottom"/>
            <w:shd w:val="clear" w:color="auto" w:fill="3E5C7C"/>
          </w:tcPr>
          <w:p>
            <w:pPr>
              <w:spacing w:after="0"/>
              <w:rPr>
                <w:sz w:val="15"/>
                <w:szCs w:val="15"/>
                <w:color w:val="auto"/>
              </w:rPr>
            </w:pP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Stock</w:t>
            </w:r>
          </w:p>
        </w:tc>
        <w:tc>
          <w:tcPr>
            <w:tcW w:w="148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Awards:</w:t>
            </w:r>
          </w:p>
        </w:tc>
        <w:tc>
          <w:tcPr>
            <w:tcW w:w="9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or Base</w:t>
            </w:r>
          </w:p>
        </w:tc>
        <w:tc>
          <w:tcPr>
            <w:tcW w:w="11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Grant Date</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shd w:val="clear" w:color="auto" w:fill="3E5C7C"/>
          </w:tcPr>
          <w:p>
            <w:pPr>
              <w:spacing w:after="0"/>
              <w:rPr>
                <w:sz w:val="13"/>
                <w:szCs w:val="13"/>
                <w:color w:val="auto"/>
              </w:rPr>
            </w:pPr>
          </w:p>
        </w:tc>
        <w:tc>
          <w:tcPr>
            <w:tcW w:w="1580" w:type="dxa"/>
            <w:vAlign w:val="bottom"/>
            <w:shd w:val="clear" w:color="auto" w:fill="3E5C7C"/>
          </w:tcPr>
          <w:p>
            <w:pPr>
              <w:spacing w:after="0"/>
              <w:rPr>
                <w:sz w:val="13"/>
                <w:szCs w:val="13"/>
                <w:color w:val="auto"/>
              </w:rPr>
            </w:pPr>
          </w:p>
        </w:tc>
        <w:tc>
          <w:tcPr>
            <w:tcW w:w="740" w:type="dxa"/>
            <w:vAlign w:val="bottom"/>
            <w:shd w:val="clear" w:color="auto" w:fill="3E5C7C"/>
          </w:tcPr>
          <w:p>
            <w:pPr>
              <w:spacing w:after="0"/>
              <w:rPr>
                <w:sz w:val="13"/>
                <w:szCs w:val="13"/>
                <w:color w:val="auto"/>
              </w:rPr>
            </w:pPr>
          </w:p>
        </w:tc>
        <w:tc>
          <w:tcPr>
            <w:tcW w:w="1160" w:type="dxa"/>
            <w:vAlign w:val="bottom"/>
            <w:shd w:val="clear" w:color="auto" w:fill="98BDE2"/>
          </w:tcPr>
          <w:p>
            <w:pPr>
              <w:jc w:val="right"/>
              <w:spacing w:after="0" w:line="138" w:lineRule="exact"/>
              <w:rPr>
                <w:sz w:val="20"/>
                <w:szCs w:val="20"/>
                <w:color w:val="auto"/>
              </w:rPr>
            </w:pPr>
            <w:r>
              <w:rPr>
                <w:rFonts w:ascii="Arial" w:cs="Arial" w:eastAsia="Arial" w:hAnsi="Arial"/>
                <w:sz w:val="14"/>
                <w:szCs w:val="14"/>
                <w:b w:val="1"/>
                <w:bCs w:val="1"/>
                <w:color w:val="032E5C"/>
              </w:rPr>
              <w:t>Awards:</w:t>
            </w:r>
          </w:p>
        </w:tc>
        <w:tc>
          <w:tcPr>
            <w:tcW w:w="1480" w:type="dxa"/>
            <w:vAlign w:val="bottom"/>
            <w:shd w:val="clear" w:color="auto" w:fill="98BDE2"/>
          </w:tcPr>
          <w:p>
            <w:pPr>
              <w:jc w:val="right"/>
              <w:ind w:right="228"/>
              <w:spacing w:after="0" w:line="138" w:lineRule="exact"/>
              <w:rPr>
                <w:sz w:val="20"/>
                <w:szCs w:val="20"/>
                <w:color w:val="auto"/>
              </w:rPr>
            </w:pPr>
            <w:r>
              <w:rPr>
                <w:rFonts w:ascii="Arial" w:cs="Arial" w:eastAsia="Arial" w:hAnsi="Arial"/>
                <w:sz w:val="14"/>
                <w:szCs w:val="14"/>
                <w:b w:val="1"/>
                <w:bCs w:val="1"/>
                <w:color w:val="032E5C"/>
              </w:rPr>
              <w:t>Number of</w:t>
            </w:r>
          </w:p>
        </w:tc>
        <w:tc>
          <w:tcPr>
            <w:tcW w:w="980" w:type="dxa"/>
            <w:vAlign w:val="bottom"/>
            <w:shd w:val="clear" w:color="auto" w:fill="98BDE2"/>
          </w:tcPr>
          <w:p>
            <w:pPr>
              <w:jc w:val="right"/>
              <w:ind w:right="28"/>
              <w:spacing w:after="0" w:line="138" w:lineRule="exact"/>
              <w:rPr>
                <w:sz w:val="20"/>
                <w:szCs w:val="20"/>
                <w:color w:val="auto"/>
              </w:rPr>
            </w:pPr>
            <w:r>
              <w:rPr>
                <w:rFonts w:ascii="Arial" w:cs="Arial" w:eastAsia="Arial" w:hAnsi="Arial"/>
                <w:sz w:val="14"/>
                <w:szCs w:val="14"/>
                <w:b w:val="1"/>
                <w:bCs w:val="1"/>
                <w:color w:val="032E5C"/>
              </w:rPr>
              <w:t>Price of</w:t>
            </w:r>
          </w:p>
        </w:tc>
        <w:tc>
          <w:tcPr>
            <w:tcW w:w="1180" w:type="dxa"/>
            <w:vAlign w:val="bottom"/>
            <w:shd w:val="clear" w:color="auto" w:fill="98BDE2"/>
          </w:tcPr>
          <w:p>
            <w:pPr>
              <w:jc w:val="right"/>
              <w:ind w:right="48"/>
              <w:spacing w:after="0" w:line="138" w:lineRule="exact"/>
              <w:rPr>
                <w:sz w:val="20"/>
                <w:szCs w:val="20"/>
                <w:color w:val="auto"/>
              </w:rPr>
            </w:pPr>
            <w:r>
              <w:rPr>
                <w:rFonts w:ascii="Arial" w:cs="Arial" w:eastAsia="Arial" w:hAnsi="Arial"/>
                <w:sz w:val="14"/>
                <w:szCs w:val="14"/>
                <w:b w:val="1"/>
                <w:bCs w:val="1"/>
                <w:color w:val="032E5C"/>
              </w:rPr>
              <w:t>Fair Value</w:t>
            </w:r>
          </w:p>
        </w:tc>
        <w:tc>
          <w:tcPr>
            <w:tcW w:w="0" w:type="dxa"/>
            <w:vAlign w:val="bottom"/>
          </w:tcPr>
          <w:p>
            <w:pPr>
              <w:spacing w:after="0"/>
              <w:rPr>
                <w:sz w:val="1"/>
                <w:szCs w:val="1"/>
                <w:color w:val="auto"/>
              </w:rPr>
            </w:pPr>
          </w:p>
        </w:tc>
      </w:tr>
      <w:tr>
        <w:trPr>
          <w:trHeight w:val="193"/>
        </w:trPr>
        <w:tc>
          <w:tcPr>
            <w:tcW w:w="80" w:type="dxa"/>
            <w:vAlign w:val="bottom"/>
            <w:shd w:val="clear" w:color="auto" w:fill="98BDE2"/>
          </w:tcPr>
          <w:p>
            <w:pPr>
              <w:spacing w:after="0"/>
              <w:rPr>
                <w:sz w:val="16"/>
                <w:szCs w:val="16"/>
                <w:color w:val="auto"/>
              </w:rPr>
            </w:pPr>
          </w:p>
        </w:tc>
        <w:tc>
          <w:tcPr>
            <w:tcW w:w="1660" w:type="dxa"/>
            <w:vAlign w:val="bottom"/>
            <w:shd w:val="clear" w:color="auto" w:fill="98BDE2"/>
          </w:tcPr>
          <w:p>
            <w:pPr>
              <w:spacing w:after="0"/>
              <w:rPr>
                <w:sz w:val="16"/>
                <w:szCs w:val="16"/>
                <w:color w:val="auto"/>
              </w:rPr>
            </w:pPr>
          </w:p>
        </w:tc>
        <w:tc>
          <w:tcPr>
            <w:tcW w:w="1180" w:type="dxa"/>
            <w:vAlign w:val="bottom"/>
            <w:shd w:val="clear" w:color="auto" w:fill="98BDE2"/>
          </w:tcPr>
          <w:p>
            <w:pPr>
              <w:spacing w:after="0"/>
              <w:rPr>
                <w:sz w:val="16"/>
                <w:szCs w:val="16"/>
                <w:color w:val="auto"/>
              </w:rPr>
            </w:pPr>
          </w:p>
        </w:tc>
        <w:tc>
          <w:tcPr>
            <w:tcW w:w="1200" w:type="dxa"/>
            <w:vAlign w:val="bottom"/>
            <w:shd w:val="clear" w:color="auto" w:fill="98BDE2"/>
          </w:tcPr>
          <w:p>
            <w:pPr>
              <w:spacing w:after="0"/>
              <w:rPr>
                <w:sz w:val="16"/>
                <w:szCs w:val="16"/>
                <w:color w:val="auto"/>
              </w:rPr>
            </w:pPr>
          </w:p>
        </w:tc>
        <w:tc>
          <w:tcPr>
            <w:tcW w:w="1580" w:type="dxa"/>
            <w:vAlign w:val="bottom"/>
            <w:shd w:val="clear" w:color="auto" w:fill="98BDE2"/>
          </w:tcPr>
          <w:p>
            <w:pPr>
              <w:spacing w:after="0"/>
              <w:rPr>
                <w:sz w:val="16"/>
                <w:szCs w:val="16"/>
                <w:color w:val="auto"/>
              </w:rPr>
            </w:pPr>
          </w:p>
        </w:tc>
        <w:tc>
          <w:tcPr>
            <w:tcW w:w="740" w:type="dxa"/>
            <w:vAlign w:val="bottom"/>
            <w:shd w:val="clear" w:color="auto" w:fill="98BDE2"/>
          </w:tcPr>
          <w:p>
            <w:pPr>
              <w:spacing w:after="0"/>
              <w:rPr>
                <w:sz w:val="16"/>
                <w:szCs w:val="16"/>
                <w:color w:val="auto"/>
              </w:rPr>
            </w:pP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w:t>
            </w:r>
          </w:p>
        </w:tc>
        <w:tc>
          <w:tcPr>
            <w:tcW w:w="148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Securities</w:t>
            </w:r>
          </w:p>
        </w:tc>
        <w:tc>
          <w:tcPr>
            <w:tcW w:w="9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Option/</w:t>
            </w:r>
          </w:p>
        </w:tc>
        <w:tc>
          <w:tcPr>
            <w:tcW w:w="11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of Stock</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1660" w:type="dxa"/>
            <w:vAlign w:val="bottom"/>
            <w:shd w:val="clear" w:color="auto" w:fill="98BDE2"/>
          </w:tcPr>
          <w:p>
            <w:pPr>
              <w:spacing w:after="0"/>
              <w:rPr>
                <w:sz w:val="15"/>
                <w:szCs w:val="15"/>
                <w:color w:val="auto"/>
              </w:rPr>
            </w:pPr>
          </w:p>
        </w:tc>
        <w:tc>
          <w:tcPr>
            <w:tcW w:w="1180" w:type="dxa"/>
            <w:vAlign w:val="bottom"/>
            <w:shd w:val="clear" w:color="auto" w:fill="98BDE2"/>
          </w:tcPr>
          <w:p>
            <w:pPr>
              <w:spacing w:after="0"/>
              <w:rPr>
                <w:sz w:val="15"/>
                <w:szCs w:val="15"/>
                <w:color w:val="auto"/>
              </w:rPr>
            </w:pPr>
          </w:p>
        </w:tc>
        <w:tc>
          <w:tcPr>
            <w:tcW w:w="1200" w:type="dxa"/>
            <w:vAlign w:val="bottom"/>
            <w:shd w:val="clear" w:color="auto" w:fill="98BDE2"/>
          </w:tcPr>
          <w:p>
            <w:pPr>
              <w:spacing w:after="0"/>
              <w:rPr>
                <w:sz w:val="15"/>
                <w:szCs w:val="15"/>
                <w:color w:val="auto"/>
              </w:rPr>
            </w:pPr>
          </w:p>
        </w:tc>
        <w:tc>
          <w:tcPr>
            <w:tcW w:w="1580" w:type="dxa"/>
            <w:vAlign w:val="bottom"/>
            <w:shd w:val="clear" w:color="auto" w:fill="98BDE2"/>
          </w:tcPr>
          <w:p>
            <w:pPr>
              <w:spacing w:after="0"/>
              <w:rPr>
                <w:sz w:val="15"/>
                <w:szCs w:val="15"/>
                <w:color w:val="auto"/>
              </w:rPr>
            </w:pPr>
          </w:p>
        </w:tc>
        <w:tc>
          <w:tcPr>
            <w:tcW w:w="740" w:type="dxa"/>
            <w:vAlign w:val="bottom"/>
            <w:shd w:val="clear" w:color="auto" w:fill="98BDE2"/>
          </w:tcPr>
          <w:p>
            <w:pPr>
              <w:spacing w:after="0"/>
              <w:rPr>
                <w:sz w:val="15"/>
                <w:szCs w:val="15"/>
                <w:color w:val="auto"/>
              </w:rPr>
            </w:pP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Shares of</w:t>
            </w:r>
          </w:p>
        </w:tc>
        <w:tc>
          <w:tcPr>
            <w:tcW w:w="148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Underlying</w:t>
            </w:r>
          </w:p>
        </w:tc>
        <w:tc>
          <w:tcPr>
            <w:tcW w:w="9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SAR</w:t>
            </w:r>
          </w:p>
        </w:tc>
        <w:tc>
          <w:tcPr>
            <w:tcW w:w="11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and Option</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1660" w:type="dxa"/>
            <w:vAlign w:val="bottom"/>
            <w:shd w:val="clear" w:color="auto" w:fill="98BDE2"/>
          </w:tcPr>
          <w:p>
            <w:pPr>
              <w:spacing w:after="0"/>
              <w:rPr>
                <w:sz w:val="14"/>
                <w:szCs w:val="14"/>
                <w:color w:val="auto"/>
              </w:rPr>
            </w:pPr>
          </w:p>
        </w:tc>
        <w:tc>
          <w:tcPr>
            <w:tcW w:w="1180" w:type="dxa"/>
            <w:vAlign w:val="bottom"/>
            <w:shd w:val="clear" w:color="auto" w:fill="98BDE2"/>
          </w:tcPr>
          <w:p>
            <w:pPr>
              <w:spacing w:after="0"/>
              <w:rPr>
                <w:sz w:val="14"/>
                <w:szCs w:val="14"/>
                <w:color w:val="auto"/>
              </w:rPr>
            </w:pPr>
          </w:p>
        </w:tc>
        <w:tc>
          <w:tcPr>
            <w:tcW w:w="12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Threshold</w:t>
            </w:r>
          </w:p>
        </w:tc>
        <w:tc>
          <w:tcPr>
            <w:tcW w:w="1580" w:type="dxa"/>
            <w:vAlign w:val="bottom"/>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Target</w:t>
            </w:r>
          </w:p>
        </w:tc>
        <w:tc>
          <w:tcPr>
            <w:tcW w:w="7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Maximum</w:t>
            </w: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Stock or</w:t>
            </w:r>
          </w:p>
        </w:tc>
        <w:tc>
          <w:tcPr>
            <w:tcW w:w="148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Options/</w:t>
            </w:r>
          </w:p>
        </w:tc>
        <w:tc>
          <w:tcPr>
            <w:tcW w:w="9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Awards</w:t>
            </w:r>
          </w:p>
        </w:tc>
        <w:tc>
          <w:tcPr>
            <w:tcW w:w="11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Name Awards</w:t>
            </w:r>
          </w:p>
        </w:tc>
        <w:tc>
          <w:tcPr>
            <w:tcW w:w="0" w:type="dxa"/>
            <w:vAlign w:val="bottom"/>
          </w:tcPr>
          <w:p>
            <w:pPr>
              <w:spacing w:after="0"/>
              <w:rPr>
                <w:sz w:val="1"/>
                <w:szCs w:val="1"/>
                <w:color w:val="auto"/>
              </w:rPr>
            </w:pPr>
          </w:p>
        </w:tc>
      </w:tr>
      <w:tr>
        <w:trPr>
          <w:trHeight w:val="259"/>
        </w:trPr>
        <w:tc>
          <w:tcPr>
            <w:tcW w:w="80" w:type="dxa"/>
            <w:vAlign w:val="bottom"/>
            <w:tcBorders>
              <w:bottom w:val="single" w:sz="8" w:color="98BDE2"/>
            </w:tcBorders>
            <w:shd w:val="clear" w:color="auto" w:fill="98BDE2"/>
          </w:tcPr>
          <w:p>
            <w:pPr>
              <w:spacing w:after="0"/>
              <w:rPr>
                <w:sz w:val="22"/>
                <w:szCs w:val="22"/>
                <w:color w:val="auto"/>
              </w:rPr>
            </w:pPr>
          </w:p>
        </w:tc>
        <w:tc>
          <w:tcPr>
            <w:tcW w:w="1660" w:type="dxa"/>
            <w:vAlign w:val="bottom"/>
            <w:tcBorders>
              <w:bottom w:val="single" w:sz="8" w:color="98BDE2"/>
            </w:tcBorders>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118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032E5C"/>
                <w:w w:val="97"/>
              </w:rPr>
              <w:t>Grant Date</w:t>
            </w:r>
            <w:r>
              <w:rPr>
                <w:rFonts w:ascii="Arial" w:cs="Arial" w:eastAsia="Arial" w:hAnsi="Arial"/>
                <w:sz w:val="18"/>
                <w:szCs w:val="18"/>
                <w:b w:val="1"/>
                <w:bCs w:val="1"/>
                <w:color w:val="032E5C"/>
                <w:w w:val="97"/>
                <w:vertAlign w:val="superscript"/>
              </w:rPr>
              <w:t>(1)</w:t>
            </w:r>
          </w:p>
        </w:tc>
        <w:tc>
          <w:tcPr>
            <w:tcW w:w="120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(3)</w:t>
            </w:r>
          </w:p>
        </w:tc>
        <w:tc>
          <w:tcPr>
            <w:tcW w:w="1580" w:type="dxa"/>
            <w:vAlign w:val="bottom"/>
            <w:tcBorders>
              <w:bottom w:val="single" w:sz="8" w:color="98BDE2"/>
            </w:tcBorders>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(4)</w:t>
            </w:r>
          </w:p>
        </w:tc>
        <w:tc>
          <w:tcPr>
            <w:tcW w:w="74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(5)</w:t>
            </w:r>
          </w:p>
        </w:tc>
        <w:tc>
          <w:tcPr>
            <w:tcW w:w="116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Units(#)</w:t>
            </w:r>
            <w:r>
              <w:rPr>
                <w:rFonts w:ascii="Arial" w:cs="Arial" w:eastAsia="Arial" w:hAnsi="Arial"/>
                <w:sz w:val="9"/>
                <w:szCs w:val="9"/>
                <w:b w:val="1"/>
                <w:bCs w:val="1"/>
                <w:color w:val="032E5C"/>
              </w:rPr>
              <w:t>(6)</w:t>
            </w:r>
          </w:p>
        </w:tc>
        <w:tc>
          <w:tcPr>
            <w:tcW w:w="1480" w:type="dxa"/>
            <w:vAlign w:val="bottom"/>
            <w:tcBorders>
              <w:bottom w:val="single" w:sz="8" w:color="98BDE2"/>
            </w:tcBorders>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SARs (#)</w:t>
            </w:r>
            <w:r>
              <w:rPr>
                <w:rFonts w:ascii="Arial" w:cs="Arial" w:eastAsia="Arial" w:hAnsi="Arial"/>
                <w:sz w:val="18"/>
                <w:szCs w:val="18"/>
                <w:b w:val="1"/>
                <w:bCs w:val="1"/>
                <w:color w:val="032E5C"/>
                <w:vertAlign w:val="superscript"/>
              </w:rPr>
              <w:t>(7)</w:t>
            </w:r>
          </w:p>
        </w:tc>
        <w:tc>
          <w:tcPr>
            <w:tcW w:w="980" w:type="dxa"/>
            <w:vAlign w:val="bottom"/>
            <w:tcBorders>
              <w:bottom w:val="single" w:sz="8" w:color="98BDE2"/>
            </w:tcBorders>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($/Sh)</w:t>
            </w:r>
          </w:p>
        </w:tc>
        <w:tc>
          <w:tcPr>
            <w:tcW w:w="118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(8)</w:t>
            </w:r>
          </w:p>
        </w:tc>
        <w:tc>
          <w:tcPr>
            <w:tcW w:w="0" w:type="dxa"/>
            <w:vAlign w:val="bottom"/>
          </w:tcPr>
          <w:p>
            <w:pPr>
              <w:spacing w:after="0"/>
              <w:rPr>
                <w:sz w:val="1"/>
                <w:szCs w:val="1"/>
                <w:color w:val="auto"/>
              </w:rPr>
            </w:pPr>
          </w:p>
        </w:tc>
      </w:tr>
      <w:tr>
        <w:trPr>
          <w:trHeight w:val="248"/>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1,091,800</w:t>
            </w:r>
          </w:p>
        </w:tc>
        <w:tc>
          <w:tcPr>
            <w:tcW w:w="740" w:type="dxa"/>
            <w:vAlign w:val="bottom"/>
          </w:tcPr>
          <w:p>
            <w:pPr>
              <w:jc w:val="right"/>
              <w:spacing w:after="0"/>
              <w:rPr>
                <w:sz w:val="20"/>
                <w:szCs w:val="20"/>
                <w:color w:val="auto"/>
              </w:rPr>
            </w:pPr>
            <w:r>
              <w:rPr>
                <w:rFonts w:ascii="Arial" w:cs="Arial" w:eastAsia="Arial" w:hAnsi="Arial"/>
                <w:sz w:val="14"/>
                <w:szCs w:val="14"/>
                <w:color w:val="032E5C"/>
              </w:rPr>
              <w:t>2,183,600</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166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Kirsten A. Lynch</w:t>
            </w:r>
          </w:p>
        </w:tc>
        <w:tc>
          <w:tcPr>
            <w:tcW w:w="118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740" w:type="dxa"/>
            <w:vAlign w:val="bottom"/>
            <w:tcBorders>
              <w:bottom w:val="single" w:sz="8" w:color="98BDE2"/>
            </w:tcBorders>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480" w:type="dxa"/>
            <w:vAlign w:val="bottom"/>
            <w:tcBorders>
              <w:bottom w:val="single" w:sz="8" w:color="98BDE2"/>
            </w:tcBorders>
          </w:tcPr>
          <w:p>
            <w:pPr>
              <w:spacing w:after="0"/>
              <w:rPr>
                <w:sz w:val="6"/>
                <w:szCs w:val="6"/>
                <w:color w:val="auto"/>
              </w:rPr>
            </w:pPr>
          </w:p>
        </w:tc>
        <w:tc>
          <w:tcPr>
            <w:tcW w:w="98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vMerge w:val="continue"/>
            <w:shd w:val="clear" w:color="auto" w:fill="F3EFE9"/>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12,008</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n/a</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2,456,356</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1660" w:type="dxa"/>
            <w:vAlign w:val="bottom"/>
            <w:tcBorders>
              <w:bottom w:val="single" w:sz="8" w:color="F3EFE9"/>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44,111</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244.08</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2,456,542</w:t>
            </w:r>
          </w:p>
        </w:tc>
        <w:tc>
          <w:tcPr>
            <w:tcW w:w="0" w:type="dxa"/>
            <w:vAlign w:val="bottom"/>
          </w:tcPr>
          <w:p>
            <w:pPr>
              <w:spacing w:after="0"/>
              <w:rPr>
                <w:sz w:val="1"/>
                <w:szCs w:val="1"/>
                <w:color w:val="auto"/>
              </w:rPr>
            </w:pPr>
          </w:p>
        </w:tc>
      </w:tr>
      <w:tr>
        <w:trPr>
          <w:trHeight w:val="62"/>
        </w:trPr>
        <w:tc>
          <w:tcPr>
            <w:tcW w:w="80" w:type="dxa"/>
            <w:vAlign w:val="bottom"/>
            <w:tcBorders>
              <w:bottom w:val="single" w:sz="8" w:color="98BDE2"/>
            </w:tcBorders>
            <w:shd w:val="clear" w:color="auto" w:fill="F3EFE9"/>
          </w:tcPr>
          <w:p>
            <w:pPr>
              <w:spacing w:after="0"/>
              <w:rPr>
                <w:sz w:val="5"/>
                <w:szCs w:val="5"/>
                <w:color w:val="auto"/>
              </w:rPr>
            </w:pPr>
          </w:p>
        </w:tc>
        <w:tc>
          <w:tcPr>
            <w:tcW w:w="1660" w:type="dxa"/>
            <w:vAlign w:val="bottom"/>
            <w:tcBorders>
              <w:bottom w:val="single" w:sz="8" w:color="98BDE2"/>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1660" w:type="dxa"/>
            <w:vAlign w:val="bottom"/>
            <w:tcBorders>
              <w:bottom w:val="single" w:sz="8" w:color="F3EFE9"/>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2,668</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n/a</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545,766</w:t>
            </w:r>
          </w:p>
        </w:tc>
        <w:tc>
          <w:tcPr>
            <w:tcW w:w="0" w:type="dxa"/>
            <w:vAlign w:val="bottom"/>
          </w:tcPr>
          <w:p>
            <w:pPr>
              <w:spacing w:after="0"/>
              <w:rPr>
                <w:sz w:val="1"/>
                <w:szCs w:val="1"/>
                <w:color w:val="auto"/>
              </w:rPr>
            </w:pPr>
          </w:p>
        </w:tc>
      </w:tr>
      <w:tr>
        <w:trPr>
          <w:trHeight w:val="56"/>
        </w:trPr>
        <w:tc>
          <w:tcPr>
            <w:tcW w:w="80" w:type="dxa"/>
            <w:vAlign w:val="bottom"/>
            <w:tcBorders>
              <w:bottom w:val="single" w:sz="8" w:color="F3EFE9"/>
            </w:tcBorders>
            <w:shd w:val="clear" w:color="auto" w:fill="F3EFE9"/>
          </w:tcPr>
          <w:p>
            <w:pPr>
              <w:spacing w:after="0"/>
              <w:rPr>
                <w:sz w:val="4"/>
                <w:szCs w:val="4"/>
                <w:color w:val="auto"/>
              </w:rPr>
            </w:pPr>
          </w:p>
        </w:tc>
        <w:tc>
          <w:tcPr>
            <w:tcW w:w="1660" w:type="dxa"/>
            <w:vAlign w:val="bottom"/>
            <w:tcBorders>
              <w:bottom w:val="single" w:sz="8" w:color="F3EFE9"/>
            </w:tcBorders>
            <w:shd w:val="clear" w:color="auto" w:fill="F3EFE9"/>
          </w:tcPr>
          <w:p>
            <w:pPr>
              <w:spacing w:after="0"/>
              <w:rPr>
                <w:sz w:val="4"/>
                <w:szCs w:val="4"/>
                <w:color w:val="auto"/>
              </w:rPr>
            </w:pPr>
          </w:p>
        </w:tc>
        <w:tc>
          <w:tcPr>
            <w:tcW w:w="1180" w:type="dxa"/>
            <w:vAlign w:val="bottom"/>
            <w:tcBorders>
              <w:bottom w:val="single" w:sz="8" w:color="98BDE2"/>
            </w:tcBorders>
          </w:tcPr>
          <w:p>
            <w:pPr>
              <w:spacing w:after="0"/>
              <w:rPr>
                <w:sz w:val="4"/>
                <w:szCs w:val="4"/>
                <w:color w:val="auto"/>
              </w:rPr>
            </w:pPr>
          </w:p>
        </w:tc>
        <w:tc>
          <w:tcPr>
            <w:tcW w:w="1200" w:type="dxa"/>
            <w:vAlign w:val="bottom"/>
            <w:tcBorders>
              <w:bottom w:val="single" w:sz="8" w:color="98BDE2"/>
            </w:tcBorders>
          </w:tcPr>
          <w:p>
            <w:pPr>
              <w:spacing w:after="0"/>
              <w:rPr>
                <w:sz w:val="4"/>
                <w:szCs w:val="4"/>
                <w:color w:val="auto"/>
              </w:rPr>
            </w:pPr>
          </w:p>
        </w:tc>
        <w:tc>
          <w:tcPr>
            <w:tcW w:w="1580" w:type="dxa"/>
            <w:vAlign w:val="bottom"/>
            <w:tcBorders>
              <w:bottom w:val="single" w:sz="8" w:color="98BDE2"/>
            </w:tcBorders>
          </w:tcPr>
          <w:p>
            <w:pPr>
              <w:spacing w:after="0"/>
              <w:rPr>
                <w:sz w:val="4"/>
                <w:szCs w:val="4"/>
                <w:color w:val="auto"/>
              </w:rPr>
            </w:pPr>
          </w:p>
        </w:tc>
        <w:tc>
          <w:tcPr>
            <w:tcW w:w="740" w:type="dxa"/>
            <w:vAlign w:val="bottom"/>
            <w:tcBorders>
              <w:bottom w:val="single" w:sz="8" w:color="98BDE2"/>
            </w:tcBorders>
          </w:tcPr>
          <w:p>
            <w:pPr>
              <w:spacing w:after="0"/>
              <w:rPr>
                <w:sz w:val="4"/>
                <w:szCs w:val="4"/>
                <w:color w:val="auto"/>
              </w:rPr>
            </w:pPr>
          </w:p>
        </w:tc>
        <w:tc>
          <w:tcPr>
            <w:tcW w:w="1160" w:type="dxa"/>
            <w:vAlign w:val="bottom"/>
            <w:tcBorders>
              <w:bottom w:val="single" w:sz="8" w:color="98BDE2"/>
            </w:tcBorders>
          </w:tcPr>
          <w:p>
            <w:pPr>
              <w:spacing w:after="0"/>
              <w:rPr>
                <w:sz w:val="4"/>
                <w:szCs w:val="4"/>
                <w:color w:val="auto"/>
              </w:rPr>
            </w:pPr>
          </w:p>
        </w:tc>
        <w:tc>
          <w:tcPr>
            <w:tcW w:w="1480" w:type="dxa"/>
            <w:vAlign w:val="bottom"/>
            <w:tcBorders>
              <w:bottom w:val="single" w:sz="8" w:color="98BDE2"/>
            </w:tcBorders>
          </w:tcPr>
          <w:p>
            <w:pPr>
              <w:spacing w:after="0"/>
              <w:rPr>
                <w:sz w:val="4"/>
                <w:szCs w:val="4"/>
                <w:color w:val="auto"/>
              </w:rPr>
            </w:pPr>
          </w:p>
        </w:tc>
        <w:tc>
          <w:tcPr>
            <w:tcW w:w="980" w:type="dxa"/>
            <w:vAlign w:val="bottom"/>
            <w:tcBorders>
              <w:bottom w:val="single" w:sz="8" w:color="98BDE2"/>
            </w:tcBorders>
          </w:tcPr>
          <w:p>
            <w:pPr>
              <w:spacing w:after="0"/>
              <w:rPr>
                <w:sz w:val="4"/>
                <w:szCs w:val="4"/>
                <w:color w:val="auto"/>
              </w:rPr>
            </w:pPr>
          </w:p>
        </w:tc>
        <w:tc>
          <w:tcPr>
            <w:tcW w:w="1180" w:type="dxa"/>
            <w:vAlign w:val="bottom"/>
            <w:tcBorders>
              <w:bottom w:val="single" w:sz="8" w:color="98BDE2"/>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8,849</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221.89</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545,895</w:t>
            </w:r>
          </w:p>
        </w:tc>
        <w:tc>
          <w:tcPr>
            <w:tcW w:w="0" w:type="dxa"/>
            <w:vAlign w:val="bottom"/>
          </w:tcPr>
          <w:p>
            <w:pPr>
              <w:spacing w:after="0"/>
              <w:rPr>
                <w:sz w:val="1"/>
                <w:szCs w:val="1"/>
                <w:color w:val="auto"/>
              </w:rPr>
            </w:pPr>
          </w:p>
        </w:tc>
      </w:tr>
      <w:tr>
        <w:trPr>
          <w:trHeight w:val="62"/>
        </w:trPr>
        <w:tc>
          <w:tcPr>
            <w:tcW w:w="80" w:type="dxa"/>
            <w:vAlign w:val="bottom"/>
            <w:tcBorders>
              <w:bottom w:val="single" w:sz="8" w:color="98BDE2"/>
            </w:tcBorders>
            <w:shd w:val="clear" w:color="auto" w:fill="F3EFE9"/>
          </w:tcPr>
          <w:p>
            <w:pPr>
              <w:spacing w:after="0"/>
              <w:rPr>
                <w:sz w:val="5"/>
                <w:szCs w:val="5"/>
                <w:color w:val="auto"/>
              </w:rPr>
            </w:pPr>
          </w:p>
        </w:tc>
        <w:tc>
          <w:tcPr>
            <w:tcW w:w="1660" w:type="dxa"/>
            <w:vAlign w:val="bottom"/>
            <w:tcBorders>
              <w:bottom w:val="single" w:sz="8" w:color="98BDE2"/>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442,500</w:t>
            </w:r>
          </w:p>
        </w:tc>
        <w:tc>
          <w:tcPr>
            <w:tcW w:w="740" w:type="dxa"/>
            <w:vAlign w:val="bottom"/>
          </w:tcPr>
          <w:p>
            <w:pPr>
              <w:jc w:val="right"/>
              <w:spacing w:after="0"/>
              <w:rPr>
                <w:sz w:val="20"/>
                <w:szCs w:val="20"/>
                <w:color w:val="auto"/>
              </w:rPr>
            </w:pPr>
            <w:r>
              <w:rPr>
                <w:rFonts w:ascii="Arial" w:cs="Arial" w:eastAsia="Arial" w:hAnsi="Arial"/>
                <w:sz w:val="14"/>
                <w:szCs w:val="14"/>
                <w:color w:val="032E5C"/>
              </w:rPr>
              <w:t>1,150,500</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1660" w:type="dxa"/>
            <w:vAlign w:val="bottom"/>
            <w:tcBorders>
              <w:bottom w:val="single" w:sz="8" w:color="F3EFE9"/>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3,586</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n/a</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733,552</w:t>
            </w:r>
          </w:p>
        </w:tc>
        <w:tc>
          <w:tcPr>
            <w:tcW w:w="0" w:type="dxa"/>
            <w:vAlign w:val="bottom"/>
          </w:tcPr>
          <w:p>
            <w:pPr>
              <w:spacing w:after="0"/>
              <w:rPr>
                <w:sz w:val="1"/>
                <w:szCs w:val="1"/>
                <w:color w:val="auto"/>
              </w:rPr>
            </w:pPr>
          </w:p>
        </w:tc>
      </w:tr>
      <w:tr>
        <w:trPr>
          <w:trHeight w:val="56"/>
        </w:trPr>
        <w:tc>
          <w:tcPr>
            <w:tcW w:w="80" w:type="dxa"/>
            <w:vAlign w:val="bottom"/>
            <w:tcBorders>
              <w:bottom w:val="single" w:sz="8" w:color="F3EFE9"/>
            </w:tcBorders>
            <w:shd w:val="clear" w:color="auto" w:fill="F3EFE9"/>
          </w:tcPr>
          <w:p>
            <w:pPr>
              <w:spacing w:after="0"/>
              <w:rPr>
                <w:sz w:val="4"/>
                <w:szCs w:val="4"/>
                <w:color w:val="auto"/>
              </w:rPr>
            </w:pPr>
          </w:p>
        </w:tc>
        <w:tc>
          <w:tcPr>
            <w:tcW w:w="1660" w:type="dxa"/>
            <w:vAlign w:val="bottom"/>
            <w:tcBorders>
              <w:bottom w:val="single" w:sz="8" w:color="F3EFE9"/>
            </w:tcBorders>
            <w:shd w:val="clear" w:color="auto" w:fill="F3EFE9"/>
          </w:tcPr>
          <w:p>
            <w:pPr>
              <w:spacing w:after="0"/>
              <w:rPr>
                <w:sz w:val="4"/>
                <w:szCs w:val="4"/>
                <w:color w:val="auto"/>
              </w:rPr>
            </w:pPr>
          </w:p>
        </w:tc>
        <w:tc>
          <w:tcPr>
            <w:tcW w:w="1180" w:type="dxa"/>
            <w:vAlign w:val="bottom"/>
            <w:tcBorders>
              <w:bottom w:val="single" w:sz="8" w:color="98BDE2"/>
            </w:tcBorders>
          </w:tcPr>
          <w:p>
            <w:pPr>
              <w:spacing w:after="0"/>
              <w:rPr>
                <w:sz w:val="4"/>
                <w:szCs w:val="4"/>
                <w:color w:val="auto"/>
              </w:rPr>
            </w:pPr>
          </w:p>
        </w:tc>
        <w:tc>
          <w:tcPr>
            <w:tcW w:w="1200" w:type="dxa"/>
            <w:vAlign w:val="bottom"/>
            <w:tcBorders>
              <w:bottom w:val="single" w:sz="8" w:color="98BDE2"/>
            </w:tcBorders>
          </w:tcPr>
          <w:p>
            <w:pPr>
              <w:spacing w:after="0"/>
              <w:rPr>
                <w:sz w:val="4"/>
                <w:szCs w:val="4"/>
                <w:color w:val="auto"/>
              </w:rPr>
            </w:pPr>
          </w:p>
        </w:tc>
        <w:tc>
          <w:tcPr>
            <w:tcW w:w="1580" w:type="dxa"/>
            <w:vAlign w:val="bottom"/>
            <w:tcBorders>
              <w:bottom w:val="single" w:sz="8" w:color="98BDE2"/>
            </w:tcBorders>
          </w:tcPr>
          <w:p>
            <w:pPr>
              <w:spacing w:after="0"/>
              <w:rPr>
                <w:sz w:val="4"/>
                <w:szCs w:val="4"/>
                <w:color w:val="auto"/>
              </w:rPr>
            </w:pPr>
          </w:p>
        </w:tc>
        <w:tc>
          <w:tcPr>
            <w:tcW w:w="740" w:type="dxa"/>
            <w:vAlign w:val="bottom"/>
            <w:tcBorders>
              <w:bottom w:val="single" w:sz="8" w:color="98BDE2"/>
            </w:tcBorders>
          </w:tcPr>
          <w:p>
            <w:pPr>
              <w:spacing w:after="0"/>
              <w:rPr>
                <w:sz w:val="4"/>
                <w:szCs w:val="4"/>
                <w:color w:val="auto"/>
              </w:rPr>
            </w:pPr>
          </w:p>
        </w:tc>
        <w:tc>
          <w:tcPr>
            <w:tcW w:w="1160" w:type="dxa"/>
            <w:vAlign w:val="bottom"/>
            <w:tcBorders>
              <w:bottom w:val="single" w:sz="8" w:color="98BDE2"/>
            </w:tcBorders>
          </w:tcPr>
          <w:p>
            <w:pPr>
              <w:spacing w:after="0"/>
              <w:rPr>
                <w:sz w:val="4"/>
                <w:szCs w:val="4"/>
                <w:color w:val="auto"/>
              </w:rPr>
            </w:pPr>
          </w:p>
        </w:tc>
        <w:tc>
          <w:tcPr>
            <w:tcW w:w="1480" w:type="dxa"/>
            <w:vAlign w:val="bottom"/>
            <w:tcBorders>
              <w:bottom w:val="single" w:sz="8" w:color="98BDE2"/>
            </w:tcBorders>
          </w:tcPr>
          <w:p>
            <w:pPr>
              <w:spacing w:after="0"/>
              <w:rPr>
                <w:sz w:val="4"/>
                <w:szCs w:val="4"/>
                <w:color w:val="auto"/>
              </w:rPr>
            </w:pPr>
          </w:p>
        </w:tc>
        <w:tc>
          <w:tcPr>
            <w:tcW w:w="980" w:type="dxa"/>
            <w:vAlign w:val="bottom"/>
            <w:tcBorders>
              <w:bottom w:val="single" w:sz="8" w:color="98BDE2"/>
            </w:tcBorders>
          </w:tcPr>
          <w:p>
            <w:pPr>
              <w:spacing w:after="0"/>
              <w:rPr>
                <w:sz w:val="4"/>
                <w:szCs w:val="4"/>
                <w:color w:val="auto"/>
              </w:rPr>
            </w:pPr>
          </w:p>
        </w:tc>
        <w:tc>
          <w:tcPr>
            <w:tcW w:w="1180" w:type="dxa"/>
            <w:vAlign w:val="bottom"/>
            <w:tcBorders>
              <w:bottom w:val="single" w:sz="8" w:color="98BDE2"/>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11,894</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221.89</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733,741</w:t>
            </w:r>
          </w:p>
        </w:tc>
        <w:tc>
          <w:tcPr>
            <w:tcW w:w="0" w:type="dxa"/>
            <w:vAlign w:val="bottom"/>
          </w:tcPr>
          <w:p>
            <w:pPr>
              <w:spacing w:after="0"/>
              <w:rPr>
                <w:sz w:val="1"/>
                <w:szCs w:val="1"/>
                <w:color w:val="auto"/>
              </w:rPr>
            </w:pPr>
          </w:p>
        </w:tc>
      </w:tr>
      <w:tr>
        <w:trPr>
          <w:trHeight w:val="62"/>
        </w:trPr>
        <w:tc>
          <w:tcPr>
            <w:tcW w:w="80" w:type="dxa"/>
            <w:vAlign w:val="bottom"/>
            <w:tcBorders>
              <w:bottom w:val="single" w:sz="8" w:color="98BDE2"/>
            </w:tcBorders>
            <w:shd w:val="clear" w:color="auto" w:fill="F3EFE9"/>
          </w:tcPr>
          <w:p>
            <w:pPr>
              <w:spacing w:after="0"/>
              <w:rPr>
                <w:sz w:val="5"/>
                <w:szCs w:val="5"/>
                <w:color w:val="auto"/>
              </w:rPr>
            </w:pPr>
          </w:p>
        </w:tc>
        <w:tc>
          <w:tcPr>
            <w:tcW w:w="1660" w:type="dxa"/>
            <w:vAlign w:val="bottom"/>
            <w:tcBorders>
              <w:bottom w:val="single" w:sz="8" w:color="98BDE2"/>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386,250</w:t>
            </w:r>
          </w:p>
        </w:tc>
        <w:tc>
          <w:tcPr>
            <w:tcW w:w="740" w:type="dxa"/>
            <w:vAlign w:val="bottom"/>
          </w:tcPr>
          <w:p>
            <w:pPr>
              <w:jc w:val="right"/>
              <w:spacing w:after="0"/>
              <w:rPr>
                <w:sz w:val="20"/>
                <w:szCs w:val="20"/>
                <w:color w:val="auto"/>
              </w:rPr>
            </w:pPr>
            <w:r>
              <w:rPr>
                <w:rFonts w:ascii="Arial" w:cs="Arial" w:eastAsia="Arial" w:hAnsi="Arial"/>
                <w:sz w:val="14"/>
                <w:szCs w:val="14"/>
                <w:color w:val="032E5C"/>
              </w:rPr>
              <w:t>1,004,250</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1660" w:type="dxa"/>
            <w:vAlign w:val="bottom"/>
            <w:tcBorders>
              <w:bottom w:val="single" w:sz="8" w:color="F3EFE9"/>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William C. Rock</w:t>
            </w: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2,517</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n/a</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514,878</w:t>
            </w:r>
          </w:p>
        </w:tc>
        <w:tc>
          <w:tcPr>
            <w:tcW w:w="0" w:type="dxa"/>
            <w:vAlign w:val="bottom"/>
          </w:tcPr>
          <w:p>
            <w:pPr>
              <w:spacing w:after="0"/>
              <w:rPr>
                <w:sz w:val="1"/>
                <w:szCs w:val="1"/>
                <w:color w:val="auto"/>
              </w:rPr>
            </w:pPr>
          </w:p>
        </w:tc>
      </w:tr>
      <w:tr>
        <w:trPr>
          <w:trHeight w:val="56"/>
        </w:trPr>
        <w:tc>
          <w:tcPr>
            <w:tcW w:w="80" w:type="dxa"/>
            <w:vAlign w:val="bottom"/>
            <w:tcBorders>
              <w:bottom w:val="single" w:sz="8" w:color="F3EFE9"/>
            </w:tcBorders>
            <w:shd w:val="clear" w:color="auto" w:fill="F3EFE9"/>
          </w:tcPr>
          <w:p>
            <w:pPr>
              <w:spacing w:after="0"/>
              <w:rPr>
                <w:sz w:val="4"/>
                <w:szCs w:val="4"/>
                <w:color w:val="auto"/>
              </w:rPr>
            </w:pPr>
          </w:p>
        </w:tc>
        <w:tc>
          <w:tcPr>
            <w:tcW w:w="1660" w:type="dxa"/>
            <w:vAlign w:val="bottom"/>
            <w:tcBorders>
              <w:bottom w:val="single" w:sz="8" w:color="F3EFE9"/>
            </w:tcBorders>
            <w:shd w:val="clear" w:color="auto" w:fill="F3EFE9"/>
          </w:tcPr>
          <w:p>
            <w:pPr>
              <w:spacing w:after="0"/>
              <w:rPr>
                <w:sz w:val="4"/>
                <w:szCs w:val="4"/>
                <w:color w:val="auto"/>
              </w:rPr>
            </w:pPr>
          </w:p>
        </w:tc>
        <w:tc>
          <w:tcPr>
            <w:tcW w:w="1180" w:type="dxa"/>
            <w:vAlign w:val="bottom"/>
            <w:tcBorders>
              <w:bottom w:val="single" w:sz="8" w:color="98BDE2"/>
            </w:tcBorders>
          </w:tcPr>
          <w:p>
            <w:pPr>
              <w:spacing w:after="0"/>
              <w:rPr>
                <w:sz w:val="4"/>
                <w:szCs w:val="4"/>
                <w:color w:val="auto"/>
              </w:rPr>
            </w:pPr>
          </w:p>
        </w:tc>
        <w:tc>
          <w:tcPr>
            <w:tcW w:w="1200" w:type="dxa"/>
            <w:vAlign w:val="bottom"/>
            <w:tcBorders>
              <w:bottom w:val="single" w:sz="8" w:color="98BDE2"/>
            </w:tcBorders>
          </w:tcPr>
          <w:p>
            <w:pPr>
              <w:spacing w:after="0"/>
              <w:rPr>
                <w:sz w:val="4"/>
                <w:szCs w:val="4"/>
                <w:color w:val="auto"/>
              </w:rPr>
            </w:pPr>
          </w:p>
        </w:tc>
        <w:tc>
          <w:tcPr>
            <w:tcW w:w="1580" w:type="dxa"/>
            <w:vAlign w:val="bottom"/>
            <w:tcBorders>
              <w:bottom w:val="single" w:sz="8" w:color="98BDE2"/>
            </w:tcBorders>
          </w:tcPr>
          <w:p>
            <w:pPr>
              <w:spacing w:after="0"/>
              <w:rPr>
                <w:sz w:val="4"/>
                <w:szCs w:val="4"/>
                <w:color w:val="auto"/>
              </w:rPr>
            </w:pPr>
          </w:p>
        </w:tc>
        <w:tc>
          <w:tcPr>
            <w:tcW w:w="740" w:type="dxa"/>
            <w:vAlign w:val="bottom"/>
            <w:tcBorders>
              <w:bottom w:val="single" w:sz="8" w:color="98BDE2"/>
            </w:tcBorders>
          </w:tcPr>
          <w:p>
            <w:pPr>
              <w:spacing w:after="0"/>
              <w:rPr>
                <w:sz w:val="4"/>
                <w:szCs w:val="4"/>
                <w:color w:val="auto"/>
              </w:rPr>
            </w:pPr>
          </w:p>
        </w:tc>
        <w:tc>
          <w:tcPr>
            <w:tcW w:w="1160" w:type="dxa"/>
            <w:vAlign w:val="bottom"/>
            <w:tcBorders>
              <w:bottom w:val="single" w:sz="8" w:color="98BDE2"/>
            </w:tcBorders>
          </w:tcPr>
          <w:p>
            <w:pPr>
              <w:spacing w:after="0"/>
              <w:rPr>
                <w:sz w:val="4"/>
                <w:szCs w:val="4"/>
                <w:color w:val="auto"/>
              </w:rPr>
            </w:pPr>
          </w:p>
        </w:tc>
        <w:tc>
          <w:tcPr>
            <w:tcW w:w="1480" w:type="dxa"/>
            <w:vAlign w:val="bottom"/>
            <w:tcBorders>
              <w:bottom w:val="single" w:sz="8" w:color="98BDE2"/>
            </w:tcBorders>
          </w:tcPr>
          <w:p>
            <w:pPr>
              <w:spacing w:after="0"/>
              <w:rPr>
                <w:sz w:val="4"/>
                <w:szCs w:val="4"/>
                <w:color w:val="auto"/>
              </w:rPr>
            </w:pPr>
          </w:p>
        </w:tc>
        <w:tc>
          <w:tcPr>
            <w:tcW w:w="980" w:type="dxa"/>
            <w:vAlign w:val="bottom"/>
            <w:tcBorders>
              <w:bottom w:val="single" w:sz="8" w:color="98BDE2"/>
            </w:tcBorders>
          </w:tcPr>
          <w:p>
            <w:pPr>
              <w:spacing w:after="0"/>
              <w:rPr>
                <w:sz w:val="4"/>
                <w:szCs w:val="4"/>
                <w:color w:val="auto"/>
              </w:rPr>
            </w:pPr>
          </w:p>
        </w:tc>
        <w:tc>
          <w:tcPr>
            <w:tcW w:w="1180" w:type="dxa"/>
            <w:vAlign w:val="bottom"/>
            <w:tcBorders>
              <w:bottom w:val="single" w:sz="8" w:color="98BDE2"/>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8,348</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221.89</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514,988</w:t>
            </w:r>
          </w:p>
        </w:tc>
        <w:tc>
          <w:tcPr>
            <w:tcW w:w="0" w:type="dxa"/>
            <w:vAlign w:val="bottom"/>
          </w:tcPr>
          <w:p>
            <w:pPr>
              <w:spacing w:after="0"/>
              <w:rPr>
                <w:sz w:val="1"/>
                <w:szCs w:val="1"/>
                <w:color w:val="auto"/>
              </w:rPr>
            </w:pPr>
          </w:p>
        </w:tc>
      </w:tr>
      <w:tr>
        <w:trPr>
          <w:trHeight w:val="62"/>
        </w:trPr>
        <w:tc>
          <w:tcPr>
            <w:tcW w:w="80" w:type="dxa"/>
            <w:vAlign w:val="bottom"/>
            <w:tcBorders>
              <w:bottom w:val="single" w:sz="8" w:color="98BDE2"/>
            </w:tcBorders>
            <w:shd w:val="clear" w:color="auto" w:fill="F3EFE9"/>
          </w:tcPr>
          <w:p>
            <w:pPr>
              <w:spacing w:after="0"/>
              <w:rPr>
                <w:sz w:val="5"/>
                <w:szCs w:val="5"/>
                <w:color w:val="auto"/>
              </w:rPr>
            </w:pPr>
          </w:p>
        </w:tc>
        <w:tc>
          <w:tcPr>
            <w:tcW w:w="1660" w:type="dxa"/>
            <w:vAlign w:val="bottom"/>
            <w:tcBorders>
              <w:bottom w:val="single" w:sz="8" w:color="98BDE2"/>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1660" w:type="dxa"/>
            <w:vAlign w:val="bottom"/>
            <w:tcBorders>
              <w:bottom w:val="single" w:sz="8" w:color="F3EFE9"/>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David T. Shapiro</w:t>
            </w: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4,356</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n/a</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891,063</w:t>
            </w:r>
          </w:p>
        </w:tc>
        <w:tc>
          <w:tcPr>
            <w:tcW w:w="0" w:type="dxa"/>
            <w:vAlign w:val="bottom"/>
          </w:tcPr>
          <w:p>
            <w:pPr>
              <w:spacing w:after="0"/>
              <w:rPr>
                <w:sz w:val="1"/>
                <w:szCs w:val="1"/>
                <w:color w:val="auto"/>
              </w:rPr>
            </w:pPr>
          </w:p>
        </w:tc>
      </w:tr>
      <w:tr>
        <w:trPr>
          <w:trHeight w:val="56"/>
        </w:trPr>
        <w:tc>
          <w:tcPr>
            <w:tcW w:w="80" w:type="dxa"/>
            <w:vAlign w:val="bottom"/>
            <w:tcBorders>
              <w:bottom w:val="single" w:sz="8" w:color="F3EFE9"/>
            </w:tcBorders>
            <w:shd w:val="clear" w:color="auto" w:fill="F3EFE9"/>
          </w:tcPr>
          <w:p>
            <w:pPr>
              <w:spacing w:after="0"/>
              <w:rPr>
                <w:sz w:val="4"/>
                <w:szCs w:val="4"/>
                <w:color w:val="auto"/>
              </w:rPr>
            </w:pPr>
          </w:p>
        </w:tc>
        <w:tc>
          <w:tcPr>
            <w:tcW w:w="1660" w:type="dxa"/>
            <w:vAlign w:val="bottom"/>
            <w:tcBorders>
              <w:bottom w:val="single" w:sz="8" w:color="F3EFE9"/>
            </w:tcBorders>
            <w:shd w:val="clear" w:color="auto" w:fill="F3EFE9"/>
          </w:tcPr>
          <w:p>
            <w:pPr>
              <w:spacing w:after="0"/>
              <w:rPr>
                <w:sz w:val="4"/>
                <w:szCs w:val="4"/>
                <w:color w:val="auto"/>
              </w:rPr>
            </w:pPr>
          </w:p>
        </w:tc>
        <w:tc>
          <w:tcPr>
            <w:tcW w:w="1180" w:type="dxa"/>
            <w:vAlign w:val="bottom"/>
            <w:tcBorders>
              <w:bottom w:val="single" w:sz="8" w:color="98BDE2"/>
            </w:tcBorders>
          </w:tcPr>
          <w:p>
            <w:pPr>
              <w:spacing w:after="0"/>
              <w:rPr>
                <w:sz w:val="4"/>
                <w:szCs w:val="4"/>
                <w:color w:val="auto"/>
              </w:rPr>
            </w:pPr>
          </w:p>
        </w:tc>
        <w:tc>
          <w:tcPr>
            <w:tcW w:w="1200" w:type="dxa"/>
            <w:vAlign w:val="bottom"/>
            <w:tcBorders>
              <w:bottom w:val="single" w:sz="8" w:color="98BDE2"/>
            </w:tcBorders>
          </w:tcPr>
          <w:p>
            <w:pPr>
              <w:spacing w:after="0"/>
              <w:rPr>
                <w:sz w:val="4"/>
                <w:szCs w:val="4"/>
                <w:color w:val="auto"/>
              </w:rPr>
            </w:pPr>
          </w:p>
        </w:tc>
        <w:tc>
          <w:tcPr>
            <w:tcW w:w="1580" w:type="dxa"/>
            <w:vAlign w:val="bottom"/>
            <w:tcBorders>
              <w:bottom w:val="single" w:sz="8" w:color="98BDE2"/>
            </w:tcBorders>
          </w:tcPr>
          <w:p>
            <w:pPr>
              <w:spacing w:after="0"/>
              <w:rPr>
                <w:sz w:val="4"/>
                <w:szCs w:val="4"/>
                <w:color w:val="auto"/>
              </w:rPr>
            </w:pPr>
          </w:p>
        </w:tc>
        <w:tc>
          <w:tcPr>
            <w:tcW w:w="740" w:type="dxa"/>
            <w:vAlign w:val="bottom"/>
            <w:tcBorders>
              <w:bottom w:val="single" w:sz="8" w:color="98BDE2"/>
            </w:tcBorders>
          </w:tcPr>
          <w:p>
            <w:pPr>
              <w:spacing w:after="0"/>
              <w:rPr>
                <w:sz w:val="4"/>
                <w:szCs w:val="4"/>
                <w:color w:val="auto"/>
              </w:rPr>
            </w:pPr>
          </w:p>
        </w:tc>
        <w:tc>
          <w:tcPr>
            <w:tcW w:w="1160" w:type="dxa"/>
            <w:vAlign w:val="bottom"/>
            <w:tcBorders>
              <w:bottom w:val="single" w:sz="8" w:color="98BDE2"/>
            </w:tcBorders>
          </w:tcPr>
          <w:p>
            <w:pPr>
              <w:spacing w:after="0"/>
              <w:rPr>
                <w:sz w:val="4"/>
                <w:szCs w:val="4"/>
                <w:color w:val="auto"/>
              </w:rPr>
            </w:pPr>
          </w:p>
        </w:tc>
        <w:tc>
          <w:tcPr>
            <w:tcW w:w="1480" w:type="dxa"/>
            <w:vAlign w:val="bottom"/>
            <w:tcBorders>
              <w:bottom w:val="single" w:sz="8" w:color="98BDE2"/>
            </w:tcBorders>
          </w:tcPr>
          <w:p>
            <w:pPr>
              <w:spacing w:after="0"/>
              <w:rPr>
                <w:sz w:val="4"/>
                <w:szCs w:val="4"/>
                <w:color w:val="auto"/>
              </w:rPr>
            </w:pPr>
          </w:p>
        </w:tc>
        <w:tc>
          <w:tcPr>
            <w:tcW w:w="980" w:type="dxa"/>
            <w:vAlign w:val="bottom"/>
            <w:tcBorders>
              <w:bottom w:val="single" w:sz="8" w:color="98BDE2"/>
            </w:tcBorders>
          </w:tcPr>
          <w:p>
            <w:pPr>
              <w:spacing w:after="0"/>
              <w:rPr>
                <w:sz w:val="4"/>
                <w:szCs w:val="4"/>
                <w:color w:val="auto"/>
              </w:rPr>
            </w:pPr>
          </w:p>
        </w:tc>
        <w:tc>
          <w:tcPr>
            <w:tcW w:w="1180" w:type="dxa"/>
            <w:vAlign w:val="bottom"/>
            <w:tcBorders>
              <w:bottom w:val="single" w:sz="8" w:color="98BDE2"/>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14,444</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221.89</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891,050</w:t>
            </w:r>
          </w:p>
        </w:tc>
        <w:tc>
          <w:tcPr>
            <w:tcW w:w="0" w:type="dxa"/>
            <w:vAlign w:val="bottom"/>
          </w:tcPr>
          <w:p>
            <w:pPr>
              <w:spacing w:after="0"/>
              <w:rPr>
                <w:sz w:val="1"/>
                <w:szCs w:val="1"/>
                <w:color w:val="auto"/>
              </w:rPr>
            </w:pPr>
          </w:p>
        </w:tc>
      </w:tr>
      <w:tr>
        <w:trPr>
          <w:trHeight w:val="62"/>
        </w:trPr>
        <w:tc>
          <w:tcPr>
            <w:tcW w:w="80" w:type="dxa"/>
            <w:vAlign w:val="bottom"/>
            <w:tcBorders>
              <w:bottom w:val="single" w:sz="8" w:color="98BDE2"/>
            </w:tcBorders>
            <w:shd w:val="clear" w:color="auto" w:fill="F3EFE9"/>
          </w:tcPr>
          <w:p>
            <w:pPr>
              <w:spacing w:after="0"/>
              <w:rPr>
                <w:sz w:val="5"/>
                <w:szCs w:val="5"/>
                <w:color w:val="auto"/>
              </w:rPr>
            </w:pPr>
          </w:p>
        </w:tc>
        <w:tc>
          <w:tcPr>
            <w:tcW w:w="1660" w:type="dxa"/>
            <w:vAlign w:val="bottom"/>
            <w:tcBorders>
              <w:bottom w:val="single" w:sz="8" w:color="98BDE2"/>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shd w:val="clear" w:color="auto" w:fill="F3EFE9"/>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220,353</w:t>
            </w:r>
          </w:p>
        </w:tc>
        <w:tc>
          <w:tcPr>
            <w:tcW w:w="740" w:type="dxa"/>
            <w:vAlign w:val="bottom"/>
          </w:tcPr>
          <w:p>
            <w:pPr>
              <w:jc w:val="right"/>
              <w:spacing w:after="0"/>
              <w:rPr>
                <w:sz w:val="20"/>
                <w:szCs w:val="20"/>
                <w:color w:val="auto"/>
              </w:rPr>
            </w:pPr>
            <w:r>
              <w:rPr>
                <w:rFonts w:ascii="Arial" w:cs="Arial" w:eastAsia="Arial" w:hAnsi="Arial"/>
                <w:sz w:val="14"/>
                <w:szCs w:val="14"/>
                <w:color w:val="032E5C"/>
              </w:rPr>
              <w:t>572,917</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166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Gregory J. Sullivan</w:t>
            </w: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1660" w:type="dxa"/>
            <w:vAlign w:val="bottom"/>
            <w:vMerge w:val="continue"/>
            <w:shd w:val="clear" w:color="auto" w:fill="F3EFE9"/>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1,104</w:t>
            </w:r>
          </w:p>
        </w:tc>
        <w:tc>
          <w:tcPr>
            <w:tcW w:w="1480" w:type="dxa"/>
            <w:vAlign w:val="bottom"/>
          </w:tcPr>
          <w:p>
            <w:pPr>
              <w:jc w:val="right"/>
              <w:ind w:right="288"/>
              <w:spacing w:after="0"/>
              <w:rPr>
                <w:sz w:val="20"/>
                <w:szCs w:val="20"/>
                <w:color w:val="auto"/>
              </w:rPr>
            </w:pPr>
            <w:r>
              <w:rPr>
                <w:rFonts w:ascii="Arial" w:cs="Arial" w:eastAsia="Arial" w:hAnsi="Arial"/>
                <w:sz w:val="14"/>
                <w:szCs w:val="14"/>
                <w:color w:val="032E5C"/>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n/a</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255,834</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1660" w:type="dxa"/>
            <w:vAlign w:val="bottom"/>
            <w:tcBorders>
              <w:bottom w:val="single" w:sz="8" w:color="F3EFE9"/>
            </w:tcBorders>
            <w:shd w:val="clear" w:color="auto" w:fill="F3EFE9"/>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1200" w:type="dxa"/>
            <w:vAlign w:val="bottom"/>
            <w:tcBorders>
              <w:bottom w:val="single" w:sz="8" w:color="98BDE2"/>
            </w:tcBorders>
          </w:tcPr>
          <w:p>
            <w:pPr>
              <w:spacing w:after="0"/>
              <w:rPr>
                <w:sz w:val="5"/>
                <w:szCs w:val="5"/>
                <w:color w:val="auto"/>
              </w:rPr>
            </w:pPr>
          </w:p>
        </w:tc>
        <w:tc>
          <w:tcPr>
            <w:tcW w:w="1580" w:type="dxa"/>
            <w:vAlign w:val="bottom"/>
            <w:tcBorders>
              <w:bottom w:val="single" w:sz="8" w:color="98BDE2"/>
            </w:tcBorders>
          </w:tcPr>
          <w:p>
            <w:pPr>
              <w:spacing w:after="0"/>
              <w:rPr>
                <w:sz w:val="5"/>
                <w:szCs w:val="5"/>
                <w:color w:val="auto"/>
              </w:rPr>
            </w:pPr>
          </w:p>
        </w:tc>
        <w:tc>
          <w:tcPr>
            <w:tcW w:w="740" w:type="dxa"/>
            <w:vAlign w:val="bottom"/>
            <w:tcBorders>
              <w:bottom w:val="single" w:sz="8" w:color="98BDE2"/>
            </w:tcBorders>
          </w:tcPr>
          <w:p>
            <w:pPr>
              <w:spacing w:after="0"/>
              <w:rPr>
                <w:sz w:val="5"/>
                <w:szCs w:val="5"/>
                <w:color w:val="auto"/>
              </w:rPr>
            </w:pPr>
          </w:p>
        </w:tc>
        <w:tc>
          <w:tcPr>
            <w:tcW w:w="1160" w:type="dxa"/>
            <w:vAlign w:val="bottom"/>
            <w:tcBorders>
              <w:bottom w:val="single" w:sz="8" w:color="98BDE2"/>
            </w:tcBorders>
          </w:tcPr>
          <w:p>
            <w:pPr>
              <w:spacing w:after="0"/>
              <w:rPr>
                <w:sz w:val="5"/>
                <w:szCs w:val="5"/>
                <w:color w:val="auto"/>
              </w:rPr>
            </w:pPr>
          </w:p>
        </w:tc>
        <w:tc>
          <w:tcPr>
            <w:tcW w:w="1480" w:type="dxa"/>
            <w:vAlign w:val="bottom"/>
            <w:tcBorders>
              <w:bottom w:val="single" w:sz="8" w:color="98BDE2"/>
            </w:tcBorders>
          </w:tcPr>
          <w:p>
            <w:pPr>
              <w:spacing w:after="0"/>
              <w:rPr>
                <w:sz w:val="5"/>
                <w:szCs w:val="5"/>
                <w:color w:val="auto"/>
              </w:rPr>
            </w:pPr>
          </w:p>
        </w:tc>
        <w:tc>
          <w:tcPr>
            <w:tcW w:w="980" w:type="dxa"/>
            <w:vAlign w:val="bottom"/>
            <w:tcBorders>
              <w:bottom w:val="single" w:sz="8" w:color="98BDE2"/>
            </w:tcBorders>
          </w:tcPr>
          <w:p>
            <w:pPr>
              <w:spacing w:after="0"/>
              <w:rPr>
                <w:sz w:val="5"/>
                <w:szCs w:val="5"/>
                <w:color w:val="auto"/>
              </w:rPr>
            </w:pPr>
          </w:p>
        </w:tc>
        <w:tc>
          <w:tcPr>
            <w:tcW w:w="118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shd w:val="clear" w:color="auto" w:fill="F3EFE9"/>
          </w:tcPr>
          <w:p>
            <w:pPr>
              <w:spacing w:after="0"/>
              <w:rPr>
                <w:sz w:val="19"/>
                <w:szCs w:val="19"/>
                <w:color w:val="auto"/>
              </w:rPr>
            </w:pPr>
          </w:p>
        </w:tc>
        <w:tc>
          <w:tcPr>
            <w:tcW w:w="1660" w:type="dxa"/>
            <w:vAlign w:val="bottom"/>
            <w:shd w:val="clear" w:color="auto" w:fill="F3EFE9"/>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32E5C"/>
              </w:rPr>
              <w:t>9/29/2023</w:t>
            </w:r>
          </w:p>
        </w:tc>
        <w:tc>
          <w:tcPr>
            <w:tcW w:w="1200" w:type="dxa"/>
            <w:vAlign w:val="bottom"/>
          </w:tcPr>
          <w:p>
            <w:pPr>
              <w:jc w:val="right"/>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74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spacing w:after="0"/>
              <w:rPr>
                <w:sz w:val="20"/>
                <w:szCs w:val="20"/>
                <w:color w:val="auto"/>
              </w:rPr>
            </w:pPr>
            <w:r>
              <w:rPr>
                <w:rFonts w:ascii="Arial" w:cs="Arial" w:eastAsia="Arial" w:hAnsi="Arial"/>
                <w:sz w:val="14"/>
                <w:szCs w:val="14"/>
                <w:color w:val="032E5C"/>
              </w:rPr>
              <w:t>—</w:t>
            </w:r>
          </w:p>
        </w:tc>
        <w:tc>
          <w:tcPr>
            <w:tcW w:w="1480" w:type="dxa"/>
            <w:vAlign w:val="bottom"/>
          </w:tcPr>
          <w:p>
            <w:pPr>
              <w:jc w:val="right"/>
              <w:ind w:right="228"/>
              <w:spacing w:after="0"/>
              <w:rPr>
                <w:sz w:val="20"/>
                <w:szCs w:val="20"/>
                <w:color w:val="auto"/>
              </w:rPr>
            </w:pPr>
            <w:r>
              <w:rPr>
                <w:rFonts w:ascii="Arial" w:cs="Arial" w:eastAsia="Arial" w:hAnsi="Arial"/>
                <w:sz w:val="14"/>
                <w:szCs w:val="14"/>
                <w:color w:val="032E5C"/>
              </w:rPr>
              <w:t>3,663</w:t>
            </w:r>
          </w:p>
        </w:tc>
        <w:tc>
          <w:tcPr>
            <w:tcW w:w="980" w:type="dxa"/>
            <w:vAlign w:val="bottom"/>
          </w:tcPr>
          <w:p>
            <w:pPr>
              <w:jc w:val="right"/>
              <w:ind w:right="28"/>
              <w:spacing w:after="0"/>
              <w:rPr>
                <w:sz w:val="20"/>
                <w:szCs w:val="20"/>
                <w:color w:val="auto"/>
              </w:rPr>
            </w:pPr>
            <w:r>
              <w:rPr>
                <w:rFonts w:ascii="Arial" w:cs="Arial" w:eastAsia="Arial" w:hAnsi="Arial"/>
                <w:sz w:val="14"/>
                <w:szCs w:val="14"/>
                <w:color w:val="032E5C"/>
              </w:rPr>
              <w:t>221.89</w:t>
            </w:r>
          </w:p>
        </w:tc>
        <w:tc>
          <w:tcPr>
            <w:tcW w:w="1180" w:type="dxa"/>
            <w:vAlign w:val="bottom"/>
          </w:tcPr>
          <w:p>
            <w:pPr>
              <w:jc w:val="right"/>
              <w:ind w:right="48"/>
              <w:spacing w:after="0"/>
              <w:rPr>
                <w:sz w:val="20"/>
                <w:szCs w:val="20"/>
                <w:color w:val="auto"/>
              </w:rPr>
            </w:pPr>
            <w:r>
              <w:rPr>
                <w:rFonts w:ascii="Arial" w:cs="Arial" w:eastAsia="Arial" w:hAnsi="Arial"/>
                <w:sz w:val="14"/>
                <w:szCs w:val="14"/>
                <w:color w:val="032E5C"/>
              </w:rPr>
              <w:t>255,970</w:t>
            </w:r>
          </w:p>
        </w:tc>
        <w:tc>
          <w:tcPr>
            <w:tcW w:w="0" w:type="dxa"/>
            <w:vAlign w:val="bottom"/>
          </w:tcPr>
          <w:p>
            <w:pPr>
              <w:spacing w:after="0"/>
              <w:rPr>
                <w:sz w:val="1"/>
                <w:szCs w:val="1"/>
                <w:color w:val="auto"/>
              </w:rPr>
            </w:pPr>
          </w:p>
        </w:tc>
      </w:tr>
      <w:tr>
        <w:trPr>
          <w:trHeight w:val="69"/>
        </w:trPr>
        <w:tc>
          <w:tcPr>
            <w:tcW w:w="80" w:type="dxa"/>
            <w:vAlign w:val="bottom"/>
            <w:tcBorders>
              <w:bottom w:val="single" w:sz="8" w:color="3E5C7C"/>
            </w:tcBorders>
            <w:shd w:val="clear" w:color="auto" w:fill="F3EFE9"/>
          </w:tcPr>
          <w:p>
            <w:pPr>
              <w:spacing w:after="0"/>
              <w:rPr>
                <w:sz w:val="6"/>
                <w:szCs w:val="6"/>
                <w:color w:val="auto"/>
              </w:rPr>
            </w:pPr>
          </w:p>
        </w:tc>
        <w:tc>
          <w:tcPr>
            <w:tcW w:w="1660" w:type="dxa"/>
            <w:vAlign w:val="bottom"/>
            <w:tcBorders>
              <w:bottom w:val="single" w:sz="8" w:color="3E5C7C"/>
            </w:tcBorders>
            <w:shd w:val="clear" w:color="auto" w:fill="F3EFE9"/>
          </w:tcPr>
          <w:p>
            <w:pPr>
              <w:spacing w:after="0"/>
              <w:rPr>
                <w:sz w:val="6"/>
                <w:szCs w:val="6"/>
                <w:color w:val="auto"/>
              </w:rPr>
            </w:pPr>
          </w:p>
        </w:tc>
        <w:tc>
          <w:tcPr>
            <w:tcW w:w="1180" w:type="dxa"/>
            <w:vAlign w:val="bottom"/>
            <w:tcBorders>
              <w:bottom w:val="single" w:sz="8" w:color="3E5C7C"/>
            </w:tcBorders>
          </w:tcPr>
          <w:p>
            <w:pPr>
              <w:spacing w:after="0"/>
              <w:rPr>
                <w:sz w:val="6"/>
                <w:szCs w:val="6"/>
                <w:color w:val="auto"/>
              </w:rPr>
            </w:pPr>
          </w:p>
        </w:tc>
        <w:tc>
          <w:tcPr>
            <w:tcW w:w="1200" w:type="dxa"/>
            <w:vAlign w:val="bottom"/>
            <w:tcBorders>
              <w:bottom w:val="single" w:sz="8" w:color="3E5C7C"/>
            </w:tcBorders>
          </w:tcPr>
          <w:p>
            <w:pPr>
              <w:spacing w:after="0"/>
              <w:rPr>
                <w:sz w:val="6"/>
                <w:szCs w:val="6"/>
                <w:color w:val="auto"/>
              </w:rPr>
            </w:pPr>
          </w:p>
        </w:tc>
        <w:tc>
          <w:tcPr>
            <w:tcW w:w="1580" w:type="dxa"/>
            <w:vAlign w:val="bottom"/>
            <w:tcBorders>
              <w:bottom w:val="single" w:sz="8" w:color="3E5C7C"/>
            </w:tcBorders>
          </w:tcPr>
          <w:p>
            <w:pPr>
              <w:spacing w:after="0"/>
              <w:rPr>
                <w:sz w:val="6"/>
                <w:szCs w:val="6"/>
                <w:color w:val="auto"/>
              </w:rPr>
            </w:pPr>
          </w:p>
        </w:tc>
        <w:tc>
          <w:tcPr>
            <w:tcW w:w="740" w:type="dxa"/>
            <w:vAlign w:val="bottom"/>
            <w:tcBorders>
              <w:bottom w:val="single" w:sz="8" w:color="3E5C7C"/>
            </w:tcBorders>
          </w:tcPr>
          <w:p>
            <w:pPr>
              <w:spacing w:after="0"/>
              <w:rPr>
                <w:sz w:val="6"/>
                <w:szCs w:val="6"/>
                <w:color w:val="auto"/>
              </w:rPr>
            </w:pPr>
          </w:p>
        </w:tc>
        <w:tc>
          <w:tcPr>
            <w:tcW w:w="1160" w:type="dxa"/>
            <w:vAlign w:val="bottom"/>
            <w:tcBorders>
              <w:bottom w:val="single" w:sz="8" w:color="3E5C7C"/>
            </w:tcBorders>
          </w:tcPr>
          <w:p>
            <w:pPr>
              <w:spacing w:after="0"/>
              <w:rPr>
                <w:sz w:val="6"/>
                <w:szCs w:val="6"/>
                <w:color w:val="auto"/>
              </w:rPr>
            </w:pPr>
          </w:p>
        </w:tc>
        <w:tc>
          <w:tcPr>
            <w:tcW w:w="1480" w:type="dxa"/>
            <w:vAlign w:val="bottom"/>
            <w:tcBorders>
              <w:bottom w:val="single" w:sz="8" w:color="3E5C7C"/>
            </w:tcBorders>
          </w:tcPr>
          <w:p>
            <w:pPr>
              <w:spacing w:after="0"/>
              <w:rPr>
                <w:sz w:val="6"/>
                <w:szCs w:val="6"/>
                <w:color w:val="auto"/>
              </w:rPr>
            </w:pPr>
          </w:p>
        </w:tc>
        <w:tc>
          <w:tcPr>
            <w:tcW w:w="980" w:type="dxa"/>
            <w:vAlign w:val="bottom"/>
            <w:tcBorders>
              <w:bottom w:val="single" w:sz="8" w:color="3E5C7C"/>
            </w:tcBorders>
          </w:tcPr>
          <w:p>
            <w:pPr>
              <w:spacing w:after="0"/>
              <w:rPr>
                <w:sz w:val="6"/>
                <w:szCs w:val="6"/>
                <w:color w:val="auto"/>
              </w:rPr>
            </w:pPr>
          </w:p>
        </w:tc>
        <w:tc>
          <w:tcPr>
            <w:tcW w:w="1180" w:type="dxa"/>
            <w:vAlign w:val="bottom"/>
            <w:tcBorders>
              <w:bottom w:val="single" w:sz="8" w:color="3E5C7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360" w:hanging="332"/>
        <w:spacing w:after="0" w:line="285" w:lineRule="auto"/>
        <w:tabs>
          <w:tab w:leader="none" w:pos="340" w:val="left"/>
        </w:tabs>
        <w:numPr>
          <w:ilvl w:val="0"/>
          <w:numId w:val="53"/>
        </w:numPr>
        <w:rPr>
          <w:rFonts w:ascii="Arial" w:cs="Arial" w:eastAsia="Arial" w:hAnsi="Arial"/>
          <w:sz w:val="14"/>
          <w:szCs w:val="14"/>
          <w:color w:val="29292B"/>
        </w:rPr>
      </w:pPr>
      <w:r>
        <w:rPr>
          <w:rFonts w:ascii="Arial" w:cs="Arial" w:eastAsia="Arial" w:hAnsi="Arial"/>
          <w:sz w:val="14"/>
          <w:szCs w:val="14"/>
          <w:color w:val="29292B"/>
        </w:rPr>
        <w:t>With respect to equity awards, such awards were approved by the Compensation Committee of the Board on September 27, 2023, with a grant date of September 29, 2023, which is the first business day after the public release of earnings for the previous fiscal year.</w:t>
      </w:r>
    </w:p>
    <w:p>
      <w:pPr>
        <w:spacing w:after="0" w:line="49" w:lineRule="exact"/>
        <w:rPr>
          <w:rFonts w:ascii="Arial" w:cs="Arial" w:eastAsia="Arial" w:hAnsi="Arial"/>
          <w:sz w:val="14"/>
          <w:szCs w:val="14"/>
          <w:color w:val="29292B"/>
        </w:rPr>
      </w:pPr>
    </w:p>
    <w:p>
      <w:pPr>
        <w:ind w:left="340" w:right="80" w:hanging="332"/>
        <w:spacing w:after="0" w:line="269" w:lineRule="auto"/>
        <w:tabs>
          <w:tab w:leader="none" w:pos="340" w:val="left"/>
        </w:tabs>
        <w:numPr>
          <w:ilvl w:val="0"/>
          <w:numId w:val="53"/>
        </w:numPr>
        <w:rPr>
          <w:rFonts w:ascii="Arial" w:cs="Arial" w:eastAsia="Arial" w:hAnsi="Arial"/>
          <w:sz w:val="14"/>
          <w:szCs w:val="14"/>
          <w:color w:val="29292B"/>
        </w:rPr>
      </w:pPr>
      <w:r>
        <w:rPr>
          <w:rFonts w:ascii="Arial" w:cs="Arial" w:eastAsia="Arial" w:hAnsi="Arial"/>
          <w:sz w:val="14"/>
          <w:szCs w:val="14"/>
          <w:color w:val="29292B"/>
        </w:rPr>
        <w:t>The estimated possible payouts are based on the parameters applicable to each NEO at the time the Compensation Committee established the relevant performance goals in writing at the beginning of fiscal 2024, as more fully described in the CD&amp;A section of this proxy statement. The actual earned and subsequently paid amounts are reported in the Summary Compensation Table under the “Non-Equity Incentive Plan Compensation” column. As the Executive Chairperson, Mr. Katz was not eligible to receive an MIP award in fiscal 2024.</w:t>
      </w:r>
    </w:p>
    <w:p>
      <w:pPr>
        <w:spacing w:after="0" w:line="61" w:lineRule="exact"/>
        <w:rPr>
          <w:rFonts w:ascii="Arial" w:cs="Arial" w:eastAsia="Arial" w:hAnsi="Arial"/>
          <w:sz w:val="14"/>
          <w:szCs w:val="14"/>
          <w:color w:val="29292B"/>
        </w:rPr>
      </w:pPr>
    </w:p>
    <w:p>
      <w:pPr>
        <w:ind w:left="340" w:right="180" w:hanging="332"/>
        <w:spacing w:after="0" w:line="273" w:lineRule="auto"/>
        <w:tabs>
          <w:tab w:leader="none" w:pos="340" w:val="left"/>
        </w:tabs>
        <w:numPr>
          <w:ilvl w:val="0"/>
          <w:numId w:val="53"/>
        </w:numPr>
        <w:rPr>
          <w:rFonts w:ascii="Arial" w:cs="Arial" w:eastAsia="Arial" w:hAnsi="Arial"/>
          <w:sz w:val="14"/>
          <w:szCs w:val="14"/>
          <w:color w:val="29292B"/>
        </w:rPr>
      </w:pPr>
      <w:r>
        <w:rPr>
          <w:rFonts w:ascii="Arial" w:cs="Arial" w:eastAsia="Arial" w:hAnsi="Arial"/>
          <w:sz w:val="14"/>
          <w:szCs w:val="14"/>
          <w:color w:val="29292B"/>
        </w:rPr>
        <w:t>The Threshold amount is based on the MIP’s minimum target funding level based upon no achievement of Resort Reported EBITDA targets for fiscal 2024, with the resulting funding applied to the NEO’s target percentage of base salary and then paid out at the 50% threshold level for individual performance (other than for Ms. Lynch, whose MIP awards are tied entirely to corporate performance).</w:t>
      </w:r>
    </w:p>
    <w:p>
      <w:pPr>
        <w:spacing w:after="0" w:line="58" w:lineRule="exact"/>
        <w:rPr>
          <w:rFonts w:ascii="Arial" w:cs="Arial" w:eastAsia="Arial" w:hAnsi="Arial"/>
          <w:sz w:val="14"/>
          <w:szCs w:val="14"/>
          <w:color w:val="29292B"/>
        </w:rPr>
      </w:pPr>
    </w:p>
    <w:p>
      <w:pPr>
        <w:ind w:left="340" w:right="120" w:hanging="332"/>
        <w:spacing w:after="0" w:line="273" w:lineRule="auto"/>
        <w:tabs>
          <w:tab w:leader="none" w:pos="340" w:val="left"/>
        </w:tabs>
        <w:numPr>
          <w:ilvl w:val="0"/>
          <w:numId w:val="53"/>
        </w:numPr>
        <w:rPr>
          <w:rFonts w:ascii="Arial" w:cs="Arial" w:eastAsia="Arial" w:hAnsi="Arial"/>
          <w:sz w:val="14"/>
          <w:szCs w:val="14"/>
          <w:color w:val="29292B"/>
        </w:rPr>
      </w:pPr>
      <w:r>
        <w:rPr>
          <w:rFonts w:ascii="Arial" w:cs="Arial" w:eastAsia="Arial" w:hAnsi="Arial"/>
          <w:sz w:val="14"/>
          <w:szCs w:val="14"/>
          <w:color w:val="29292B"/>
        </w:rPr>
        <w:t>The Target amount is based on the MIP’s target funding level of 100% upon achievement by the Company of 100% of certain Resort Reported EBITDA targets for fiscal 2024, with the resulting funding applied to the NEO’s target percentage of base salary and then paid out at the 100% target level for individual performance (other than for Ms. Lynch, whose MIP awards are tied entirely to corporate performance).</w:t>
      </w:r>
    </w:p>
    <w:p>
      <w:pPr>
        <w:spacing w:after="0" w:line="58" w:lineRule="exact"/>
        <w:rPr>
          <w:rFonts w:ascii="Arial" w:cs="Arial" w:eastAsia="Arial" w:hAnsi="Arial"/>
          <w:sz w:val="14"/>
          <w:szCs w:val="14"/>
          <w:color w:val="29292B"/>
        </w:rPr>
      </w:pPr>
    </w:p>
    <w:p>
      <w:pPr>
        <w:ind w:left="340" w:right="320" w:hanging="332"/>
        <w:spacing w:after="0" w:line="273" w:lineRule="auto"/>
        <w:tabs>
          <w:tab w:leader="none" w:pos="340" w:val="left"/>
        </w:tabs>
        <w:numPr>
          <w:ilvl w:val="0"/>
          <w:numId w:val="53"/>
        </w:numPr>
        <w:rPr>
          <w:rFonts w:ascii="Arial" w:cs="Arial" w:eastAsia="Arial" w:hAnsi="Arial"/>
          <w:sz w:val="14"/>
          <w:szCs w:val="14"/>
          <w:color w:val="29292B"/>
        </w:rPr>
      </w:pPr>
      <w:r>
        <w:rPr>
          <w:rFonts w:ascii="Arial" w:cs="Arial" w:eastAsia="Arial" w:hAnsi="Arial"/>
          <w:sz w:val="14"/>
          <w:szCs w:val="14"/>
          <w:color w:val="29292B"/>
        </w:rPr>
        <w:t>The Maximum amount is based on the MIP’s maximum funding level of 200% upon achievement by the Company of at least 120% of certain Resort Reported EBITDA targets for fiscal 2024, with the resulting funding applied to the NEO’s target percentage of base salary and then paid out at the 130% maximum level for individual performance (other than for Ms. Lynch, whose MIP awards are tied entirely to corporate performance).</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60</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29292B"/>
        </w:rPr>
      </w:pPr>
      <w:r>
        <w:rPr>
          <w:rFonts w:ascii="Arial" w:cs="Arial" w:eastAsia="Arial" w:hAnsi="Arial"/>
          <w:sz w:val="14"/>
          <w:szCs w:val="14"/>
          <w:color w:val="29292B"/>
        </w:rPr>
        <w:t>Represents RSUs that vest in three equal annual installments beginning on the first anniversary of the grant date. The grants were made pursuant to the 2015 Plan.</w:t>
      </w:r>
    </w:p>
    <w:p>
      <w:pPr>
        <w:spacing w:after="0" w:line="109" w:lineRule="exact"/>
        <w:rPr>
          <w:rFonts w:ascii="Arial" w:cs="Arial" w:eastAsia="Arial" w:hAnsi="Arial"/>
          <w:sz w:val="14"/>
          <w:szCs w:val="14"/>
          <w:color w:val="29292B"/>
        </w:rPr>
      </w:pPr>
    </w:p>
    <w:p>
      <w:pPr>
        <w:ind w:left="340" w:right="40" w:hanging="332"/>
        <w:spacing w:after="0" w:line="266" w:lineRule="auto"/>
        <w:tabs>
          <w:tab w:leader="none" w:pos="340" w:val="left"/>
        </w:tabs>
        <w:numPr>
          <w:ilvl w:val="0"/>
          <w:numId w:val="54"/>
        </w:numPr>
        <w:rPr>
          <w:rFonts w:ascii="Arial" w:cs="Arial" w:eastAsia="Arial" w:hAnsi="Arial"/>
          <w:sz w:val="14"/>
          <w:szCs w:val="14"/>
          <w:color w:val="29292B"/>
        </w:rPr>
      </w:pPr>
      <w:r>
        <w:rPr>
          <w:rFonts w:ascii="Arial" w:cs="Arial" w:eastAsia="Arial" w:hAnsi="Arial"/>
          <w:sz w:val="14"/>
          <w:szCs w:val="14"/>
          <w:color w:val="29292B"/>
        </w:rPr>
        <w:t>Represents SARs that vest in three equal annual installments beginning on the first anniversary of the grant date. The exercise price of each SAR is equal to the closing price of our common stock on the grant date, except in the case of the SARs award value granted to Ms. Lynch for which the exercise price was 110% of the closing price of our common stock on the grant date. Upon the exercise of a SAR, the actual number of shares the Company will issue to the NEO is equal the quotient of (i) the product of (x) the excess of the per share fair market value of our common stock on the date of exercise over the exercise price, multiplied by (y) the number of SARs exercised, divided by (ii) the per share fair market value of our common stock on the date of exercise, less any shares withheld to cover payment of applicable tax withholding obligations. The grants were made pursuant to the 2015 Plan.</w:t>
      </w:r>
    </w:p>
    <w:p>
      <w:pPr>
        <w:spacing w:after="0" w:line="49" w:lineRule="exact"/>
        <w:rPr>
          <w:rFonts w:ascii="Arial" w:cs="Arial" w:eastAsia="Arial" w:hAnsi="Arial"/>
          <w:sz w:val="14"/>
          <w:szCs w:val="14"/>
          <w:color w:val="29292B"/>
        </w:rPr>
      </w:pPr>
    </w:p>
    <w:p>
      <w:pPr>
        <w:ind w:left="340" w:right="340" w:hanging="332"/>
        <w:spacing w:after="0" w:line="305" w:lineRule="auto"/>
        <w:tabs>
          <w:tab w:leader="none" w:pos="340" w:val="left"/>
        </w:tabs>
        <w:numPr>
          <w:ilvl w:val="0"/>
          <w:numId w:val="54"/>
        </w:numPr>
        <w:rPr>
          <w:rFonts w:ascii="Arial" w:cs="Arial" w:eastAsia="Arial" w:hAnsi="Arial"/>
          <w:sz w:val="14"/>
          <w:szCs w:val="14"/>
          <w:color w:val="29292B"/>
        </w:rPr>
      </w:pPr>
      <w:r>
        <w:rPr>
          <w:rFonts w:ascii="Arial" w:cs="Arial" w:eastAsia="Arial" w:hAnsi="Arial"/>
          <w:sz w:val="14"/>
          <w:szCs w:val="14"/>
          <w:color w:val="29292B"/>
        </w:rPr>
        <w:t>The amounts shown represent the aggregate fair value of the award calculated as of the grant date in accordance with FASB ASC Topic 718. Assumptions used in the calculation of these amounts are included in note 14 to our audited financial statements for fiscal 2024, which are included in our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Employment Agreements</w:t>
      </w:r>
    </w:p>
    <w:p>
      <w:pPr>
        <w:spacing w:after="0" w:line="195"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29292B"/>
        </w:rPr>
        <w:t>The Company has an employment agreement with Ms. Lynch, which was approved by the Compensation Committee. No other NEO had an employment agreement with the Company at fiscal year-end.</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Kirsten A. Lynch, Chief Executive Officer</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The Company entered into an employment agreement with Ms. Lynch on November 1, 2021. The employment agreement has an initial term through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October 31, 2024 and provides for automatic renewal for successive one year periods if neither party provides written notice of non-renewal to the other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party not less than 60 days prior to the then-current scheduled expiration date. Under the employment agreement, the initial base salary is set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9292B"/>
        </w:rPr>
        <w:t>$1,000,000.00, subject to annual adjustments by the Compensation Committee, though in no case may the base salary be reduced at any time below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then-current level without Ms. Lynch’s consent. Pursuant to the employment agreement, Ms. Lynch also participates in the Company’s MIP, as more fully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described in the CD&amp;A. Under the employment agreement, if the Company achieves specified performance targets for the year under the MIP, Ms. Lynch’s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“target opportunity” will be no less than 100% of her base salary.</w:t>
      </w:r>
    </w:p>
    <w:p>
      <w:pPr>
        <w:spacing w:after="0" w:line="181"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29292B"/>
        </w:rPr>
        <w:t>Ms. Lynch receives other benefits and perquisites on the same terms as afforded to senior executives generally, including customary health, disability, and insurance benefits, and participation in the Company’s Executive Perquisite Fund Program.</w:t>
      </w:r>
    </w:p>
    <w:p>
      <w:pPr>
        <w:spacing w:after="0" w:line="88"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29292B"/>
        </w:rPr>
        <w:t>The employment agreement also provides for certain payments in connection with the termination of Ms. Lynch under certain circumstances, as more fully described under the heading “Potential Payments Upon Termination or Change in Control” below.</w:t>
      </w:r>
    </w:p>
    <w:p>
      <w:pPr>
        <w:spacing w:after="0" w:line="74"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color w:val="29292B"/>
        </w:rPr>
        <w:t>Ms. Lynch’s employment agreement contains customary provisions for non-competition and non-solicitation of the Company’s managerial employees that become effective as of the date of Ms. Lynch’s termination of employment and that continue for two years thereafter. Ms. Lynch is also subject to a permanent covenant to maintain confidentiality of the Company’s confidential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61</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Outstanding Equity Awards at Fiscal 2024 Year-End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shows certain information regarding outstanding equity awards held by the NEOs as of July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60" w:type="dxa"/>
            <w:vAlign w:val="bottom"/>
            <w:shd w:val="clear" w:color="auto" w:fill="3E5C7C"/>
          </w:tcPr>
          <w:p>
            <w:pPr>
              <w:spacing w:after="0"/>
              <w:rPr>
                <w:sz w:val="19"/>
                <w:szCs w:val="19"/>
                <w:color w:val="auto"/>
              </w:rPr>
            </w:pPr>
          </w:p>
        </w:tc>
        <w:tc>
          <w:tcPr>
            <w:tcW w:w="520" w:type="dxa"/>
            <w:vAlign w:val="bottom"/>
            <w:shd w:val="clear" w:color="auto" w:fill="3E5C7C"/>
          </w:tcPr>
          <w:p>
            <w:pPr>
              <w:spacing w:after="0"/>
              <w:rPr>
                <w:sz w:val="19"/>
                <w:szCs w:val="19"/>
                <w:color w:val="auto"/>
              </w:rPr>
            </w:pPr>
          </w:p>
        </w:tc>
        <w:tc>
          <w:tcPr>
            <w:tcW w:w="1820" w:type="dxa"/>
            <w:vAlign w:val="bottom"/>
            <w:shd w:val="clear" w:color="auto" w:fill="3E5C7C"/>
          </w:tcPr>
          <w:p>
            <w:pPr>
              <w:jc w:val="right"/>
              <w:spacing w:after="0"/>
              <w:rPr>
                <w:sz w:val="20"/>
                <w:szCs w:val="20"/>
                <w:color w:val="auto"/>
              </w:rPr>
            </w:pPr>
            <w:r>
              <w:rPr>
                <w:rFonts w:ascii="Arial" w:cs="Arial" w:eastAsia="Arial" w:hAnsi="Arial"/>
                <w:sz w:val="14"/>
                <w:szCs w:val="14"/>
                <w:b w:val="1"/>
                <w:bCs w:val="1"/>
                <w:color w:val="FFFFFF"/>
              </w:rPr>
              <w:t>Option Awards</w:t>
            </w:r>
          </w:p>
        </w:tc>
        <w:tc>
          <w:tcPr>
            <w:tcW w:w="1100" w:type="dxa"/>
            <w:vAlign w:val="bottom"/>
            <w:shd w:val="clear" w:color="auto" w:fill="3E5C7C"/>
          </w:tcPr>
          <w:p>
            <w:pPr>
              <w:spacing w:after="0"/>
              <w:rPr>
                <w:sz w:val="19"/>
                <w:szCs w:val="19"/>
                <w:color w:val="auto"/>
              </w:rPr>
            </w:pPr>
          </w:p>
        </w:tc>
        <w:tc>
          <w:tcPr>
            <w:tcW w:w="1220" w:type="dxa"/>
            <w:vAlign w:val="bottom"/>
            <w:shd w:val="clear" w:color="auto" w:fill="3E5C7C"/>
          </w:tcPr>
          <w:p>
            <w:pPr>
              <w:spacing w:after="0"/>
              <w:rPr>
                <w:sz w:val="19"/>
                <w:szCs w:val="19"/>
                <w:color w:val="auto"/>
              </w:rPr>
            </w:pPr>
          </w:p>
        </w:tc>
        <w:tc>
          <w:tcPr>
            <w:tcW w:w="100" w:type="dxa"/>
            <w:vAlign w:val="bottom"/>
          </w:tcPr>
          <w:p>
            <w:pPr>
              <w:spacing w:after="0"/>
              <w:rPr>
                <w:sz w:val="19"/>
                <w:szCs w:val="19"/>
                <w:color w:val="auto"/>
              </w:rPr>
            </w:pPr>
          </w:p>
        </w:tc>
        <w:tc>
          <w:tcPr>
            <w:tcW w:w="3280" w:type="dxa"/>
            <w:vAlign w:val="bottom"/>
            <w:gridSpan w:val="2"/>
            <w:shd w:val="clear" w:color="auto" w:fill="3E5C7C"/>
          </w:tcPr>
          <w:p>
            <w:pPr>
              <w:jc w:val="right"/>
              <w:ind w:right="1148"/>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80"/>
        </w:trPr>
        <w:tc>
          <w:tcPr>
            <w:tcW w:w="80" w:type="dxa"/>
            <w:vAlign w:val="bottom"/>
            <w:shd w:val="clear" w:color="auto" w:fill="98BDE2"/>
          </w:tcPr>
          <w:p>
            <w:pPr>
              <w:spacing w:after="0"/>
              <w:rPr>
                <w:sz w:val="15"/>
                <w:szCs w:val="15"/>
                <w:color w:val="auto"/>
              </w:rPr>
            </w:pPr>
          </w:p>
        </w:tc>
        <w:tc>
          <w:tcPr>
            <w:tcW w:w="2060" w:type="dxa"/>
            <w:vAlign w:val="bottom"/>
            <w:shd w:val="clear" w:color="auto" w:fill="98BDE2"/>
          </w:tcPr>
          <w:p>
            <w:pPr>
              <w:spacing w:after="0"/>
              <w:rPr>
                <w:sz w:val="15"/>
                <w:szCs w:val="15"/>
                <w:color w:val="auto"/>
              </w:rPr>
            </w:pPr>
          </w:p>
        </w:tc>
        <w:tc>
          <w:tcPr>
            <w:tcW w:w="15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 Securities</w:t>
            </w:r>
          </w:p>
        </w:tc>
        <w:tc>
          <w:tcPr>
            <w:tcW w:w="1820" w:type="dxa"/>
            <w:vAlign w:val="bottom"/>
            <w:shd w:val="clear" w:color="auto" w:fill="98BDE2"/>
          </w:tcPr>
          <w:p>
            <w:pPr>
              <w:spacing w:after="0"/>
              <w:rPr>
                <w:sz w:val="15"/>
                <w:szCs w:val="15"/>
                <w:color w:val="auto"/>
              </w:rPr>
            </w:pPr>
          </w:p>
        </w:tc>
        <w:tc>
          <w:tcPr>
            <w:tcW w:w="110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680" w:type="dxa"/>
            <w:vAlign w:val="bottom"/>
            <w:shd w:val="clear" w:color="auto" w:fill="98BDE2"/>
          </w:tcPr>
          <w:p>
            <w:pPr>
              <w:spacing w:after="0"/>
              <w:rPr>
                <w:sz w:val="15"/>
                <w:szCs w:val="15"/>
                <w:color w:val="auto"/>
              </w:rPr>
            </w:pPr>
          </w:p>
        </w:tc>
        <w:tc>
          <w:tcPr>
            <w:tcW w:w="1600" w:type="dxa"/>
            <w:vAlign w:val="bottom"/>
            <w:shd w:val="clear" w:color="auto" w:fill="98BDE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2060" w:type="dxa"/>
            <w:vAlign w:val="bottom"/>
            <w:shd w:val="clear" w:color="auto" w:fill="98BDE2"/>
          </w:tcPr>
          <w:p>
            <w:pPr>
              <w:spacing w:after="0"/>
              <w:rPr>
                <w:sz w:val="15"/>
                <w:szCs w:val="15"/>
                <w:color w:val="auto"/>
              </w:rPr>
            </w:pPr>
          </w:p>
        </w:tc>
        <w:tc>
          <w:tcPr>
            <w:tcW w:w="15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Underlying</w:t>
            </w:r>
          </w:p>
        </w:tc>
        <w:tc>
          <w:tcPr>
            <w:tcW w:w="1820" w:type="dxa"/>
            <w:vAlign w:val="bottom"/>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Number of Securities</w:t>
            </w:r>
          </w:p>
        </w:tc>
        <w:tc>
          <w:tcPr>
            <w:tcW w:w="110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680" w:type="dxa"/>
            <w:vAlign w:val="bottom"/>
            <w:shd w:val="clear" w:color="auto" w:fill="98BDE2"/>
          </w:tcPr>
          <w:p>
            <w:pPr>
              <w:spacing w:after="0"/>
              <w:rPr>
                <w:sz w:val="15"/>
                <w:szCs w:val="15"/>
                <w:color w:val="auto"/>
              </w:rPr>
            </w:pPr>
          </w:p>
        </w:tc>
        <w:tc>
          <w:tcPr>
            <w:tcW w:w="16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Market Value of</w:t>
            </w: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2060" w:type="dxa"/>
            <w:vAlign w:val="bottom"/>
            <w:shd w:val="clear" w:color="auto" w:fill="98BDE2"/>
          </w:tcPr>
          <w:p>
            <w:pPr>
              <w:spacing w:after="0"/>
              <w:rPr>
                <w:sz w:val="15"/>
                <w:szCs w:val="15"/>
                <w:color w:val="auto"/>
              </w:rPr>
            </w:pPr>
          </w:p>
        </w:tc>
        <w:tc>
          <w:tcPr>
            <w:tcW w:w="15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Unexercised</w:t>
            </w:r>
          </w:p>
        </w:tc>
        <w:tc>
          <w:tcPr>
            <w:tcW w:w="1820" w:type="dxa"/>
            <w:vAlign w:val="bottom"/>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Underlying</w:t>
            </w:r>
          </w:p>
        </w:tc>
        <w:tc>
          <w:tcPr>
            <w:tcW w:w="110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6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Number of Shares or</w:t>
            </w:r>
          </w:p>
        </w:tc>
        <w:tc>
          <w:tcPr>
            <w:tcW w:w="16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Shares or Units of</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2060" w:type="dxa"/>
            <w:vAlign w:val="bottom"/>
            <w:shd w:val="clear" w:color="auto" w:fill="98BDE2"/>
          </w:tcPr>
          <w:p>
            <w:pPr>
              <w:spacing w:after="0"/>
              <w:rPr>
                <w:sz w:val="15"/>
                <w:szCs w:val="15"/>
                <w:color w:val="auto"/>
              </w:rPr>
            </w:pPr>
          </w:p>
        </w:tc>
        <w:tc>
          <w:tcPr>
            <w:tcW w:w="15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Options / SARs</w:t>
            </w:r>
          </w:p>
        </w:tc>
        <w:tc>
          <w:tcPr>
            <w:tcW w:w="1820" w:type="dxa"/>
            <w:vAlign w:val="bottom"/>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Unexercised</w:t>
            </w:r>
          </w:p>
        </w:tc>
        <w:tc>
          <w:tcPr>
            <w:tcW w:w="110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Option / SAR</w:t>
            </w:r>
          </w:p>
        </w:tc>
        <w:tc>
          <w:tcPr>
            <w:tcW w:w="122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6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Units of Stock That</w:t>
            </w:r>
          </w:p>
        </w:tc>
        <w:tc>
          <w:tcPr>
            <w:tcW w:w="16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Stock That Have Not</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2060" w:type="dxa"/>
            <w:vAlign w:val="bottom"/>
            <w:shd w:val="clear" w:color="auto" w:fill="98BDE2"/>
          </w:tcPr>
          <w:p>
            <w:pPr>
              <w:spacing w:after="0"/>
              <w:rPr>
                <w:sz w:val="14"/>
                <w:szCs w:val="14"/>
                <w:color w:val="auto"/>
              </w:rPr>
            </w:pPr>
          </w:p>
        </w:tc>
        <w:tc>
          <w:tcPr>
            <w:tcW w:w="15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Exercisable</w:t>
            </w:r>
          </w:p>
        </w:tc>
        <w:tc>
          <w:tcPr>
            <w:tcW w:w="1820" w:type="dxa"/>
            <w:vAlign w:val="bottom"/>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Options / SARs</w:t>
            </w:r>
          </w:p>
        </w:tc>
        <w:tc>
          <w:tcPr>
            <w:tcW w:w="110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Exercise Price</w:t>
            </w:r>
          </w:p>
        </w:tc>
        <w:tc>
          <w:tcPr>
            <w:tcW w:w="12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Option / SAR</w:t>
            </w:r>
          </w:p>
        </w:tc>
        <w:tc>
          <w:tcPr>
            <w:tcW w:w="100" w:type="dxa"/>
            <w:vAlign w:val="bottom"/>
            <w:shd w:val="clear" w:color="auto" w:fill="98BDE2"/>
          </w:tcPr>
          <w:p>
            <w:pPr>
              <w:spacing w:after="0"/>
              <w:rPr>
                <w:sz w:val="14"/>
                <w:szCs w:val="14"/>
                <w:color w:val="auto"/>
              </w:rPr>
            </w:pPr>
          </w:p>
        </w:tc>
        <w:tc>
          <w:tcPr>
            <w:tcW w:w="16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Have Not Vested</w:t>
            </w:r>
          </w:p>
        </w:tc>
        <w:tc>
          <w:tcPr>
            <w:tcW w:w="16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Vested</w:t>
            </w:r>
          </w:p>
        </w:tc>
        <w:tc>
          <w:tcPr>
            <w:tcW w:w="0" w:type="dxa"/>
            <w:vAlign w:val="bottom"/>
          </w:tcPr>
          <w:p>
            <w:pPr>
              <w:spacing w:after="0"/>
              <w:rPr>
                <w:sz w:val="1"/>
                <w:szCs w:val="1"/>
                <w:color w:val="auto"/>
              </w:rPr>
            </w:pPr>
          </w:p>
        </w:tc>
      </w:tr>
      <w:tr>
        <w:trPr>
          <w:trHeight w:val="259"/>
        </w:trPr>
        <w:tc>
          <w:tcPr>
            <w:tcW w:w="80" w:type="dxa"/>
            <w:vAlign w:val="bottom"/>
            <w:tcBorders>
              <w:bottom w:val="single" w:sz="8" w:color="98BDE2"/>
            </w:tcBorders>
            <w:shd w:val="clear" w:color="auto" w:fill="98BDE2"/>
          </w:tcPr>
          <w:p>
            <w:pPr>
              <w:spacing w:after="0"/>
              <w:rPr>
                <w:sz w:val="22"/>
                <w:szCs w:val="22"/>
                <w:color w:val="auto"/>
              </w:rPr>
            </w:pPr>
          </w:p>
        </w:tc>
        <w:tc>
          <w:tcPr>
            <w:tcW w:w="2060" w:type="dxa"/>
            <w:vAlign w:val="bottom"/>
            <w:tcBorders>
              <w:bottom w:val="single" w:sz="8" w:color="98BDE2"/>
            </w:tcBorders>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1060" w:type="dxa"/>
            <w:vAlign w:val="bottom"/>
            <w:tcBorders>
              <w:bottom w:val="single" w:sz="8" w:color="98BDE2"/>
            </w:tcBorders>
            <w:shd w:val="clear" w:color="auto" w:fill="98BDE2"/>
          </w:tcPr>
          <w:p>
            <w:pPr>
              <w:spacing w:after="0"/>
              <w:rPr>
                <w:sz w:val="22"/>
                <w:szCs w:val="22"/>
                <w:color w:val="auto"/>
              </w:rPr>
            </w:pPr>
          </w:p>
        </w:tc>
        <w:tc>
          <w:tcPr>
            <w:tcW w:w="52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(1)</w:t>
            </w:r>
          </w:p>
        </w:tc>
        <w:tc>
          <w:tcPr>
            <w:tcW w:w="1820" w:type="dxa"/>
            <w:vAlign w:val="bottom"/>
            <w:tcBorders>
              <w:bottom w:val="single" w:sz="8" w:color="98BDE2"/>
            </w:tcBorders>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Unexercisable (#)</w:t>
            </w:r>
            <w:r>
              <w:rPr>
                <w:rFonts w:ascii="Arial" w:cs="Arial" w:eastAsia="Arial" w:hAnsi="Arial"/>
                <w:sz w:val="18"/>
                <w:szCs w:val="18"/>
                <w:b w:val="1"/>
                <w:bCs w:val="1"/>
                <w:color w:val="032E5C"/>
                <w:vertAlign w:val="superscript"/>
              </w:rPr>
              <w:t>(1)(2)</w:t>
            </w:r>
          </w:p>
        </w:tc>
        <w:tc>
          <w:tcPr>
            <w:tcW w:w="110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(3)</w:t>
            </w:r>
          </w:p>
        </w:tc>
        <w:tc>
          <w:tcPr>
            <w:tcW w:w="122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032E5C"/>
              </w:rPr>
              <w:t>Expiration Date</w:t>
            </w:r>
          </w:p>
        </w:tc>
        <w:tc>
          <w:tcPr>
            <w:tcW w:w="1780" w:type="dxa"/>
            <w:vAlign w:val="bottom"/>
            <w:tcBorders>
              <w:bottom w:val="single" w:sz="8" w:color="98BDE2"/>
            </w:tcBorders>
            <w:gridSpan w:val="2"/>
            <w:shd w:val="clear" w:color="auto" w:fill="98BDE2"/>
          </w:tcPr>
          <w:p>
            <w:pPr>
              <w:jc w:val="right"/>
              <w:ind w:right="28"/>
              <w:spacing w:after="0" w:line="225" w:lineRule="exact"/>
              <w:rPr>
                <w:sz w:val="20"/>
                <w:szCs w:val="20"/>
                <w:color w:val="auto"/>
              </w:rPr>
            </w:pPr>
            <w:r>
              <w:rPr>
                <w:rFonts w:ascii="Arial" w:cs="Arial" w:eastAsia="Arial" w:hAnsi="Arial"/>
                <w:sz w:val="26"/>
                <w:szCs w:val="26"/>
                <w:b w:val="1"/>
                <w:bCs w:val="1"/>
                <w:color w:val="032E5C"/>
                <w:vertAlign w:val="subscript"/>
              </w:rPr>
              <w:t>(#)</w:t>
            </w:r>
            <w:r>
              <w:rPr>
                <w:rFonts w:ascii="Arial" w:cs="Arial" w:eastAsia="Arial" w:hAnsi="Arial"/>
                <w:sz w:val="9"/>
                <w:szCs w:val="9"/>
                <w:b w:val="1"/>
                <w:bCs w:val="1"/>
                <w:color w:val="032E5C"/>
              </w:rPr>
              <w:t>(4)(5)</w:t>
            </w:r>
          </w:p>
        </w:tc>
        <w:tc>
          <w:tcPr>
            <w:tcW w:w="160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(6)</w:t>
            </w:r>
          </w:p>
        </w:tc>
        <w:tc>
          <w:tcPr>
            <w:tcW w:w="0" w:type="dxa"/>
            <w:vAlign w:val="bottom"/>
          </w:tcPr>
          <w:p>
            <w:pPr>
              <w:spacing w:after="0"/>
              <w:rPr>
                <w:sz w:val="1"/>
                <w:szCs w:val="1"/>
                <w:color w:val="auto"/>
              </w:rPr>
            </w:pPr>
          </w:p>
        </w:tc>
      </w:tr>
      <w:tr>
        <w:trPr>
          <w:trHeight w:val="248"/>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13,169</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107.42</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9/25/2025</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60" w:type="dxa"/>
            <w:vAlign w:val="bottom"/>
            <w:tcBorders>
              <w:bottom w:val="single" w:sz="8" w:color="F3EFE9"/>
            </w:tcBorders>
            <w:shd w:val="clear" w:color="auto" w:fill="F3EFE9"/>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1820" w:type="dxa"/>
            <w:vAlign w:val="bottom"/>
            <w:tcBorders>
              <w:bottom w:val="single" w:sz="8" w:color="98BDE2"/>
            </w:tcBorders>
          </w:tcPr>
          <w:p>
            <w:pPr>
              <w:spacing w:after="0"/>
              <w:rPr>
                <w:sz w:val="6"/>
                <w:szCs w:val="6"/>
                <w:color w:val="auto"/>
              </w:rPr>
            </w:pPr>
          </w:p>
        </w:tc>
        <w:tc>
          <w:tcPr>
            <w:tcW w:w="1100" w:type="dxa"/>
            <w:vAlign w:val="bottom"/>
            <w:tcBorders>
              <w:bottom w:val="single" w:sz="8" w:color="98BDE2"/>
            </w:tcBorders>
          </w:tcPr>
          <w:p>
            <w:pPr>
              <w:spacing w:after="0"/>
              <w:rPr>
                <w:sz w:val="6"/>
                <w:szCs w:val="6"/>
                <w:color w:val="auto"/>
              </w:rPr>
            </w:pPr>
          </w:p>
        </w:tc>
        <w:tc>
          <w:tcPr>
            <w:tcW w:w="122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6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7,458</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160.56</w:t>
            </w:r>
          </w:p>
        </w:tc>
        <w:tc>
          <w:tcPr>
            <w:tcW w:w="1220" w:type="dxa"/>
            <w:vAlign w:val="bottom"/>
          </w:tcPr>
          <w:p>
            <w:pPr>
              <w:jc w:val="center"/>
              <w:spacing w:after="0"/>
              <w:rPr>
                <w:sz w:val="20"/>
                <w:szCs w:val="20"/>
                <w:color w:val="auto"/>
              </w:rPr>
            </w:pPr>
            <w:r>
              <w:rPr>
                <w:rFonts w:ascii="Arial" w:cs="Arial" w:eastAsia="Arial" w:hAnsi="Arial"/>
                <w:sz w:val="14"/>
                <w:szCs w:val="14"/>
                <w:color w:val="032E5C"/>
              </w:rPr>
              <w:t>9/23/2026</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6,851</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228.04</w:t>
            </w:r>
          </w:p>
        </w:tc>
        <w:tc>
          <w:tcPr>
            <w:tcW w:w="1220" w:type="dxa"/>
            <w:vAlign w:val="bottom"/>
          </w:tcPr>
          <w:p>
            <w:pPr>
              <w:jc w:val="center"/>
              <w:spacing w:after="0"/>
              <w:rPr>
                <w:sz w:val="20"/>
                <w:szCs w:val="20"/>
                <w:color w:val="auto"/>
              </w:rPr>
            </w:pPr>
            <w:r>
              <w:rPr>
                <w:rFonts w:ascii="Arial" w:cs="Arial" w:eastAsia="Arial" w:hAnsi="Arial"/>
                <w:sz w:val="14"/>
                <w:szCs w:val="14"/>
                <w:color w:val="032E5C"/>
              </w:rPr>
              <w:t>9/27/2027</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7,137</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286.13</w:t>
            </w:r>
          </w:p>
        </w:tc>
        <w:tc>
          <w:tcPr>
            <w:tcW w:w="1220" w:type="dxa"/>
            <w:vAlign w:val="bottom"/>
          </w:tcPr>
          <w:p>
            <w:pPr>
              <w:jc w:val="center"/>
              <w:spacing w:after="0"/>
              <w:rPr>
                <w:sz w:val="20"/>
                <w:szCs w:val="20"/>
                <w:color w:val="auto"/>
              </w:rPr>
            </w:pPr>
            <w:r>
              <w:rPr>
                <w:rFonts w:ascii="Arial" w:cs="Arial" w:eastAsia="Arial" w:hAnsi="Arial"/>
                <w:sz w:val="14"/>
                <w:szCs w:val="14"/>
                <w:color w:val="032E5C"/>
              </w:rPr>
              <w:t>9/27/2028</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12,364</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236.15</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9/25/2029</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13,765</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225.26</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9/25/2030</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Kirsten A. Lynch</w:t>
            </w:r>
          </w:p>
        </w:tc>
        <w:tc>
          <w:tcPr>
            <w:tcW w:w="1580" w:type="dxa"/>
            <w:vAlign w:val="bottom"/>
            <w:tcBorders>
              <w:bottom w:val="single" w:sz="8" w:color="98BDE2"/>
            </w:tcBorders>
            <w:gridSpan w:val="2"/>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vMerge w:val="continue"/>
            <w:shd w:val="clear" w:color="auto" w:fill="F3EFE9"/>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032E5C"/>
              </w:rPr>
              <w:t>8,161 (SARs)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247.79</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9/25/2030</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16,850</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8,425 (SARs)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387.04</w:t>
            </w:r>
          </w:p>
        </w:tc>
        <w:tc>
          <w:tcPr>
            <w:tcW w:w="1220" w:type="dxa"/>
            <w:vAlign w:val="bottom"/>
          </w:tcPr>
          <w:p>
            <w:pPr>
              <w:jc w:val="center"/>
              <w:spacing w:after="0"/>
              <w:rPr>
                <w:sz w:val="20"/>
                <w:szCs w:val="20"/>
                <w:color w:val="auto"/>
              </w:rPr>
            </w:pPr>
            <w:r>
              <w:rPr>
                <w:rFonts w:ascii="Arial" w:cs="Arial" w:eastAsia="Arial" w:hAnsi="Arial"/>
                <w:sz w:val="14"/>
                <w:szCs w:val="14"/>
                <w:color w:val="032E5C"/>
              </w:rPr>
              <w:t>9/24/2031</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15,708</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31,417 (SARs)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234.91</w:t>
            </w:r>
          </w:p>
        </w:tc>
        <w:tc>
          <w:tcPr>
            <w:tcW w:w="1220" w:type="dxa"/>
            <w:vAlign w:val="bottom"/>
          </w:tcPr>
          <w:p>
            <w:pPr>
              <w:jc w:val="center"/>
              <w:spacing w:after="0"/>
              <w:rPr>
                <w:sz w:val="20"/>
                <w:szCs w:val="20"/>
                <w:color w:val="auto"/>
              </w:rPr>
            </w:pPr>
            <w:r>
              <w:rPr>
                <w:rFonts w:ascii="Arial" w:cs="Arial" w:eastAsia="Arial" w:hAnsi="Arial"/>
                <w:sz w:val="14"/>
                <w:szCs w:val="14"/>
                <w:color w:val="032E5C"/>
              </w:rPr>
              <w:t>9/29/2032</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44,111 (SARs)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244.08</w:t>
            </w:r>
          </w:p>
        </w:tc>
        <w:tc>
          <w:tcPr>
            <w:tcW w:w="1220" w:type="dxa"/>
            <w:vAlign w:val="bottom"/>
          </w:tcPr>
          <w:p>
            <w:pPr>
              <w:jc w:val="center"/>
              <w:spacing w:after="0"/>
              <w:rPr>
                <w:sz w:val="20"/>
                <w:szCs w:val="20"/>
                <w:color w:val="auto"/>
              </w:rPr>
            </w:pPr>
            <w:r>
              <w:rPr>
                <w:rFonts w:ascii="Arial" w:cs="Arial" w:eastAsia="Arial" w:hAnsi="Arial"/>
                <w:sz w:val="14"/>
                <w:szCs w:val="14"/>
                <w:color w:val="032E5C"/>
              </w:rPr>
              <w:t>9/29/2033</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032E5C"/>
              </w:rPr>
              <w:t>2,209</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402,060</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032E5C"/>
              </w:rPr>
              <w:t>8,068</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1,468,457</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032E5C"/>
              </w:rPr>
              <w:t>12,008</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2,185,576</w:t>
            </w:r>
          </w:p>
        </w:tc>
        <w:tc>
          <w:tcPr>
            <w:tcW w:w="0" w:type="dxa"/>
            <w:vAlign w:val="bottom"/>
          </w:tcPr>
          <w:p>
            <w:pPr>
              <w:spacing w:after="0"/>
              <w:rPr>
                <w:sz w:val="1"/>
                <w:szCs w:val="1"/>
                <w:color w:val="auto"/>
              </w:rPr>
            </w:pPr>
          </w:p>
        </w:tc>
      </w:tr>
      <w:tr>
        <w:trPr>
          <w:trHeight w:val="62"/>
        </w:trPr>
        <w:tc>
          <w:tcPr>
            <w:tcW w:w="80" w:type="dxa"/>
            <w:vAlign w:val="bottom"/>
            <w:tcBorders>
              <w:bottom w:val="single" w:sz="8" w:color="98BDE2"/>
            </w:tcBorders>
            <w:shd w:val="clear" w:color="auto" w:fill="F3EFE9"/>
          </w:tcPr>
          <w:p>
            <w:pPr>
              <w:spacing w:after="0"/>
              <w:rPr>
                <w:sz w:val="5"/>
                <w:szCs w:val="5"/>
                <w:color w:val="auto"/>
              </w:rPr>
            </w:pPr>
          </w:p>
        </w:tc>
        <w:tc>
          <w:tcPr>
            <w:tcW w:w="2060" w:type="dxa"/>
            <w:vAlign w:val="bottom"/>
            <w:tcBorders>
              <w:bottom w:val="single" w:sz="8" w:color="98BDE2"/>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18,527</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107.42</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9/25/2025</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42,385</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134.28</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9/25/2025</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45,528</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200.70</w:t>
            </w:r>
          </w:p>
        </w:tc>
        <w:tc>
          <w:tcPr>
            <w:tcW w:w="1220" w:type="dxa"/>
            <w:vAlign w:val="bottom"/>
          </w:tcPr>
          <w:p>
            <w:pPr>
              <w:jc w:val="center"/>
              <w:spacing w:after="0"/>
              <w:rPr>
                <w:sz w:val="20"/>
                <w:szCs w:val="20"/>
                <w:color w:val="auto"/>
              </w:rPr>
            </w:pPr>
            <w:r>
              <w:rPr>
                <w:rFonts w:ascii="Arial" w:cs="Arial" w:eastAsia="Arial" w:hAnsi="Arial"/>
                <w:sz w:val="14"/>
                <w:szCs w:val="14"/>
                <w:color w:val="032E5C"/>
              </w:rPr>
              <w:t>9/23/2026</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14,814</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285.05</w:t>
            </w:r>
          </w:p>
        </w:tc>
        <w:tc>
          <w:tcPr>
            <w:tcW w:w="1220" w:type="dxa"/>
            <w:vAlign w:val="bottom"/>
          </w:tcPr>
          <w:p>
            <w:pPr>
              <w:jc w:val="center"/>
              <w:spacing w:after="0"/>
              <w:rPr>
                <w:sz w:val="20"/>
                <w:szCs w:val="20"/>
                <w:color w:val="auto"/>
              </w:rPr>
            </w:pPr>
            <w:r>
              <w:rPr>
                <w:rFonts w:ascii="Arial" w:cs="Arial" w:eastAsia="Arial" w:hAnsi="Arial"/>
                <w:sz w:val="14"/>
                <w:szCs w:val="14"/>
                <w:color w:val="032E5C"/>
              </w:rPr>
              <w:t>9/27/2027</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11,727</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357.66</w:t>
            </w:r>
          </w:p>
        </w:tc>
        <w:tc>
          <w:tcPr>
            <w:tcW w:w="1220" w:type="dxa"/>
            <w:vAlign w:val="bottom"/>
          </w:tcPr>
          <w:p>
            <w:pPr>
              <w:jc w:val="center"/>
              <w:spacing w:after="0"/>
              <w:rPr>
                <w:sz w:val="20"/>
                <w:szCs w:val="20"/>
                <w:color w:val="auto"/>
              </w:rPr>
            </w:pPr>
            <w:r>
              <w:rPr>
                <w:rFonts w:ascii="Arial" w:cs="Arial" w:eastAsia="Arial" w:hAnsi="Arial"/>
                <w:sz w:val="14"/>
                <w:szCs w:val="14"/>
                <w:color w:val="032E5C"/>
              </w:rPr>
              <w:t>9/27/2028</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22,827</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295.19</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9/25/2029</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1060" w:type="dxa"/>
            <w:vAlign w:val="bottom"/>
          </w:tcPr>
          <w:p>
            <w:pPr>
              <w:jc w:val="right"/>
              <w:spacing w:after="0"/>
              <w:rPr>
                <w:sz w:val="20"/>
                <w:szCs w:val="20"/>
                <w:color w:val="auto"/>
              </w:rPr>
            </w:pPr>
            <w:r>
              <w:rPr>
                <w:rFonts w:ascii="Arial" w:cs="Arial" w:eastAsia="Arial" w:hAnsi="Arial"/>
                <w:sz w:val="14"/>
                <w:szCs w:val="14"/>
                <w:color w:val="032E5C"/>
              </w:rPr>
              <w:t>21,371</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247.79</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9/25/2030</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vMerge w:val="continue"/>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80" w:type="dxa"/>
            <w:vAlign w:val="bottom"/>
            <w:shd w:val="clear" w:color="auto" w:fill="F3EFE9"/>
          </w:tcPr>
          <w:p>
            <w:pPr>
              <w:spacing w:after="0"/>
              <w:rPr>
                <w:sz w:val="7"/>
                <w:szCs w:val="7"/>
                <w:color w:val="auto"/>
              </w:rPr>
            </w:pPr>
          </w:p>
        </w:tc>
        <w:tc>
          <w:tcPr>
            <w:tcW w:w="2060" w:type="dxa"/>
            <w:vAlign w:val="bottom"/>
            <w:vMerge w:val="continue"/>
            <w:shd w:val="clear" w:color="auto" w:fill="F3EFE9"/>
          </w:tcPr>
          <w:p>
            <w:pPr>
              <w:spacing w:after="0"/>
              <w:rPr>
                <w:sz w:val="7"/>
                <w:szCs w:val="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032E5C"/>
              </w:rPr>
              <w:t>19,156</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vMerge w:val="restart"/>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032E5C"/>
              </w:rPr>
              <w:t>247.79</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032E5C"/>
              </w:rPr>
              <w:t>9/25/2030</w:t>
            </w:r>
          </w:p>
        </w:tc>
        <w:tc>
          <w:tcPr>
            <w:tcW w:w="100" w:type="dxa"/>
            <w:vAlign w:val="bottom"/>
          </w:tcPr>
          <w:p>
            <w:pPr>
              <w:spacing w:after="0"/>
              <w:rPr>
                <w:sz w:val="7"/>
                <w:szCs w:val="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vMerge w:val="restart"/>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156"/>
        </w:trPr>
        <w:tc>
          <w:tcPr>
            <w:tcW w:w="80" w:type="dxa"/>
            <w:vAlign w:val="bottom"/>
            <w:shd w:val="clear" w:color="auto" w:fill="F3EFE9"/>
          </w:tcPr>
          <w:p>
            <w:pPr>
              <w:spacing w:after="0"/>
              <w:rPr>
                <w:sz w:val="13"/>
                <w:szCs w:val="13"/>
                <w:color w:val="auto"/>
              </w:rPr>
            </w:pPr>
          </w:p>
        </w:tc>
        <w:tc>
          <w:tcPr>
            <w:tcW w:w="2060" w:type="dxa"/>
            <w:vAlign w:val="bottom"/>
            <w:shd w:val="clear" w:color="auto" w:fill="F3EFE9"/>
          </w:tcPr>
          <w:p>
            <w:pPr>
              <w:spacing w:after="0"/>
              <w:rPr>
                <w:sz w:val="13"/>
                <w:szCs w:val="13"/>
                <w:color w:val="auto"/>
              </w:rPr>
            </w:pPr>
          </w:p>
        </w:tc>
        <w:tc>
          <w:tcPr>
            <w:tcW w:w="10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3,371</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1,686 (SARs)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351.85</w:t>
            </w:r>
          </w:p>
        </w:tc>
        <w:tc>
          <w:tcPr>
            <w:tcW w:w="1220" w:type="dxa"/>
            <w:vAlign w:val="bottom"/>
          </w:tcPr>
          <w:p>
            <w:pPr>
              <w:jc w:val="center"/>
              <w:spacing w:after="0"/>
              <w:rPr>
                <w:sz w:val="20"/>
                <w:szCs w:val="20"/>
                <w:color w:val="auto"/>
              </w:rPr>
            </w:pPr>
            <w:r>
              <w:rPr>
                <w:rFonts w:ascii="Arial" w:cs="Arial" w:eastAsia="Arial" w:hAnsi="Arial"/>
                <w:sz w:val="14"/>
                <w:szCs w:val="14"/>
                <w:color w:val="032E5C"/>
              </w:rPr>
              <w:t>9/24/2031</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3,121</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6,244 (SARs)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213.55</w:t>
            </w:r>
          </w:p>
        </w:tc>
        <w:tc>
          <w:tcPr>
            <w:tcW w:w="1220" w:type="dxa"/>
            <w:vAlign w:val="bottom"/>
          </w:tcPr>
          <w:p>
            <w:pPr>
              <w:jc w:val="center"/>
              <w:spacing w:after="0"/>
              <w:rPr>
                <w:sz w:val="20"/>
                <w:szCs w:val="20"/>
                <w:color w:val="auto"/>
              </w:rPr>
            </w:pPr>
            <w:r>
              <w:rPr>
                <w:rFonts w:ascii="Arial" w:cs="Arial" w:eastAsia="Arial" w:hAnsi="Arial"/>
                <w:sz w:val="14"/>
                <w:szCs w:val="14"/>
                <w:color w:val="032E5C"/>
              </w:rPr>
              <w:t>9/29/2032</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8,849 (SARs)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221.89</w:t>
            </w:r>
          </w:p>
        </w:tc>
        <w:tc>
          <w:tcPr>
            <w:tcW w:w="1220" w:type="dxa"/>
            <w:vAlign w:val="bottom"/>
          </w:tcPr>
          <w:p>
            <w:pPr>
              <w:jc w:val="center"/>
              <w:spacing w:after="0"/>
              <w:rPr>
                <w:sz w:val="20"/>
                <w:szCs w:val="20"/>
                <w:color w:val="auto"/>
              </w:rPr>
            </w:pPr>
            <w:r>
              <w:rPr>
                <w:rFonts w:ascii="Arial" w:cs="Arial" w:eastAsia="Arial" w:hAnsi="Arial"/>
                <w:sz w:val="14"/>
                <w:szCs w:val="14"/>
                <w:color w:val="032E5C"/>
              </w:rPr>
              <w:t>9/29/2033</w:t>
            </w:r>
          </w:p>
        </w:tc>
        <w:tc>
          <w:tcPr>
            <w:tcW w:w="100" w:type="dxa"/>
            <w:vAlign w:val="bottom"/>
          </w:tcPr>
          <w:p>
            <w:pPr>
              <w:spacing w:after="0"/>
              <w:rPr>
                <w:sz w:val="21"/>
                <w:szCs w:val="21"/>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032E5C"/>
              </w:rPr>
              <w:t>491</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89,367</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032E5C"/>
              </w:rPr>
              <w:t>1,793</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326,344</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820" w:type="dxa"/>
            <w:vAlign w:val="bottom"/>
          </w:tcPr>
          <w:p>
            <w:pPr>
              <w:jc w:val="right"/>
              <w:ind w:right="248"/>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032E5C"/>
              </w:rPr>
              <w:t>2,668</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485,603</w:t>
            </w:r>
          </w:p>
        </w:tc>
        <w:tc>
          <w:tcPr>
            <w:tcW w:w="0" w:type="dxa"/>
            <w:vAlign w:val="bottom"/>
          </w:tcPr>
          <w:p>
            <w:pPr>
              <w:spacing w:after="0"/>
              <w:rPr>
                <w:sz w:val="1"/>
                <w:szCs w:val="1"/>
                <w:color w:val="auto"/>
              </w:rPr>
            </w:pPr>
          </w:p>
        </w:tc>
      </w:tr>
      <w:tr>
        <w:trPr>
          <w:trHeight w:val="62"/>
        </w:trPr>
        <w:tc>
          <w:tcPr>
            <w:tcW w:w="2140" w:type="dxa"/>
            <w:vAlign w:val="bottom"/>
            <w:tcBorders>
              <w:bottom w:val="single" w:sz="8" w:color="98BDE2"/>
            </w:tcBorders>
            <w:gridSpan w:val="2"/>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82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2140" w:type="dxa"/>
            <w:vAlign w:val="bottom"/>
            <w:gridSpan w:val="2"/>
          </w:tcPr>
          <w:p>
            <w:pPr>
              <w:jc w:val="right"/>
              <w:ind w:right="1868"/>
              <w:spacing w:after="0"/>
              <w:rPr>
                <w:sz w:val="20"/>
                <w:szCs w:val="20"/>
                <w:color w:val="auto"/>
              </w:rPr>
            </w:pPr>
            <w:r>
              <w:rPr>
                <w:rFonts w:ascii="Arial" w:cs="Arial" w:eastAsia="Arial" w:hAnsi="Arial"/>
                <w:sz w:val="16"/>
                <w:szCs w:val="16"/>
                <w:b w:val="1"/>
                <w:bCs w:val="1"/>
                <w:color w:val="032E5C"/>
              </w:rPr>
              <w:t>62</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gridSpan w:val="2"/>
            <w:vMerge w:val="restart"/>
          </w:tcPr>
          <w:p>
            <w:pPr>
              <w:jc w:val="right"/>
              <w:ind w:right="148"/>
              <w:spacing w:after="0"/>
              <w:rPr>
                <w:sz w:val="20"/>
                <w:szCs w:val="20"/>
                <w:color w:val="auto"/>
              </w:rPr>
            </w:pPr>
            <w:r>
              <w:rPr>
                <w:rFonts w:ascii="Arial" w:cs="Arial" w:eastAsia="Arial" w:hAnsi="Arial"/>
                <w:sz w:val="16"/>
                <w:szCs w:val="16"/>
                <w:color w:val="98BDE2"/>
              </w:rPr>
              <w:t>2024 Proxy Statement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2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-445135</wp:posOffset>
            </wp:positionV>
            <wp:extent cx="925830" cy="85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67" w:name="page68"/>
    <w:bookmarkEnd w:id="67"/>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60" w:type="dxa"/>
            <w:vAlign w:val="bottom"/>
            <w:shd w:val="clear" w:color="auto" w:fill="3E5C7C"/>
          </w:tcPr>
          <w:p>
            <w:pPr>
              <w:spacing w:after="0"/>
              <w:rPr>
                <w:sz w:val="19"/>
                <w:szCs w:val="19"/>
                <w:color w:val="auto"/>
              </w:rPr>
            </w:pPr>
          </w:p>
        </w:tc>
        <w:tc>
          <w:tcPr>
            <w:tcW w:w="520" w:type="dxa"/>
            <w:vAlign w:val="bottom"/>
            <w:shd w:val="clear" w:color="auto" w:fill="3E5C7C"/>
          </w:tcPr>
          <w:p>
            <w:pPr>
              <w:spacing w:after="0"/>
              <w:rPr>
                <w:sz w:val="19"/>
                <w:szCs w:val="19"/>
                <w:color w:val="auto"/>
              </w:rPr>
            </w:pPr>
          </w:p>
        </w:tc>
        <w:tc>
          <w:tcPr>
            <w:tcW w:w="1820" w:type="dxa"/>
            <w:vAlign w:val="bottom"/>
            <w:gridSpan w:val="2"/>
            <w:shd w:val="clear" w:color="auto" w:fill="3E5C7C"/>
          </w:tcPr>
          <w:p>
            <w:pPr>
              <w:jc w:val="right"/>
              <w:spacing w:after="0"/>
              <w:rPr>
                <w:sz w:val="20"/>
                <w:szCs w:val="20"/>
                <w:color w:val="auto"/>
              </w:rPr>
            </w:pPr>
            <w:r>
              <w:rPr>
                <w:rFonts w:ascii="Arial" w:cs="Arial" w:eastAsia="Arial" w:hAnsi="Arial"/>
                <w:sz w:val="14"/>
                <w:szCs w:val="14"/>
                <w:b w:val="1"/>
                <w:bCs w:val="1"/>
                <w:color w:val="FFFFFF"/>
              </w:rPr>
              <w:t>Option Awards</w:t>
            </w:r>
          </w:p>
        </w:tc>
        <w:tc>
          <w:tcPr>
            <w:tcW w:w="1100" w:type="dxa"/>
            <w:vAlign w:val="bottom"/>
            <w:shd w:val="clear" w:color="auto" w:fill="3E5C7C"/>
          </w:tcPr>
          <w:p>
            <w:pPr>
              <w:spacing w:after="0"/>
              <w:rPr>
                <w:sz w:val="19"/>
                <w:szCs w:val="19"/>
                <w:color w:val="auto"/>
              </w:rPr>
            </w:pPr>
          </w:p>
        </w:tc>
        <w:tc>
          <w:tcPr>
            <w:tcW w:w="1220" w:type="dxa"/>
            <w:vAlign w:val="bottom"/>
            <w:shd w:val="clear" w:color="auto" w:fill="3E5C7C"/>
          </w:tcPr>
          <w:p>
            <w:pPr>
              <w:spacing w:after="0"/>
              <w:rPr>
                <w:sz w:val="19"/>
                <w:szCs w:val="19"/>
                <w:color w:val="auto"/>
              </w:rPr>
            </w:pPr>
          </w:p>
        </w:tc>
        <w:tc>
          <w:tcPr>
            <w:tcW w:w="100" w:type="dxa"/>
            <w:vAlign w:val="bottom"/>
          </w:tcPr>
          <w:p>
            <w:pPr>
              <w:spacing w:after="0"/>
              <w:rPr>
                <w:sz w:val="19"/>
                <w:szCs w:val="19"/>
                <w:color w:val="auto"/>
              </w:rPr>
            </w:pPr>
          </w:p>
        </w:tc>
        <w:tc>
          <w:tcPr>
            <w:tcW w:w="3280" w:type="dxa"/>
            <w:vAlign w:val="bottom"/>
            <w:gridSpan w:val="2"/>
            <w:shd w:val="clear" w:color="auto" w:fill="3E5C7C"/>
          </w:tcPr>
          <w:p>
            <w:pPr>
              <w:jc w:val="right"/>
              <w:ind w:right="1148"/>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93"/>
        </w:trPr>
        <w:tc>
          <w:tcPr>
            <w:tcW w:w="80" w:type="dxa"/>
            <w:vAlign w:val="bottom"/>
            <w:shd w:val="clear" w:color="auto" w:fill="98BDE2"/>
          </w:tcPr>
          <w:p>
            <w:pPr>
              <w:spacing w:after="0"/>
              <w:rPr>
                <w:sz w:val="16"/>
                <w:szCs w:val="16"/>
                <w:color w:val="auto"/>
              </w:rPr>
            </w:pPr>
          </w:p>
        </w:tc>
        <w:tc>
          <w:tcPr>
            <w:tcW w:w="2060" w:type="dxa"/>
            <w:vAlign w:val="bottom"/>
            <w:shd w:val="clear" w:color="auto" w:fill="98BDE2"/>
          </w:tcPr>
          <w:p>
            <w:pPr>
              <w:spacing w:after="0"/>
              <w:rPr>
                <w:sz w:val="16"/>
                <w:szCs w:val="16"/>
                <w:color w:val="auto"/>
              </w:rPr>
            </w:pPr>
          </w:p>
        </w:tc>
        <w:tc>
          <w:tcPr>
            <w:tcW w:w="15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 Securities</w:t>
            </w:r>
          </w:p>
        </w:tc>
        <w:tc>
          <w:tcPr>
            <w:tcW w:w="1020" w:type="dxa"/>
            <w:vAlign w:val="bottom"/>
            <w:shd w:val="clear" w:color="auto" w:fill="98BDE2"/>
          </w:tcPr>
          <w:p>
            <w:pPr>
              <w:spacing w:after="0"/>
              <w:rPr>
                <w:sz w:val="16"/>
                <w:szCs w:val="16"/>
                <w:color w:val="auto"/>
              </w:rPr>
            </w:pPr>
          </w:p>
        </w:tc>
        <w:tc>
          <w:tcPr>
            <w:tcW w:w="800" w:type="dxa"/>
            <w:vAlign w:val="bottom"/>
            <w:shd w:val="clear" w:color="auto" w:fill="98BDE2"/>
          </w:tcPr>
          <w:p>
            <w:pPr>
              <w:spacing w:after="0"/>
              <w:rPr>
                <w:sz w:val="16"/>
                <w:szCs w:val="16"/>
                <w:color w:val="auto"/>
              </w:rPr>
            </w:pPr>
          </w:p>
        </w:tc>
        <w:tc>
          <w:tcPr>
            <w:tcW w:w="1100" w:type="dxa"/>
            <w:vAlign w:val="bottom"/>
            <w:shd w:val="clear" w:color="auto" w:fill="98BDE2"/>
          </w:tcPr>
          <w:p>
            <w:pPr>
              <w:spacing w:after="0"/>
              <w:rPr>
                <w:sz w:val="16"/>
                <w:szCs w:val="16"/>
                <w:color w:val="auto"/>
              </w:rPr>
            </w:pPr>
          </w:p>
        </w:tc>
        <w:tc>
          <w:tcPr>
            <w:tcW w:w="1220" w:type="dxa"/>
            <w:vAlign w:val="bottom"/>
            <w:shd w:val="clear" w:color="auto" w:fill="98BDE2"/>
          </w:tcPr>
          <w:p>
            <w:pPr>
              <w:spacing w:after="0"/>
              <w:rPr>
                <w:sz w:val="16"/>
                <w:szCs w:val="16"/>
                <w:color w:val="auto"/>
              </w:rPr>
            </w:pPr>
          </w:p>
        </w:tc>
        <w:tc>
          <w:tcPr>
            <w:tcW w:w="100" w:type="dxa"/>
            <w:vAlign w:val="bottom"/>
            <w:shd w:val="clear" w:color="auto" w:fill="98BDE2"/>
          </w:tcPr>
          <w:p>
            <w:pPr>
              <w:spacing w:after="0"/>
              <w:rPr>
                <w:sz w:val="16"/>
                <w:szCs w:val="16"/>
                <w:color w:val="auto"/>
              </w:rPr>
            </w:pPr>
          </w:p>
        </w:tc>
        <w:tc>
          <w:tcPr>
            <w:tcW w:w="1680" w:type="dxa"/>
            <w:vAlign w:val="bottom"/>
            <w:shd w:val="clear" w:color="auto" w:fill="98BDE2"/>
          </w:tcPr>
          <w:p>
            <w:pPr>
              <w:spacing w:after="0"/>
              <w:rPr>
                <w:sz w:val="16"/>
                <w:szCs w:val="16"/>
                <w:color w:val="auto"/>
              </w:rPr>
            </w:pPr>
          </w:p>
        </w:tc>
        <w:tc>
          <w:tcPr>
            <w:tcW w:w="160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2060" w:type="dxa"/>
            <w:vAlign w:val="bottom"/>
            <w:shd w:val="clear" w:color="auto" w:fill="98BDE2"/>
          </w:tcPr>
          <w:p>
            <w:pPr>
              <w:spacing w:after="0"/>
              <w:rPr>
                <w:sz w:val="15"/>
                <w:szCs w:val="15"/>
                <w:color w:val="auto"/>
              </w:rPr>
            </w:pPr>
          </w:p>
        </w:tc>
        <w:tc>
          <w:tcPr>
            <w:tcW w:w="15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Underlying</w:t>
            </w:r>
          </w:p>
        </w:tc>
        <w:tc>
          <w:tcPr>
            <w:tcW w:w="1820" w:type="dxa"/>
            <w:vAlign w:val="bottom"/>
            <w:gridSpan w:val="2"/>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Number of Securities</w:t>
            </w:r>
          </w:p>
        </w:tc>
        <w:tc>
          <w:tcPr>
            <w:tcW w:w="110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680" w:type="dxa"/>
            <w:vAlign w:val="bottom"/>
            <w:shd w:val="clear" w:color="auto" w:fill="98BDE2"/>
          </w:tcPr>
          <w:p>
            <w:pPr>
              <w:spacing w:after="0"/>
              <w:rPr>
                <w:sz w:val="15"/>
                <w:szCs w:val="15"/>
                <w:color w:val="auto"/>
              </w:rPr>
            </w:pPr>
          </w:p>
        </w:tc>
        <w:tc>
          <w:tcPr>
            <w:tcW w:w="16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Market Value of</w:t>
            </w: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2060" w:type="dxa"/>
            <w:vAlign w:val="bottom"/>
            <w:shd w:val="clear" w:color="auto" w:fill="98BDE2"/>
          </w:tcPr>
          <w:p>
            <w:pPr>
              <w:spacing w:after="0"/>
              <w:rPr>
                <w:sz w:val="15"/>
                <w:szCs w:val="15"/>
                <w:color w:val="auto"/>
              </w:rPr>
            </w:pPr>
          </w:p>
        </w:tc>
        <w:tc>
          <w:tcPr>
            <w:tcW w:w="15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Unexercised</w:t>
            </w:r>
          </w:p>
        </w:tc>
        <w:tc>
          <w:tcPr>
            <w:tcW w:w="1820" w:type="dxa"/>
            <w:vAlign w:val="bottom"/>
            <w:gridSpan w:val="2"/>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Underlying</w:t>
            </w:r>
          </w:p>
        </w:tc>
        <w:tc>
          <w:tcPr>
            <w:tcW w:w="110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6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Number of Shares or</w:t>
            </w:r>
          </w:p>
        </w:tc>
        <w:tc>
          <w:tcPr>
            <w:tcW w:w="16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Shares or Units of</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2060" w:type="dxa"/>
            <w:vAlign w:val="bottom"/>
            <w:shd w:val="clear" w:color="auto" w:fill="98BDE2"/>
          </w:tcPr>
          <w:p>
            <w:pPr>
              <w:spacing w:after="0"/>
              <w:rPr>
                <w:sz w:val="15"/>
                <w:szCs w:val="15"/>
                <w:color w:val="auto"/>
              </w:rPr>
            </w:pPr>
          </w:p>
        </w:tc>
        <w:tc>
          <w:tcPr>
            <w:tcW w:w="15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Options / SARs</w:t>
            </w:r>
          </w:p>
        </w:tc>
        <w:tc>
          <w:tcPr>
            <w:tcW w:w="1820" w:type="dxa"/>
            <w:vAlign w:val="bottom"/>
            <w:gridSpan w:val="2"/>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Unexercised</w:t>
            </w:r>
          </w:p>
        </w:tc>
        <w:tc>
          <w:tcPr>
            <w:tcW w:w="110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Option / SAR</w:t>
            </w:r>
          </w:p>
        </w:tc>
        <w:tc>
          <w:tcPr>
            <w:tcW w:w="1220" w:type="dxa"/>
            <w:vAlign w:val="bottom"/>
            <w:vMerge w:val="restart"/>
            <w:shd w:val="clear" w:color="auto" w:fill="98BDE2"/>
          </w:tcPr>
          <w:p>
            <w:pPr>
              <w:jc w:val="center"/>
              <w:spacing w:after="0"/>
              <w:rPr>
                <w:sz w:val="20"/>
                <w:szCs w:val="20"/>
                <w:color w:val="auto"/>
              </w:rPr>
            </w:pPr>
            <w:r>
              <w:rPr>
                <w:rFonts w:ascii="Arial" w:cs="Arial" w:eastAsia="Arial" w:hAnsi="Arial"/>
                <w:sz w:val="14"/>
                <w:szCs w:val="14"/>
                <w:b w:val="1"/>
                <w:bCs w:val="1"/>
                <w:color w:val="032E5C"/>
              </w:rPr>
              <w:t>Option / SAR</w:t>
            </w:r>
          </w:p>
        </w:tc>
        <w:tc>
          <w:tcPr>
            <w:tcW w:w="100" w:type="dxa"/>
            <w:vAlign w:val="bottom"/>
            <w:shd w:val="clear" w:color="auto" w:fill="98BDE2"/>
          </w:tcPr>
          <w:p>
            <w:pPr>
              <w:spacing w:after="0"/>
              <w:rPr>
                <w:sz w:val="15"/>
                <w:szCs w:val="15"/>
                <w:color w:val="auto"/>
              </w:rPr>
            </w:pPr>
          </w:p>
        </w:tc>
        <w:tc>
          <w:tcPr>
            <w:tcW w:w="16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Units of Stock That</w:t>
            </w:r>
          </w:p>
        </w:tc>
        <w:tc>
          <w:tcPr>
            <w:tcW w:w="16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Stock That Have Not</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2060" w:type="dxa"/>
            <w:vAlign w:val="bottom"/>
            <w:shd w:val="clear" w:color="auto" w:fill="98BDE2"/>
          </w:tcPr>
          <w:p>
            <w:pPr>
              <w:spacing w:after="0"/>
              <w:rPr>
                <w:sz w:val="14"/>
                <w:szCs w:val="14"/>
                <w:color w:val="auto"/>
              </w:rPr>
            </w:pPr>
          </w:p>
        </w:tc>
        <w:tc>
          <w:tcPr>
            <w:tcW w:w="15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Exercisable</w:t>
            </w:r>
          </w:p>
        </w:tc>
        <w:tc>
          <w:tcPr>
            <w:tcW w:w="1820" w:type="dxa"/>
            <w:vAlign w:val="bottom"/>
            <w:gridSpan w:val="2"/>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Options / SARs</w:t>
            </w:r>
          </w:p>
        </w:tc>
        <w:tc>
          <w:tcPr>
            <w:tcW w:w="110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Exercise Price</w:t>
            </w:r>
          </w:p>
        </w:tc>
        <w:tc>
          <w:tcPr>
            <w:tcW w:w="1220" w:type="dxa"/>
            <w:vAlign w:val="bottom"/>
            <w:vMerge w:val="continue"/>
            <w:shd w:val="clear" w:color="auto" w:fill="98BDE2"/>
          </w:tcPr>
          <w:p>
            <w:pPr>
              <w:spacing w:after="0"/>
              <w:rPr>
                <w:sz w:val="14"/>
                <w:szCs w:val="14"/>
                <w:color w:val="auto"/>
              </w:rPr>
            </w:pPr>
          </w:p>
        </w:tc>
        <w:tc>
          <w:tcPr>
            <w:tcW w:w="100" w:type="dxa"/>
            <w:vAlign w:val="bottom"/>
            <w:shd w:val="clear" w:color="auto" w:fill="98BDE2"/>
          </w:tcPr>
          <w:p>
            <w:pPr>
              <w:spacing w:after="0"/>
              <w:rPr>
                <w:sz w:val="14"/>
                <w:szCs w:val="14"/>
                <w:color w:val="auto"/>
              </w:rPr>
            </w:pPr>
          </w:p>
        </w:tc>
        <w:tc>
          <w:tcPr>
            <w:tcW w:w="16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Have Not Vested</w:t>
            </w:r>
          </w:p>
        </w:tc>
        <w:tc>
          <w:tcPr>
            <w:tcW w:w="16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Vested</w:t>
            </w:r>
          </w:p>
        </w:tc>
        <w:tc>
          <w:tcPr>
            <w:tcW w:w="0" w:type="dxa"/>
            <w:vAlign w:val="bottom"/>
          </w:tcPr>
          <w:p>
            <w:pPr>
              <w:spacing w:after="0"/>
              <w:rPr>
                <w:sz w:val="1"/>
                <w:szCs w:val="1"/>
                <w:color w:val="auto"/>
              </w:rPr>
            </w:pPr>
          </w:p>
        </w:tc>
      </w:tr>
      <w:tr>
        <w:trPr>
          <w:trHeight w:val="212"/>
        </w:trPr>
        <w:tc>
          <w:tcPr>
            <w:tcW w:w="80" w:type="dxa"/>
            <w:vAlign w:val="bottom"/>
            <w:shd w:val="clear" w:color="auto" w:fill="98BDE2"/>
          </w:tcPr>
          <w:p>
            <w:pPr>
              <w:spacing w:after="0"/>
              <w:rPr>
                <w:sz w:val="18"/>
                <w:szCs w:val="18"/>
                <w:color w:val="auto"/>
              </w:rPr>
            </w:pPr>
          </w:p>
        </w:tc>
        <w:tc>
          <w:tcPr>
            <w:tcW w:w="206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1060" w:type="dxa"/>
            <w:vAlign w:val="bottom"/>
            <w:shd w:val="clear" w:color="auto" w:fill="98BDE2"/>
          </w:tcPr>
          <w:p>
            <w:pPr>
              <w:spacing w:after="0"/>
              <w:rPr>
                <w:sz w:val="18"/>
                <w:szCs w:val="18"/>
                <w:color w:val="auto"/>
              </w:rPr>
            </w:pPr>
          </w:p>
        </w:tc>
        <w:tc>
          <w:tcPr>
            <w:tcW w:w="5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(1)</w:t>
            </w:r>
          </w:p>
        </w:tc>
        <w:tc>
          <w:tcPr>
            <w:tcW w:w="1820" w:type="dxa"/>
            <w:vAlign w:val="bottom"/>
            <w:gridSpan w:val="2"/>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Unexercisable (#)</w:t>
            </w:r>
            <w:r>
              <w:rPr>
                <w:rFonts w:ascii="Arial" w:cs="Arial" w:eastAsia="Arial" w:hAnsi="Arial"/>
                <w:sz w:val="18"/>
                <w:szCs w:val="18"/>
                <w:b w:val="1"/>
                <w:bCs w:val="1"/>
                <w:color w:val="032E5C"/>
                <w:vertAlign w:val="superscript"/>
              </w:rPr>
              <w:t>(1)(2)</w:t>
            </w:r>
          </w:p>
        </w:tc>
        <w:tc>
          <w:tcPr>
            <w:tcW w:w="110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(3)</w:t>
            </w:r>
          </w:p>
        </w:tc>
        <w:tc>
          <w:tcPr>
            <w:tcW w:w="12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Expiration Date</w:t>
            </w:r>
          </w:p>
        </w:tc>
        <w:tc>
          <w:tcPr>
            <w:tcW w:w="1780" w:type="dxa"/>
            <w:vAlign w:val="bottom"/>
            <w:gridSpan w:val="2"/>
            <w:shd w:val="clear" w:color="auto" w:fill="98BDE2"/>
          </w:tcPr>
          <w:p>
            <w:pPr>
              <w:jc w:val="right"/>
              <w:ind w:right="28"/>
              <w:spacing w:after="0" w:line="212"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(4)(5)</w:t>
            </w:r>
          </w:p>
        </w:tc>
        <w:tc>
          <w:tcPr>
            <w:tcW w:w="16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(6)</w:t>
            </w:r>
          </w:p>
        </w:tc>
        <w:tc>
          <w:tcPr>
            <w:tcW w:w="0" w:type="dxa"/>
            <w:vAlign w:val="bottom"/>
          </w:tcPr>
          <w:p>
            <w:pPr>
              <w:spacing w:after="0"/>
              <w:rPr>
                <w:sz w:val="1"/>
                <w:szCs w:val="1"/>
                <w:color w:val="auto"/>
              </w:rPr>
            </w:pPr>
          </w:p>
        </w:tc>
      </w:tr>
      <w:tr>
        <w:trPr>
          <w:trHeight w:val="68"/>
        </w:trPr>
        <w:tc>
          <w:tcPr>
            <w:tcW w:w="80" w:type="dxa"/>
            <w:vAlign w:val="bottom"/>
            <w:shd w:val="clear" w:color="auto" w:fill="98BDE2"/>
          </w:tcPr>
          <w:p>
            <w:pPr>
              <w:spacing w:after="0"/>
              <w:rPr>
                <w:sz w:val="5"/>
                <w:szCs w:val="5"/>
                <w:color w:val="auto"/>
              </w:rPr>
            </w:pPr>
          </w:p>
        </w:tc>
        <w:tc>
          <w:tcPr>
            <w:tcW w:w="2060" w:type="dxa"/>
            <w:vAlign w:val="bottom"/>
            <w:shd w:val="clear" w:color="auto" w:fill="98BDE2"/>
          </w:tcPr>
          <w:p>
            <w:pPr>
              <w:spacing w:after="0"/>
              <w:rPr>
                <w:sz w:val="5"/>
                <w:szCs w:val="5"/>
                <w:color w:val="auto"/>
              </w:rPr>
            </w:pPr>
          </w:p>
        </w:tc>
        <w:tc>
          <w:tcPr>
            <w:tcW w:w="1060" w:type="dxa"/>
            <w:vAlign w:val="bottom"/>
            <w:shd w:val="clear" w:color="auto" w:fill="98BDE2"/>
          </w:tcPr>
          <w:p>
            <w:pPr>
              <w:spacing w:after="0"/>
              <w:rPr>
                <w:sz w:val="5"/>
                <w:szCs w:val="5"/>
                <w:color w:val="auto"/>
              </w:rPr>
            </w:pPr>
          </w:p>
        </w:tc>
        <w:tc>
          <w:tcPr>
            <w:tcW w:w="520" w:type="dxa"/>
            <w:vAlign w:val="bottom"/>
            <w:shd w:val="clear" w:color="auto" w:fill="98BDE2"/>
          </w:tcPr>
          <w:p>
            <w:pPr>
              <w:spacing w:after="0"/>
              <w:rPr>
                <w:sz w:val="5"/>
                <w:szCs w:val="5"/>
                <w:color w:val="auto"/>
              </w:rPr>
            </w:pPr>
          </w:p>
        </w:tc>
        <w:tc>
          <w:tcPr>
            <w:tcW w:w="1020" w:type="dxa"/>
            <w:vAlign w:val="bottom"/>
            <w:shd w:val="clear" w:color="auto" w:fill="98BDE2"/>
          </w:tcPr>
          <w:p>
            <w:pPr>
              <w:spacing w:after="0"/>
              <w:rPr>
                <w:sz w:val="5"/>
                <w:szCs w:val="5"/>
                <w:color w:val="auto"/>
              </w:rPr>
            </w:pPr>
          </w:p>
        </w:tc>
        <w:tc>
          <w:tcPr>
            <w:tcW w:w="800" w:type="dxa"/>
            <w:vAlign w:val="bottom"/>
            <w:shd w:val="clear" w:color="auto" w:fill="98BDE2"/>
          </w:tcPr>
          <w:p>
            <w:pPr>
              <w:spacing w:after="0"/>
              <w:rPr>
                <w:sz w:val="5"/>
                <w:szCs w:val="5"/>
                <w:color w:val="auto"/>
              </w:rPr>
            </w:pPr>
          </w:p>
        </w:tc>
        <w:tc>
          <w:tcPr>
            <w:tcW w:w="1100" w:type="dxa"/>
            <w:vAlign w:val="bottom"/>
            <w:shd w:val="clear" w:color="auto" w:fill="98BDE2"/>
          </w:tcPr>
          <w:p>
            <w:pPr>
              <w:spacing w:after="0"/>
              <w:rPr>
                <w:sz w:val="5"/>
                <w:szCs w:val="5"/>
                <w:color w:val="auto"/>
              </w:rPr>
            </w:pPr>
          </w:p>
        </w:tc>
        <w:tc>
          <w:tcPr>
            <w:tcW w:w="1220" w:type="dxa"/>
            <w:vAlign w:val="bottom"/>
            <w:shd w:val="clear" w:color="auto" w:fill="98BDE2"/>
          </w:tcPr>
          <w:p>
            <w:pPr>
              <w:spacing w:after="0"/>
              <w:rPr>
                <w:sz w:val="5"/>
                <w:szCs w:val="5"/>
                <w:color w:val="auto"/>
              </w:rPr>
            </w:pPr>
          </w:p>
        </w:tc>
        <w:tc>
          <w:tcPr>
            <w:tcW w:w="100" w:type="dxa"/>
            <w:vAlign w:val="bottom"/>
            <w:shd w:val="clear" w:color="auto" w:fill="98BDE2"/>
          </w:tcPr>
          <w:p>
            <w:pPr>
              <w:spacing w:after="0"/>
              <w:rPr>
                <w:sz w:val="5"/>
                <w:szCs w:val="5"/>
                <w:color w:val="auto"/>
              </w:rPr>
            </w:pPr>
          </w:p>
        </w:tc>
        <w:tc>
          <w:tcPr>
            <w:tcW w:w="1680" w:type="dxa"/>
            <w:vAlign w:val="bottom"/>
            <w:shd w:val="clear" w:color="auto" w:fill="98BDE2"/>
          </w:tcPr>
          <w:p>
            <w:pPr>
              <w:spacing w:after="0"/>
              <w:rPr>
                <w:sz w:val="5"/>
                <w:szCs w:val="5"/>
                <w:color w:val="auto"/>
              </w:rPr>
            </w:pPr>
          </w:p>
        </w:tc>
        <w:tc>
          <w:tcPr>
            <w:tcW w:w="1600" w:type="dxa"/>
            <w:vAlign w:val="bottom"/>
            <w:shd w:val="clear" w:color="auto" w:fill="98BDE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1,666</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jc w:val="right"/>
              <w:spacing w:after="0"/>
              <w:rPr>
                <w:sz w:val="20"/>
                <w:szCs w:val="20"/>
                <w:color w:val="auto"/>
              </w:rPr>
            </w:pPr>
            <w:r>
              <w:rPr>
                <w:rFonts w:ascii="Arial" w:cs="Arial" w:eastAsia="Arial" w:hAnsi="Arial"/>
                <w:sz w:val="14"/>
                <w:szCs w:val="14"/>
                <w:color w:val="032E5C"/>
              </w:rPr>
              <w:t>3,334</w:t>
            </w:r>
          </w:p>
        </w:tc>
        <w:tc>
          <w:tcPr>
            <w:tcW w:w="800" w:type="dxa"/>
            <w:vAlign w:val="bottom"/>
          </w:tcPr>
          <w:p>
            <w:pPr>
              <w:jc w:val="right"/>
              <w:ind w:right="248"/>
              <w:spacing w:after="0"/>
              <w:rPr>
                <w:sz w:val="20"/>
                <w:szCs w:val="20"/>
                <w:color w:val="auto"/>
              </w:rPr>
            </w:pPr>
            <w:r>
              <w:rPr>
                <w:rFonts w:ascii="Arial" w:cs="Arial" w:eastAsia="Arial" w:hAnsi="Arial"/>
                <w:sz w:val="14"/>
                <w:szCs w:val="14"/>
                <w:color w:val="032E5C"/>
              </w:rPr>
              <w:t>(SARs)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262.31</w:t>
            </w:r>
          </w:p>
        </w:tc>
        <w:tc>
          <w:tcPr>
            <w:tcW w:w="1220" w:type="dxa"/>
            <w:vAlign w:val="bottom"/>
          </w:tcPr>
          <w:p>
            <w:pPr>
              <w:jc w:val="center"/>
              <w:spacing w:after="0"/>
              <w:rPr>
                <w:sz w:val="20"/>
                <w:szCs w:val="20"/>
                <w:color w:val="auto"/>
              </w:rPr>
            </w:pPr>
            <w:r>
              <w:rPr>
                <w:rFonts w:ascii="Arial" w:cs="Arial" w:eastAsia="Arial" w:hAnsi="Arial"/>
                <w:sz w:val="14"/>
                <w:szCs w:val="14"/>
                <w:color w:val="032E5C"/>
              </w:rPr>
              <w:t>2/01/2033</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jc w:val="right"/>
              <w:spacing w:after="0"/>
              <w:rPr>
                <w:sz w:val="20"/>
                <w:szCs w:val="20"/>
                <w:color w:val="auto"/>
              </w:rPr>
            </w:pPr>
            <w:r>
              <w:rPr>
                <w:rFonts w:ascii="Arial" w:cs="Arial" w:eastAsia="Arial" w:hAnsi="Arial"/>
                <w:sz w:val="14"/>
                <w:szCs w:val="14"/>
                <w:color w:val="032E5C"/>
              </w:rPr>
              <w:t>11,894</w:t>
            </w:r>
          </w:p>
        </w:tc>
        <w:tc>
          <w:tcPr>
            <w:tcW w:w="800" w:type="dxa"/>
            <w:vAlign w:val="bottom"/>
          </w:tcPr>
          <w:p>
            <w:pPr>
              <w:jc w:val="right"/>
              <w:ind w:right="248"/>
              <w:spacing w:after="0"/>
              <w:rPr>
                <w:sz w:val="20"/>
                <w:szCs w:val="20"/>
                <w:color w:val="auto"/>
              </w:rPr>
            </w:pPr>
            <w:r>
              <w:rPr>
                <w:rFonts w:ascii="Arial" w:cs="Arial" w:eastAsia="Arial" w:hAnsi="Arial"/>
                <w:sz w:val="14"/>
                <w:szCs w:val="14"/>
                <w:color w:val="032E5C"/>
              </w:rPr>
              <w:t>(SARs)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221.89</w:t>
            </w:r>
          </w:p>
        </w:tc>
        <w:tc>
          <w:tcPr>
            <w:tcW w:w="1220" w:type="dxa"/>
            <w:vAlign w:val="bottom"/>
          </w:tcPr>
          <w:p>
            <w:pPr>
              <w:jc w:val="center"/>
              <w:spacing w:after="0"/>
              <w:rPr>
                <w:sz w:val="20"/>
                <w:szCs w:val="20"/>
                <w:color w:val="auto"/>
              </w:rPr>
            </w:pPr>
            <w:r>
              <w:rPr>
                <w:rFonts w:ascii="Arial" w:cs="Arial" w:eastAsia="Arial" w:hAnsi="Arial"/>
                <w:sz w:val="14"/>
                <w:szCs w:val="14"/>
                <w:color w:val="032E5C"/>
              </w:rPr>
              <w:t>9/29/2033</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vMerge w:val="continue"/>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80" w:type="dxa"/>
            <w:vAlign w:val="bottom"/>
            <w:shd w:val="clear" w:color="auto" w:fill="F3EFE9"/>
          </w:tcPr>
          <w:p>
            <w:pPr>
              <w:spacing w:after="0"/>
              <w:rPr>
                <w:sz w:val="7"/>
                <w:szCs w:val="7"/>
                <w:color w:val="auto"/>
              </w:rPr>
            </w:pPr>
          </w:p>
        </w:tc>
        <w:tc>
          <w:tcPr>
            <w:tcW w:w="2060" w:type="dxa"/>
            <w:vAlign w:val="bottom"/>
            <w:vMerge w:val="continue"/>
            <w:shd w:val="clear" w:color="auto" w:fill="F3EFE9"/>
          </w:tcPr>
          <w:p>
            <w:pPr>
              <w:spacing w:after="0"/>
              <w:rPr>
                <w:sz w:val="7"/>
                <w:szCs w:val="7"/>
                <w:color w:val="auto"/>
              </w:rPr>
            </w:pPr>
          </w:p>
        </w:tc>
        <w:tc>
          <w:tcPr>
            <w:tcW w:w="1060" w:type="dxa"/>
            <w:vAlign w:val="bottom"/>
          </w:tcPr>
          <w:p>
            <w:pPr>
              <w:spacing w:after="0"/>
              <w:rPr>
                <w:sz w:val="7"/>
                <w:szCs w:val="7"/>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spacing w:after="0"/>
              <w:rPr>
                <w:sz w:val="7"/>
                <w:szCs w:val="7"/>
                <w:color w:val="auto"/>
              </w:rPr>
            </w:pPr>
          </w:p>
        </w:tc>
        <w:tc>
          <w:tcPr>
            <w:tcW w:w="800" w:type="dxa"/>
            <w:vAlign w:val="bottom"/>
            <w:vMerge w:val="restart"/>
          </w:tcPr>
          <w:p>
            <w:pPr>
              <w:ind w:left="300"/>
              <w:spacing w:after="0"/>
              <w:rPr>
                <w:sz w:val="20"/>
                <w:szCs w:val="20"/>
                <w:color w:val="auto"/>
              </w:rPr>
            </w:pPr>
            <w:r>
              <w:rPr>
                <w:rFonts w:ascii="Arial" w:cs="Arial" w:eastAsia="Arial" w:hAnsi="Arial"/>
                <w:sz w:val="14"/>
                <w:szCs w:val="14"/>
                <w:color w:val="032E5C"/>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032E5C"/>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032E5C"/>
              </w:rPr>
              <w:t>1,762</w:t>
            </w:r>
          </w:p>
        </w:tc>
        <w:tc>
          <w:tcPr>
            <w:tcW w:w="1600" w:type="dxa"/>
            <w:vAlign w:val="bottom"/>
            <w:vMerge w:val="restart"/>
          </w:tcPr>
          <w:p>
            <w:pPr>
              <w:jc w:val="right"/>
              <w:ind w:right="48"/>
              <w:spacing w:after="0"/>
              <w:rPr>
                <w:sz w:val="20"/>
                <w:szCs w:val="20"/>
                <w:color w:val="auto"/>
              </w:rPr>
            </w:pPr>
            <w:r>
              <w:rPr>
                <w:rFonts w:ascii="Arial" w:cs="Arial" w:eastAsia="Arial" w:hAnsi="Arial"/>
                <w:sz w:val="14"/>
                <w:szCs w:val="14"/>
                <w:color w:val="032E5C"/>
              </w:rPr>
              <w:t>320,702</w:t>
            </w:r>
          </w:p>
        </w:tc>
        <w:tc>
          <w:tcPr>
            <w:tcW w:w="0" w:type="dxa"/>
            <w:vAlign w:val="bottom"/>
          </w:tcPr>
          <w:p>
            <w:pPr>
              <w:spacing w:after="0"/>
              <w:rPr>
                <w:sz w:val="1"/>
                <w:szCs w:val="1"/>
                <w:color w:val="auto"/>
              </w:rPr>
            </w:pPr>
          </w:p>
        </w:tc>
      </w:tr>
      <w:tr>
        <w:trPr>
          <w:trHeight w:val="156"/>
        </w:trPr>
        <w:tc>
          <w:tcPr>
            <w:tcW w:w="80" w:type="dxa"/>
            <w:vAlign w:val="bottom"/>
            <w:shd w:val="clear" w:color="auto" w:fill="F3EFE9"/>
          </w:tcPr>
          <w:p>
            <w:pPr>
              <w:spacing w:after="0"/>
              <w:rPr>
                <w:sz w:val="13"/>
                <w:szCs w:val="13"/>
                <w:color w:val="auto"/>
              </w:rPr>
            </w:pPr>
          </w:p>
        </w:tc>
        <w:tc>
          <w:tcPr>
            <w:tcW w:w="2060" w:type="dxa"/>
            <w:vAlign w:val="bottom"/>
            <w:shd w:val="clear" w:color="auto" w:fill="F3EFE9"/>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032E5C"/>
              </w:rPr>
              <w:t>3,586</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652,688</w:t>
            </w:r>
          </w:p>
        </w:tc>
        <w:tc>
          <w:tcPr>
            <w:tcW w:w="0" w:type="dxa"/>
            <w:vAlign w:val="bottom"/>
          </w:tcPr>
          <w:p>
            <w:pPr>
              <w:spacing w:after="0"/>
              <w:rPr>
                <w:sz w:val="1"/>
                <w:szCs w:val="1"/>
                <w:color w:val="auto"/>
              </w:rPr>
            </w:pPr>
          </w:p>
        </w:tc>
      </w:tr>
      <w:tr>
        <w:trPr>
          <w:trHeight w:val="62"/>
        </w:trPr>
        <w:tc>
          <w:tcPr>
            <w:tcW w:w="80" w:type="dxa"/>
            <w:vAlign w:val="bottom"/>
            <w:tcBorders>
              <w:bottom w:val="single" w:sz="8" w:color="98BDE2"/>
            </w:tcBorders>
            <w:shd w:val="clear" w:color="auto" w:fill="F3EFE9"/>
          </w:tcPr>
          <w:p>
            <w:pPr>
              <w:spacing w:after="0"/>
              <w:rPr>
                <w:sz w:val="5"/>
                <w:szCs w:val="5"/>
                <w:color w:val="auto"/>
              </w:rPr>
            </w:pPr>
          </w:p>
        </w:tc>
        <w:tc>
          <w:tcPr>
            <w:tcW w:w="2060" w:type="dxa"/>
            <w:vAlign w:val="bottom"/>
            <w:tcBorders>
              <w:bottom w:val="single" w:sz="8" w:color="98BDE2"/>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2,112</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107.42</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9/25/2025</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2,946</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160.56</w:t>
            </w:r>
          </w:p>
        </w:tc>
        <w:tc>
          <w:tcPr>
            <w:tcW w:w="1220" w:type="dxa"/>
            <w:vAlign w:val="bottom"/>
          </w:tcPr>
          <w:p>
            <w:pPr>
              <w:jc w:val="center"/>
              <w:spacing w:after="0"/>
              <w:rPr>
                <w:sz w:val="20"/>
                <w:szCs w:val="20"/>
                <w:color w:val="auto"/>
              </w:rPr>
            </w:pPr>
            <w:r>
              <w:rPr>
                <w:rFonts w:ascii="Arial" w:cs="Arial" w:eastAsia="Arial" w:hAnsi="Arial"/>
                <w:sz w:val="14"/>
                <w:szCs w:val="14"/>
                <w:color w:val="032E5C"/>
              </w:rPr>
              <w:t>9/23/2026</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3,041</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228.04</w:t>
            </w:r>
          </w:p>
        </w:tc>
        <w:tc>
          <w:tcPr>
            <w:tcW w:w="1220" w:type="dxa"/>
            <w:vAlign w:val="bottom"/>
          </w:tcPr>
          <w:p>
            <w:pPr>
              <w:jc w:val="center"/>
              <w:spacing w:after="0"/>
              <w:rPr>
                <w:sz w:val="20"/>
                <w:szCs w:val="20"/>
                <w:color w:val="auto"/>
              </w:rPr>
            </w:pPr>
            <w:r>
              <w:rPr>
                <w:rFonts w:ascii="Arial" w:cs="Arial" w:eastAsia="Arial" w:hAnsi="Arial"/>
                <w:sz w:val="14"/>
                <w:szCs w:val="14"/>
                <w:color w:val="032E5C"/>
              </w:rPr>
              <w:t>9/27/2027</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2,475</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286.13</w:t>
            </w:r>
          </w:p>
        </w:tc>
        <w:tc>
          <w:tcPr>
            <w:tcW w:w="1220" w:type="dxa"/>
            <w:vAlign w:val="bottom"/>
          </w:tcPr>
          <w:p>
            <w:pPr>
              <w:jc w:val="center"/>
              <w:spacing w:after="0"/>
              <w:rPr>
                <w:sz w:val="20"/>
                <w:szCs w:val="20"/>
                <w:color w:val="auto"/>
              </w:rPr>
            </w:pPr>
            <w:r>
              <w:rPr>
                <w:rFonts w:ascii="Arial" w:cs="Arial" w:eastAsia="Arial" w:hAnsi="Arial"/>
                <w:sz w:val="14"/>
                <w:szCs w:val="14"/>
                <w:color w:val="032E5C"/>
              </w:rPr>
              <w:t>9/27/2028</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4,288</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236.15</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9/25/2029</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William C. Rock</w:t>
            </w:r>
          </w:p>
        </w:tc>
        <w:tc>
          <w:tcPr>
            <w:tcW w:w="1060" w:type="dxa"/>
            <w:vAlign w:val="bottom"/>
          </w:tcPr>
          <w:p>
            <w:pPr>
              <w:jc w:val="right"/>
              <w:spacing w:after="0"/>
              <w:rPr>
                <w:sz w:val="20"/>
                <w:szCs w:val="20"/>
                <w:color w:val="auto"/>
              </w:rPr>
            </w:pPr>
            <w:r>
              <w:rPr>
                <w:rFonts w:ascii="Arial" w:cs="Arial" w:eastAsia="Arial" w:hAnsi="Arial"/>
                <w:sz w:val="14"/>
                <w:szCs w:val="14"/>
                <w:color w:val="032E5C"/>
              </w:rPr>
              <w:t>4,774</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225.26</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9/25/2030</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vMerge w:val="continue"/>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80" w:type="dxa"/>
            <w:vAlign w:val="bottom"/>
            <w:shd w:val="clear" w:color="auto" w:fill="F3EFE9"/>
          </w:tcPr>
          <w:p>
            <w:pPr>
              <w:spacing w:after="0"/>
              <w:rPr>
                <w:sz w:val="7"/>
                <w:szCs w:val="7"/>
                <w:color w:val="auto"/>
              </w:rPr>
            </w:pPr>
          </w:p>
        </w:tc>
        <w:tc>
          <w:tcPr>
            <w:tcW w:w="2060" w:type="dxa"/>
            <w:vAlign w:val="bottom"/>
            <w:vMerge w:val="continue"/>
            <w:shd w:val="clear" w:color="auto" w:fill="F3EFE9"/>
          </w:tcPr>
          <w:p>
            <w:pPr>
              <w:spacing w:after="0"/>
              <w:rPr>
                <w:sz w:val="7"/>
                <w:szCs w:val="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032E5C"/>
              </w:rPr>
              <w:t>1,685</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32E5C"/>
              </w:rPr>
              <w:t>843</w:t>
            </w: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color w:val="032E5C"/>
              </w:rPr>
              <w:t>(SARs)</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032E5C"/>
              </w:rPr>
              <w:t>351.85</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032E5C"/>
              </w:rPr>
              <w:t>9/24/2031</w:t>
            </w:r>
          </w:p>
        </w:tc>
        <w:tc>
          <w:tcPr>
            <w:tcW w:w="100" w:type="dxa"/>
            <w:vAlign w:val="bottom"/>
          </w:tcPr>
          <w:p>
            <w:pPr>
              <w:spacing w:after="0"/>
              <w:rPr>
                <w:sz w:val="7"/>
                <w:szCs w:val="7"/>
                <w:color w:val="auto"/>
              </w:rPr>
            </w:pPr>
          </w:p>
        </w:tc>
        <w:tc>
          <w:tcPr>
            <w:tcW w:w="1680" w:type="dxa"/>
            <w:vAlign w:val="bottom"/>
            <w:vMerge w:val="restart"/>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vMerge w:val="restart"/>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156"/>
        </w:trPr>
        <w:tc>
          <w:tcPr>
            <w:tcW w:w="80" w:type="dxa"/>
            <w:vAlign w:val="bottom"/>
            <w:shd w:val="clear" w:color="auto" w:fill="F3EFE9"/>
          </w:tcPr>
          <w:p>
            <w:pPr>
              <w:spacing w:after="0"/>
              <w:rPr>
                <w:sz w:val="13"/>
                <w:szCs w:val="13"/>
                <w:color w:val="auto"/>
              </w:rPr>
            </w:pPr>
          </w:p>
        </w:tc>
        <w:tc>
          <w:tcPr>
            <w:tcW w:w="2060" w:type="dxa"/>
            <w:vAlign w:val="bottom"/>
            <w:shd w:val="clear" w:color="auto" w:fill="F3EFE9"/>
          </w:tcPr>
          <w:p>
            <w:pPr>
              <w:spacing w:after="0"/>
              <w:rPr>
                <w:sz w:val="13"/>
                <w:szCs w:val="13"/>
                <w:color w:val="auto"/>
              </w:rPr>
            </w:pPr>
          </w:p>
        </w:tc>
        <w:tc>
          <w:tcPr>
            <w:tcW w:w="10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1,560</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jc w:val="right"/>
              <w:spacing w:after="0"/>
              <w:rPr>
                <w:sz w:val="20"/>
                <w:szCs w:val="20"/>
                <w:color w:val="auto"/>
              </w:rPr>
            </w:pPr>
            <w:r>
              <w:rPr>
                <w:rFonts w:ascii="Arial" w:cs="Arial" w:eastAsia="Arial" w:hAnsi="Arial"/>
                <w:sz w:val="14"/>
                <w:szCs w:val="14"/>
                <w:color w:val="032E5C"/>
              </w:rPr>
              <w:t>3,122</w:t>
            </w:r>
          </w:p>
        </w:tc>
        <w:tc>
          <w:tcPr>
            <w:tcW w:w="800" w:type="dxa"/>
            <w:vAlign w:val="bottom"/>
          </w:tcPr>
          <w:p>
            <w:pPr>
              <w:jc w:val="right"/>
              <w:ind w:right="248"/>
              <w:spacing w:after="0"/>
              <w:rPr>
                <w:sz w:val="20"/>
                <w:szCs w:val="20"/>
                <w:color w:val="auto"/>
              </w:rPr>
            </w:pPr>
            <w:r>
              <w:rPr>
                <w:rFonts w:ascii="Arial" w:cs="Arial" w:eastAsia="Arial" w:hAnsi="Arial"/>
                <w:sz w:val="14"/>
                <w:szCs w:val="14"/>
                <w:color w:val="032E5C"/>
              </w:rPr>
              <w:t>(SARs)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213.55</w:t>
            </w:r>
          </w:p>
        </w:tc>
        <w:tc>
          <w:tcPr>
            <w:tcW w:w="1220" w:type="dxa"/>
            <w:vAlign w:val="bottom"/>
          </w:tcPr>
          <w:p>
            <w:pPr>
              <w:jc w:val="center"/>
              <w:spacing w:after="0"/>
              <w:rPr>
                <w:sz w:val="20"/>
                <w:szCs w:val="20"/>
                <w:color w:val="auto"/>
              </w:rPr>
            </w:pPr>
            <w:r>
              <w:rPr>
                <w:rFonts w:ascii="Arial" w:cs="Arial" w:eastAsia="Arial" w:hAnsi="Arial"/>
                <w:sz w:val="14"/>
                <w:szCs w:val="14"/>
                <w:color w:val="032E5C"/>
              </w:rPr>
              <w:t>9/29/2032</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jc w:val="right"/>
              <w:spacing w:after="0"/>
              <w:rPr>
                <w:sz w:val="20"/>
                <w:szCs w:val="20"/>
                <w:color w:val="auto"/>
              </w:rPr>
            </w:pPr>
            <w:r>
              <w:rPr>
                <w:rFonts w:ascii="Arial" w:cs="Arial" w:eastAsia="Arial" w:hAnsi="Arial"/>
                <w:sz w:val="14"/>
                <w:szCs w:val="14"/>
                <w:color w:val="032E5C"/>
              </w:rPr>
              <w:t>8,348</w:t>
            </w:r>
          </w:p>
        </w:tc>
        <w:tc>
          <w:tcPr>
            <w:tcW w:w="800" w:type="dxa"/>
            <w:vAlign w:val="bottom"/>
          </w:tcPr>
          <w:p>
            <w:pPr>
              <w:jc w:val="right"/>
              <w:ind w:right="248"/>
              <w:spacing w:after="0"/>
              <w:rPr>
                <w:sz w:val="20"/>
                <w:szCs w:val="20"/>
                <w:color w:val="auto"/>
              </w:rPr>
            </w:pPr>
            <w:r>
              <w:rPr>
                <w:rFonts w:ascii="Arial" w:cs="Arial" w:eastAsia="Arial" w:hAnsi="Arial"/>
                <w:sz w:val="14"/>
                <w:szCs w:val="14"/>
                <w:color w:val="032E5C"/>
              </w:rPr>
              <w:t>(SARs)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221.89</w:t>
            </w:r>
          </w:p>
        </w:tc>
        <w:tc>
          <w:tcPr>
            <w:tcW w:w="1220" w:type="dxa"/>
            <w:vAlign w:val="bottom"/>
          </w:tcPr>
          <w:p>
            <w:pPr>
              <w:jc w:val="center"/>
              <w:spacing w:after="0"/>
              <w:rPr>
                <w:sz w:val="20"/>
                <w:szCs w:val="20"/>
                <w:color w:val="auto"/>
              </w:rPr>
            </w:pPr>
            <w:r>
              <w:rPr>
                <w:rFonts w:ascii="Arial" w:cs="Arial" w:eastAsia="Arial" w:hAnsi="Arial"/>
                <w:sz w:val="14"/>
                <w:szCs w:val="14"/>
                <w:color w:val="032E5C"/>
              </w:rPr>
              <w:t>9/29/2033</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center"/>
              <w:ind w:left="1271"/>
              <w:spacing w:after="0"/>
              <w:rPr>
                <w:sz w:val="20"/>
                <w:szCs w:val="20"/>
                <w:color w:val="auto"/>
              </w:rPr>
            </w:pPr>
            <w:r>
              <w:rPr>
                <w:rFonts w:ascii="Arial" w:cs="Arial" w:eastAsia="Arial" w:hAnsi="Arial"/>
                <w:sz w:val="14"/>
                <w:szCs w:val="14"/>
                <w:color w:val="032E5C"/>
              </w:rPr>
              <w:t>246</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44,774</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center"/>
              <w:ind w:left="1271"/>
              <w:spacing w:after="0"/>
              <w:rPr>
                <w:sz w:val="20"/>
                <w:szCs w:val="20"/>
                <w:color w:val="auto"/>
              </w:rPr>
            </w:pPr>
            <w:r>
              <w:rPr>
                <w:rFonts w:ascii="Arial" w:cs="Arial" w:eastAsia="Arial" w:hAnsi="Arial"/>
                <w:sz w:val="14"/>
                <w:szCs w:val="14"/>
                <w:color w:val="032E5C"/>
              </w:rPr>
              <w:t>896</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163,081</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032E5C"/>
              </w:rPr>
              <w:t>2,517</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458,119</w:t>
            </w:r>
          </w:p>
        </w:tc>
        <w:tc>
          <w:tcPr>
            <w:tcW w:w="0" w:type="dxa"/>
            <w:vAlign w:val="bottom"/>
          </w:tcPr>
          <w:p>
            <w:pPr>
              <w:spacing w:after="0"/>
              <w:rPr>
                <w:sz w:val="1"/>
                <w:szCs w:val="1"/>
                <w:color w:val="auto"/>
              </w:rPr>
            </w:pPr>
          </w:p>
        </w:tc>
      </w:tr>
      <w:tr>
        <w:trPr>
          <w:trHeight w:val="62"/>
        </w:trPr>
        <w:tc>
          <w:tcPr>
            <w:tcW w:w="80" w:type="dxa"/>
            <w:vAlign w:val="bottom"/>
            <w:tcBorders>
              <w:bottom w:val="single" w:sz="8" w:color="98BDE2"/>
            </w:tcBorders>
            <w:shd w:val="clear" w:color="auto" w:fill="F3EFE9"/>
          </w:tcPr>
          <w:p>
            <w:pPr>
              <w:spacing w:after="0"/>
              <w:rPr>
                <w:sz w:val="5"/>
                <w:szCs w:val="5"/>
                <w:color w:val="auto"/>
              </w:rPr>
            </w:pPr>
          </w:p>
        </w:tc>
        <w:tc>
          <w:tcPr>
            <w:tcW w:w="2060" w:type="dxa"/>
            <w:vAlign w:val="bottom"/>
            <w:tcBorders>
              <w:bottom w:val="single" w:sz="8" w:color="98BDE2"/>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98BDE2"/>
            </w:tcBorders>
            <w:shd w:val="clear" w:color="auto" w:fill="F3EFE9"/>
          </w:tcPr>
          <w:p>
            <w:pPr>
              <w:spacing w:after="0"/>
              <w:rPr>
                <w:sz w:val="18"/>
                <w:szCs w:val="18"/>
                <w:color w:val="auto"/>
              </w:rPr>
            </w:pPr>
          </w:p>
        </w:tc>
        <w:tc>
          <w:tcPr>
            <w:tcW w:w="206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David T. Shapiro</w:t>
            </w:r>
          </w:p>
        </w:tc>
        <w:tc>
          <w:tcPr>
            <w:tcW w:w="1060" w:type="dxa"/>
            <w:vAlign w:val="bottom"/>
            <w:tcBorders>
              <w:bottom w:val="single" w:sz="8" w:color="98BDE2"/>
            </w:tcBorders>
          </w:tcPr>
          <w:p>
            <w:pPr>
              <w:spacing w:after="0"/>
              <w:rPr>
                <w:sz w:val="18"/>
                <w:szCs w:val="18"/>
                <w:color w:val="auto"/>
              </w:rPr>
            </w:pPr>
          </w:p>
        </w:tc>
        <w:tc>
          <w:tcPr>
            <w:tcW w:w="520" w:type="dxa"/>
            <w:vAlign w:val="bottom"/>
            <w:tcBorders>
              <w:bottom w:val="single" w:sz="8" w:color="98BDE2"/>
            </w:tcBorders>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Borders>
              <w:bottom w:val="single" w:sz="8" w:color="98BDE2"/>
            </w:tcBorders>
          </w:tcPr>
          <w:p>
            <w:pPr>
              <w:spacing w:after="0"/>
              <w:rPr>
                <w:sz w:val="18"/>
                <w:szCs w:val="18"/>
                <w:color w:val="auto"/>
              </w:rPr>
            </w:pPr>
          </w:p>
        </w:tc>
        <w:tc>
          <w:tcPr>
            <w:tcW w:w="800" w:type="dxa"/>
            <w:vAlign w:val="bottom"/>
            <w:tcBorders>
              <w:bottom w:val="single" w:sz="8" w:color="98BDE2"/>
            </w:tcBorders>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c>
          <w:tcPr>
            <w:tcW w:w="1220" w:type="dxa"/>
            <w:vAlign w:val="bottom"/>
            <w:tcBorders>
              <w:bottom w:val="single" w:sz="8" w:color="98BDE2"/>
            </w:tcBorders>
          </w:tcPr>
          <w:p>
            <w:pPr>
              <w:jc w:val="center"/>
              <w:spacing w:after="0"/>
              <w:rPr>
                <w:sz w:val="20"/>
                <w:szCs w:val="20"/>
                <w:color w:val="auto"/>
              </w:rPr>
            </w:pPr>
            <w:r>
              <w:rPr>
                <w:rFonts w:ascii="Arial" w:cs="Arial" w:eastAsia="Arial" w:hAnsi="Arial"/>
                <w:sz w:val="14"/>
                <w:szCs w:val="14"/>
                <w:color w:val="032E5C"/>
                <w:w w:val="99"/>
              </w:rPr>
              <w:t>—</w:t>
            </w:r>
          </w:p>
        </w:tc>
        <w:tc>
          <w:tcPr>
            <w:tcW w:w="100" w:type="dxa"/>
            <w:vAlign w:val="bottom"/>
            <w:tcBorders>
              <w:bottom w:val="single" w:sz="8" w:color="98BDE2"/>
            </w:tcBorders>
          </w:tcPr>
          <w:p>
            <w:pPr>
              <w:spacing w:after="0"/>
              <w:rPr>
                <w:sz w:val="18"/>
                <w:szCs w:val="18"/>
                <w:color w:val="auto"/>
              </w:rPr>
            </w:pPr>
          </w:p>
        </w:tc>
        <w:tc>
          <w:tcPr>
            <w:tcW w:w="1680" w:type="dxa"/>
            <w:vAlign w:val="bottom"/>
            <w:tcBorders>
              <w:bottom w:val="single" w:sz="8" w:color="98BDE2"/>
            </w:tcBorders>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48"/>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3,260</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157.62</w:t>
            </w:r>
          </w:p>
        </w:tc>
        <w:tc>
          <w:tcPr>
            <w:tcW w:w="1220" w:type="dxa"/>
            <w:vAlign w:val="bottom"/>
          </w:tcPr>
          <w:p>
            <w:pPr>
              <w:jc w:val="center"/>
              <w:spacing w:after="0"/>
              <w:rPr>
                <w:sz w:val="20"/>
                <w:szCs w:val="20"/>
                <w:color w:val="auto"/>
              </w:rPr>
            </w:pPr>
            <w:r>
              <w:rPr>
                <w:rFonts w:ascii="Arial" w:cs="Arial" w:eastAsia="Arial" w:hAnsi="Arial"/>
                <w:sz w:val="14"/>
                <w:szCs w:val="14"/>
                <w:color w:val="032E5C"/>
              </w:rPr>
              <w:t>11/01/2016</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2,202</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228.04</w:t>
            </w:r>
          </w:p>
        </w:tc>
        <w:tc>
          <w:tcPr>
            <w:tcW w:w="1220" w:type="dxa"/>
            <w:vAlign w:val="bottom"/>
          </w:tcPr>
          <w:p>
            <w:pPr>
              <w:jc w:val="center"/>
              <w:spacing w:after="0"/>
              <w:rPr>
                <w:sz w:val="20"/>
                <w:szCs w:val="20"/>
                <w:color w:val="auto"/>
              </w:rPr>
            </w:pPr>
            <w:r>
              <w:rPr>
                <w:rFonts w:ascii="Arial" w:cs="Arial" w:eastAsia="Arial" w:hAnsi="Arial"/>
                <w:sz w:val="14"/>
                <w:szCs w:val="14"/>
                <w:color w:val="032E5C"/>
              </w:rPr>
              <w:t>9/27/2027</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1,792</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286.13</w:t>
            </w:r>
          </w:p>
        </w:tc>
        <w:tc>
          <w:tcPr>
            <w:tcW w:w="1220" w:type="dxa"/>
            <w:vAlign w:val="bottom"/>
          </w:tcPr>
          <w:p>
            <w:pPr>
              <w:jc w:val="center"/>
              <w:spacing w:after="0"/>
              <w:rPr>
                <w:sz w:val="20"/>
                <w:szCs w:val="20"/>
                <w:color w:val="auto"/>
              </w:rPr>
            </w:pPr>
            <w:r>
              <w:rPr>
                <w:rFonts w:ascii="Arial" w:cs="Arial" w:eastAsia="Arial" w:hAnsi="Arial"/>
                <w:sz w:val="14"/>
                <w:szCs w:val="14"/>
                <w:color w:val="032E5C"/>
              </w:rPr>
              <w:t>9/27/2028</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3,599</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236.15</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9/25/2029</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4,007</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225.26</w:t>
            </w:r>
          </w:p>
        </w:tc>
        <w:tc>
          <w:tcPr>
            <w:tcW w:w="1220" w:type="dxa"/>
            <w:vAlign w:val="bottom"/>
          </w:tcPr>
          <w:p>
            <w:pPr>
              <w:jc w:val="center"/>
              <w:spacing w:after="0"/>
              <w:rPr>
                <w:sz w:val="20"/>
                <w:szCs w:val="20"/>
                <w:color w:val="auto"/>
              </w:rPr>
            </w:pPr>
            <w:r>
              <w:rPr>
                <w:rFonts w:ascii="Arial" w:cs="Arial" w:eastAsia="Arial" w:hAnsi="Arial"/>
                <w:sz w:val="14"/>
                <w:szCs w:val="14"/>
                <w:color w:val="032E5C"/>
              </w:rPr>
              <w:t>9/25/2030</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Gregory J. Sullivan</w:t>
            </w:r>
          </w:p>
        </w:tc>
        <w:tc>
          <w:tcPr>
            <w:tcW w:w="1580" w:type="dxa"/>
            <w:vAlign w:val="bottom"/>
            <w:tcBorders>
              <w:bottom w:val="single" w:sz="8" w:color="98BDE2"/>
            </w:tcBorders>
            <w:gridSpan w:val="2"/>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vMerge w:val="continue"/>
            <w:shd w:val="clear" w:color="auto" w:fill="F3EFE9"/>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032E5C"/>
              </w:rPr>
              <w:t>1,264 (SARs)</w:t>
            </w:r>
          </w:p>
        </w:tc>
        <w:tc>
          <w:tcPr>
            <w:tcW w:w="1020" w:type="dxa"/>
            <w:vAlign w:val="bottom"/>
          </w:tcPr>
          <w:p>
            <w:pPr>
              <w:jc w:val="right"/>
              <w:spacing w:after="0"/>
              <w:rPr>
                <w:sz w:val="20"/>
                <w:szCs w:val="20"/>
                <w:color w:val="auto"/>
              </w:rPr>
            </w:pPr>
            <w:r>
              <w:rPr>
                <w:rFonts w:ascii="Arial" w:cs="Arial" w:eastAsia="Arial" w:hAnsi="Arial"/>
                <w:sz w:val="14"/>
                <w:szCs w:val="14"/>
                <w:color w:val="032E5C"/>
              </w:rPr>
              <w:t>632</w:t>
            </w:r>
          </w:p>
        </w:tc>
        <w:tc>
          <w:tcPr>
            <w:tcW w:w="800" w:type="dxa"/>
            <w:vAlign w:val="bottom"/>
          </w:tcPr>
          <w:p>
            <w:pPr>
              <w:jc w:val="right"/>
              <w:ind w:right="248"/>
              <w:spacing w:after="0"/>
              <w:rPr>
                <w:sz w:val="20"/>
                <w:szCs w:val="20"/>
                <w:color w:val="auto"/>
              </w:rPr>
            </w:pPr>
            <w:r>
              <w:rPr>
                <w:rFonts w:ascii="Arial" w:cs="Arial" w:eastAsia="Arial" w:hAnsi="Arial"/>
                <w:sz w:val="14"/>
                <w:szCs w:val="14"/>
                <w:color w:val="032E5C"/>
              </w:rPr>
              <w:t>(SARs)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351.85</w:t>
            </w:r>
          </w:p>
        </w:tc>
        <w:tc>
          <w:tcPr>
            <w:tcW w:w="1220" w:type="dxa"/>
            <w:vAlign w:val="bottom"/>
          </w:tcPr>
          <w:p>
            <w:pPr>
              <w:jc w:val="center"/>
              <w:spacing w:after="0"/>
              <w:rPr>
                <w:sz w:val="20"/>
                <w:szCs w:val="20"/>
                <w:color w:val="auto"/>
              </w:rPr>
            </w:pPr>
            <w:r>
              <w:rPr>
                <w:rFonts w:ascii="Arial" w:cs="Arial" w:eastAsia="Arial" w:hAnsi="Arial"/>
                <w:sz w:val="14"/>
                <w:szCs w:val="14"/>
                <w:color w:val="032E5C"/>
              </w:rPr>
              <w:t>9/24/2031</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32E5C"/>
              </w:rPr>
              <w:t>1,292</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1020" w:type="dxa"/>
            <w:vAlign w:val="bottom"/>
          </w:tcPr>
          <w:p>
            <w:pPr>
              <w:jc w:val="right"/>
              <w:spacing w:after="0"/>
              <w:rPr>
                <w:sz w:val="20"/>
                <w:szCs w:val="20"/>
                <w:color w:val="auto"/>
              </w:rPr>
            </w:pPr>
            <w:r>
              <w:rPr>
                <w:rFonts w:ascii="Arial" w:cs="Arial" w:eastAsia="Arial" w:hAnsi="Arial"/>
                <w:sz w:val="14"/>
                <w:szCs w:val="14"/>
                <w:color w:val="032E5C"/>
              </w:rPr>
              <w:t>2,585</w:t>
            </w:r>
          </w:p>
        </w:tc>
        <w:tc>
          <w:tcPr>
            <w:tcW w:w="800" w:type="dxa"/>
            <w:vAlign w:val="bottom"/>
          </w:tcPr>
          <w:p>
            <w:pPr>
              <w:jc w:val="right"/>
              <w:ind w:right="248"/>
              <w:spacing w:after="0"/>
              <w:rPr>
                <w:sz w:val="20"/>
                <w:szCs w:val="20"/>
                <w:color w:val="auto"/>
              </w:rPr>
            </w:pPr>
            <w:r>
              <w:rPr>
                <w:rFonts w:ascii="Arial" w:cs="Arial" w:eastAsia="Arial" w:hAnsi="Arial"/>
                <w:sz w:val="14"/>
                <w:szCs w:val="14"/>
                <w:color w:val="032E5C"/>
              </w:rPr>
              <w:t>(SARs)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213.55</w:t>
            </w:r>
          </w:p>
        </w:tc>
        <w:tc>
          <w:tcPr>
            <w:tcW w:w="1220" w:type="dxa"/>
            <w:vAlign w:val="bottom"/>
          </w:tcPr>
          <w:p>
            <w:pPr>
              <w:jc w:val="center"/>
              <w:spacing w:after="0"/>
              <w:rPr>
                <w:sz w:val="20"/>
                <w:szCs w:val="20"/>
                <w:color w:val="auto"/>
              </w:rPr>
            </w:pPr>
            <w:r>
              <w:rPr>
                <w:rFonts w:ascii="Arial" w:cs="Arial" w:eastAsia="Arial" w:hAnsi="Arial"/>
                <w:sz w:val="14"/>
                <w:szCs w:val="14"/>
                <w:color w:val="032E5C"/>
              </w:rPr>
              <w:t>9/29/2032</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00" w:type="dxa"/>
            <w:vAlign w:val="bottom"/>
            <w:tcBorders>
              <w:bottom w:val="single" w:sz="8" w:color="98BDE2"/>
            </w:tcBorders>
          </w:tcPr>
          <w:p>
            <w:pPr>
              <w:spacing w:after="0"/>
              <w:rPr>
                <w:sz w:val="5"/>
                <w:szCs w:val="5"/>
                <w:color w:val="auto"/>
              </w:rPr>
            </w:pPr>
          </w:p>
        </w:tc>
        <w:tc>
          <w:tcPr>
            <w:tcW w:w="1680" w:type="dxa"/>
            <w:vAlign w:val="bottom"/>
            <w:tcBorders>
              <w:bottom w:val="single" w:sz="8" w:color="98BDE2"/>
            </w:tcBorders>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jc w:val="right"/>
              <w:spacing w:after="0"/>
              <w:rPr>
                <w:sz w:val="20"/>
                <w:szCs w:val="20"/>
                <w:color w:val="auto"/>
              </w:rPr>
            </w:pPr>
            <w:r>
              <w:rPr>
                <w:rFonts w:ascii="Arial" w:cs="Arial" w:eastAsia="Arial" w:hAnsi="Arial"/>
                <w:sz w:val="14"/>
                <w:szCs w:val="14"/>
                <w:color w:val="032E5C"/>
              </w:rPr>
              <w:t>3,663</w:t>
            </w:r>
          </w:p>
        </w:tc>
        <w:tc>
          <w:tcPr>
            <w:tcW w:w="800" w:type="dxa"/>
            <w:vAlign w:val="bottom"/>
          </w:tcPr>
          <w:p>
            <w:pPr>
              <w:jc w:val="right"/>
              <w:ind w:right="248"/>
              <w:spacing w:after="0"/>
              <w:rPr>
                <w:sz w:val="20"/>
                <w:szCs w:val="20"/>
                <w:color w:val="auto"/>
              </w:rPr>
            </w:pPr>
            <w:r>
              <w:rPr>
                <w:rFonts w:ascii="Arial" w:cs="Arial" w:eastAsia="Arial" w:hAnsi="Arial"/>
                <w:sz w:val="14"/>
                <w:szCs w:val="14"/>
                <w:color w:val="032E5C"/>
              </w:rPr>
              <w:t>(SARs)</w:t>
            </w:r>
          </w:p>
        </w:tc>
        <w:tc>
          <w:tcPr>
            <w:tcW w:w="1100" w:type="dxa"/>
            <w:vAlign w:val="bottom"/>
          </w:tcPr>
          <w:p>
            <w:pPr>
              <w:jc w:val="right"/>
              <w:ind w:right="8"/>
              <w:spacing w:after="0"/>
              <w:rPr>
                <w:sz w:val="20"/>
                <w:szCs w:val="20"/>
                <w:color w:val="auto"/>
              </w:rPr>
            </w:pPr>
            <w:r>
              <w:rPr>
                <w:rFonts w:ascii="Arial" w:cs="Arial" w:eastAsia="Arial" w:hAnsi="Arial"/>
                <w:sz w:val="14"/>
                <w:szCs w:val="14"/>
                <w:color w:val="032E5C"/>
              </w:rPr>
              <w:t>221.89</w:t>
            </w:r>
          </w:p>
        </w:tc>
        <w:tc>
          <w:tcPr>
            <w:tcW w:w="1220" w:type="dxa"/>
            <w:vAlign w:val="bottom"/>
          </w:tcPr>
          <w:p>
            <w:pPr>
              <w:jc w:val="center"/>
              <w:spacing w:after="0"/>
              <w:rPr>
                <w:sz w:val="20"/>
                <w:szCs w:val="20"/>
                <w:color w:val="auto"/>
              </w:rPr>
            </w:pPr>
            <w:r>
              <w:rPr>
                <w:rFonts w:ascii="Arial" w:cs="Arial" w:eastAsia="Arial" w:hAnsi="Arial"/>
                <w:sz w:val="14"/>
                <w:szCs w:val="14"/>
                <w:color w:val="032E5C"/>
              </w:rPr>
              <w:t>9/29/2033</w:t>
            </w:r>
          </w:p>
        </w:tc>
        <w:tc>
          <w:tcPr>
            <w:tcW w:w="100" w:type="dxa"/>
            <w:vAlign w:val="bottom"/>
          </w:tcPr>
          <w:p>
            <w:pPr>
              <w:spacing w:after="0"/>
              <w:rPr>
                <w:sz w:val="21"/>
                <w:szCs w:val="21"/>
                <w:color w:val="auto"/>
              </w:rPr>
            </w:pPr>
          </w:p>
        </w:tc>
        <w:tc>
          <w:tcPr>
            <w:tcW w:w="1680" w:type="dxa"/>
            <w:vAlign w:val="bottom"/>
          </w:tcPr>
          <w:p>
            <w:pPr>
              <w:jc w:val="center"/>
              <w:ind w:left="1148"/>
              <w:spacing w:after="0"/>
              <w:rPr>
                <w:sz w:val="20"/>
                <w:szCs w:val="20"/>
                <w:color w:val="auto"/>
              </w:rPr>
            </w:pPr>
            <w:r>
              <w:rPr>
                <w:rFonts w:ascii="Arial" w:cs="Arial" w:eastAsia="Arial" w:hAnsi="Arial"/>
                <w:sz w:val="14"/>
                <w:szCs w:val="14"/>
                <w:color w:val="032E5C"/>
                <w:w w:val="99"/>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center"/>
              <w:ind w:left="1271"/>
              <w:spacing w:after="0"/>
              <w:rPr>
                <w:sz w:val="20"/>
                <w:szCs w:val="20"/>
                <w:color w:val="auto"/>
              </w:rPr>
            </w:pPr>
            <w:r>
              <w:rPr>
                <w:rFonts w:ascii="Arial" w:cs="Arial" w:eastAsia="Arial" w:hAnsi="Arial"/>
                <w:sz w:val="14"/>
                <w:szCs w:val="14"/>
                <w:color w:val="032E5C"/>
              </w:rPr>
              <w:t>184</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33,490</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shd w:val="clear" w:color="auto" w:fill="F3EFE9"/>
          </w:tcPr>
          <w:p>
            <w:pPr>
              <w:spacing w:after="0"/>
              <w:rPr>
                <w:sz w:val="21"/>
                <w:szCs w:val="21"/>
                <w:color w:val="auto"/>
              </w:rPr>
            </w:pPr>
          </w:p>
        </w:tc>
        <w:tc>
          <w:tcPr>
            <w:tcW w:w="2060" w:type="dxa"/>
            <w:vAlign w:val="bottom"/>
            <w:shd w:val="clear" w:color="auto" w:fill="F3EFE9"/>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center"/>
              <w:ind w:left="1271"/>
              <w:spacing w:after="0"/>
              <w:rPr>
                <w:sz w:val="20"/>
                <w:szCs w:val="20"/>
                <w:color w:val="auto"/>
              </w:rPr>
            </w:pPr>
            <w:r>
              <w:rPr>
                <w:rFonts w:ascii="Arial" w:cs="Arial" w:eastAsia="Arial" w:hAnsi="Arial"/>
                <w:sz w:val="14"/>
                <w:szCs w:val="14"/>
                <w:color w:val="032E5C"/>
              </w:rPr>
              <w:t>742</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135,051</w:t>
            </w:r>
          </w:p>
        </w:tc>
        <w:tc>
          <w:tcPr>
            <w:tcW w:w="0" w:type="dxa"/>
            <w:vAlign w:val="bottom"/>
          </w:tcPr>
          <w:p>
            <w:pPr>
              <w:spacing w:after="0"/>
              <w:rPr>
                <w:sz w:val="1"/>
                <w:szCs w:val="1"/>
                <w:color w:val="auto"/>
              </w:rPr>
            </w:pPr>
          </w:p>
        </w:tc>
      </w:tr>
      <w:tr>
        <w:trPr>
          <w:trHeight w:val="62"/>
        </w:trPr>
        <w:tc>
          <w:tcPr>
            <w:tcW w:w="80" w:type="dxa"/>
            <w:vAlign w:val="bottom"/>
            <w:tcBorders>
              <w:bottom w:val="single" w:sz="8" w:color="F3EFE9"/>
            </w:tcBorders>
            <w:shd w:val="clear" w:color="auto" w:fill="F3EFE9"/>
          </w:tcPr>
          <w:p>
            <w:pPr>
              <w:spacing w:after="0"/>
              <w:rPr>
                <w:sz w:val="5"/>
                <w:szCs w:val="5"/>
                <w:color w:val="auto"/>
              </w:rPr>
            </w:pPr>
          </w:p>
        </w:tc>
        <w:tc>
          <w:tcPr>
            <w:tcW w:w="2060" w:type="dxa"/>
            <w:vAlign w:val="bottom"/>
            <w:tcBorders>
              <w:bottom w:val="single" w:sz="8" w:color="F3EFE9"/>
            </w:tcBorders>
            <w:shd w:val="clear" w:color="auto" w:fill="F3EFE9"/>
          </w:tcPr>
          <w:p>
            <w:pPr>
              <w:spacing w:after="0"/>
              <w:rPr>
                <w:sz w:val="5"/>
                <w:szCs w:val="5"/>
                <w:color w:val="auto"/>
              </w:rPr>
            </w:pPr>
          </w:p>
        </w:tc>
        <w:tc>
          <w:tcPr>
            <w:tcW w:w="1060" w:type="dxa"/>
            <w:vAlign w:val="bottom"/>
            <w:tcBorders>
              <w:bottom w:val="single" w:sz="8" w:color="98BDE2"/>
            </w:tcBorders>
          </w:tcPr>
          <w:p>
            <w:pPr>
              <w:spacing w:after="0"/>
              <w:rPr>
                <w:sz w:val="5"/>
                <w:szCs w:val="5"/>
                <w:color w:val="auto"/>
              </w:rPr>
            </w:pPr>
          </w:p>
        </w:tc>
        <w:tc>
          <w:tcPr>
            <w:tcW w:w="520" w:type="dxa"/>
            <w:vAlign w:val="bottom"/>
            <w:tcBorders>
              <w:bottom w:val="single" w:sz="8" w:color="98BDE2"/>
            </w:tcBorders>
          </w:tcPr>
          <w:p>
            <w:pPr>
              <w:spacing w:after="0"/>
              <w:rPr>
                <w:sz w:val="5"/>
                <w:szCs w:val="5"/>
                <w:color w:val="auto"/>
              </w:rPr>
            </w:pPr>
          </w:p>
        </w:tc>
        <w:tc>
          <w:tcPr>
            <w:tcW w:w="1020" w:type="dxa"/>
            <w:vAlign w:val="bottom"/>
            <w:tcBorders>
              <w:bottom w:val="single" w:sz="8" w:color="98BDE2"/>
            </w:tcBorders>
          </w:tcPr>
          <w:p>
            <w:pPr>
              <w:spacing w:after="0"/>
              <w:rPr>
                <w:sz w:val="5"/>
                <w:szCs w:val="5"/>
                <w:color w:val="auto"/>
              </w:rPr>
            </w:pPr>
          </w:p>
        </w:tc>
        <w:tc>
          <w:tcPr>
            <w:tcW w:w="800" w:type="dxa"/>
            <w:vAlign w:val="bottom"/>
            <w:tcBorders>
              <w:bottom w:val="single" w:sz="8" w:color="98BDE2"/>
            </w:tcBorders>
          </w:tcPr>
          <w:p>
            <w:pPr>
              <w:spacing w:after="0"/>
              <w:rPr>
                <w:sz w:val="5"/>
                <w:szCs w:val="5"/>
                <w:color w:val="auto"/>
              </w:rPr>
            </w:pPr>
          </w:p>
        </w:tc>
        <w:tc>
          <w:tcPr>
            <w:tcW w:w="1100" w:type="dxa"/>
            <w:vAlign w:val="bottom"/>
            <w:tcBorders>
              <w:bottom w:val="single" w:sz="8" w:color="98BDE2"/>
            </w:tcBorders>
          </w:tcPr>
          <w:p>
            <w:pPr>
              <w:spacing w:after="0"/>
              <w:rPr>
                <w:sz w:val="5"/>
                <w:szCs w:val="5"/>
                <w:color w:val="auto"/>
              </w:rPr>
            </w:pPr>
          </w:p>
        </w:tc>
        <w:tc>
          <w:tcPr>
            <w:tcW w:w="1220" w:type="dxa"/>
            <w:vAlign w:val="bottom"/>
            <w:tcBorders>
              <w:bottom w:val="single" w:sz="8" w:color="98BDE2"/>
            </w:tcBorders>
          </w:tcPr>
          <w:p>
            <w:pPr>
              <w:spacing w:after="0"/>
              <w:rPr>
                <w:sz w:val="5"/>
                <w:szCs w:val="5"/>
                <w:color w:val="auto"/>
              </w:rPr>
            </w:pPr>
          </w:p>
        </w:tc>
        <w:tc>
          <w:tcPr>
            <w:tcW w:w="1780" w:type="dxa"/>
            <w:vAlign w:val="bottom"/>
            <w:tcBorders>
              <w:bottom w:val="single" w:sz="8" w:color="98BDE2"/>
            </w:tcBorders>
            <w:gridSpan w:val="2"/>
          </w:tcPr>
          <w:p>
            <w:pPr>
              <w:spacing w:after="0"/>
              <w:rPr>
                <w:sz w:val="5"/>
                <w:szCs w:val="5"/>
                <w:color w:val="auto"/>
              </w:rPr>
            </w:pPr>
          </w:p>
        </w:tc>
        <w:tc>
          <w:tcPr>
            <w:tcW w:w="1600" w:type="dxa"/>
            <w:vAlign w:val="bottom"/>
            <w:tcBorders>
              <w:bottom w:val="single" w:sz="8" w:color="98BDE2"/>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shd w:val="clear" w:color="auto" w:fill="F3EFE9"/>
          </w:tcPr>
          <w:p>
            <w:pPr>
              <w:spacing w:after="0"/>
              <w:rPr>
                <w:sz w:val="19"/>
                <w:szCs w:val="19"/>
                <w:color w:val="auto"/>
              </w:rPr>
            </w:pPr>
          </w:p>
        </w:tc>
        <w:tc>
          <w:tcPr>
            <w:tcW w:w="2060" w:type="dxa"/>
            <w:vAlign w:val="bottom"/>
            <w:shd w:val="clear" w:color="auto" w:fill="F3EFE9"/>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020" w:type="dxa"/>
            <w:vAlign w:val="bottom"/>
          </w:tcPr>
          <w:p>
            <w:pPr>
              <w:spacing w:after="0"/>
              <w:rPr>
                <w:sz w:val="19"/>
                <w:szCs w:val="19"/>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032E5C"/>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22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032E5C"/>
              </w:rPr>
              <w:t>1,104</w:t>
            </w:r>
          </w:p>
        </w:tc>
        <w:tc>
          <w:tcPr>
            <w:tcW w:w="1600" w:type="dxa"/>
            <w:vAlign w:val="bottom"/>
          </w:tcPr>
          <w:p>
            <w:pPr>
              <w:jc w:val="right"/>
              <w:ind w:right="48"/>
              <w:spacing w:after="0"/>
              <w:rPr>
                <w:sz w:val="20"/>
                <w:szCs w:val="20"/>
                <w:color w:val="auto"/>
              </w:rPr>
            </w:pPr>
            <w:r>
              <w:rPr>
                <w:rFonts w:ascii="Arial" w:cs="Arial" w:eastAsia="Arial" w:hAnsi="Arial"/>
                <w:sz w:val="14"/>
                <w:szCs w:val="14"/>
                <w:color w:val="032E5C"/>
              </w:rPr>
              <w:t>200,939</w:t>
            </w:r>
          </w:p>
        </w:tc>
        <w:tc>
          <w:tcPr>
            <w:tcW w:w="0" w:type="dxa"/>
            <w:vAlign w:val="bottom"/>
          </w:tcPr>
          <w:p>
            <w:pPr>
              <w:spacing w:after="0"/>
              <w:rPr>
                <w:sz w:val="1"/>
                <w:szCs w:val="1"/>
                <w:color w:val="auto"/>
              </w:rPr>
            </w:pPr>
          </w:p>
        </w:tc>
      </w:tr>
      <w:tr>
        <w:trPr>
          <w:trHeight w:val="69"/>
        </w:trPr>
        <w:tc>
          <w:tcPr>
            <w:tcW w:w="80" w:type="dxa"/>
            <w:vAlign w:val="bottom"/>
            <w:tcBorders>
              <w:bottom w:val="single" w:sz="8" w:color="3E5C7C"/>
            </w:tcBorders>
            <w:shd w:val="clear" w:color="auto" w:fill="F3EFE9"/>
          </w:tcPr>
          <w:p>
            <w:pPr>
              <w:spacing w:after="0"/>
              <w:rPr>
                <w:sz w:val="6"/>
                <w:szCs w:val="6"/>
                <w:color w:val="auto"/>
              </w:rPr>
            </w:pPr>
          </w:p>
        </w:tc>
        <w:tc>
          <w:tcPr>
            <w:tcW w:w="2060" w:type="dxa"/>
            <w:vAlign w:val="bottom"/>
            <w:tcBorders>
              <w:bottom w:val="single" w:sz="8" w:color="3E5C7C"/>
            </w:tcBorders>
            <w:shd w:val="clear" w:color="auto" w:fill="F3EFE9"/>
          </w:tcPr>
          <w:p>
            <w:pPr>
              <w:spacing w:after="0"/>
              <w:rPr>
                <w:sz w:val="6"/>
                <w:szCs w:val="6"/>
                <w:color w:val="auto"/>
              </w:rPr>
            </w:pPr>
          </w:p>
        </w:tc>
        <w:tc>
          <w:tcPr>
            <w:tcW w:w="1060" w:type="dxa"/>
            <w:vAlign w:val="bottom"/>
            <w:tcBorders>
              <w:bottom w:val="single" w:sz="8" w:color="3E5C7C"/>
            </w:tcBorders>
          </w:tcPr>
          <w:p>
            <w:pPr>
              <w:spacing w:after="0"/>
              <w:rPr>
                <w:sz w:val="6"/>
                <w:szCs w:val="6"/>
                <w:color w:val="auto"/>
              </w:rPr>
            </w:pPr>
          </w:p>
        </w:tc>
        <w:tc>
          <w:tcPr>
            <w:tcW w:w="520" w:type="dxa"/>
            <w:vAlign w:val="bottom"/>
            <w:tcBorders>
              <w:bottom w:val="single" w:sz="8" w:color="3E5C7C"/>
            </w:tcBorders>
          </w:tcPr>
          <w:p>
            <w:pPr>
              <w:spacing w:after="0"/>
              <w:rPr>
                <w:sz w:val="6"/>
                <w:szCs w:val="6"/>
                <w:color w:val="auto"/>
              </w:rPr>
            </w:pPr>
          </w:p>
        </w:tc>
        <w:tc>
          <w:tcPr>
            <w:tcW w:w="1020" w:type="dxa"/>
            <w:vAlign w:val="bottom"/>
            <w:tcBorders>
              <w:bottom w:val="single" w:sz="8" w:color="3E5C7C"/>
            </w:tcBorders>
          </w:tcPr>
          <w:p>
            <w:pPr>
              <w:spacing w:after="0"/>
              <w:rPr>
                <w:sz w:val="6"/>
                <w:szCs w:val="6"/>
                <w:color w:val="auto"/>
              </w:rPr>
            </w:pPr>
          </w:p>
        </w:tc>
        <w:tc>
          <w:tcPr>
            <w:tcW w:w="800" w:type="dxa"/>
            <w:vAlign w:val="bottom"/>
            <w:tcBorders>
              <w:bottom w:val="single" w:sz="8" w:color="3E5C7C"/>
            </w:tcBorders>
          </w:tcPr>
          <w:p>
            <w:pPr>
              <w:spacing w:after="0"/>
              <w:rPr>
                <w:sz w:val="6"/>
                <w:szCs w:val="6"/>
                <w:color w:val="auto"/>
              </w:rPr>
            </w:pPr>
          </w:p>
        </w:tc>
        <w:tc>
          <w:tcPr>
            <w:tcW w:w="1100" w:type="dxa"/>
            <w:vAlign w:val="bottom"/>
            <w:tcBorders>
              <w:bottom w:val="single" w:sz="8" w:color="3E5C7C"/>
            </w:tcBorders>
          </w:tcPr>
          <w:p>
            <w:pPr>
              <w:spacing w:after="0"/>
              <w:rPr>
                <w:sz w:val="6"/>
                <w:szCs w:val="6"/>
                <w:color w:val="auto"/>
              </w:rPr>
            </w:pPr>
          </w:p>
        </w:tc>
        <w:tc>
          <w:tcPr>
            <w:tcW w:w="1220" w:type="dxa"/>
            <w:vAlign w:val="bottom"/>
            <w:tcBorders>
              <w:bottom w:val="single" w:sz="8" w:color="3E5C7C"/>
            </w:tcBorders>
          </w:tcPr>
          <w:p>
            <w:pPr>
              <w:spacing w:after="0"/>
              <w:rPr>
                <w:sz w:val="6"/>
                <w:szCs w:val="6"/>
                <w:color w:val="auto"/>
              </w:rPr>
            </w:pPr>
          </w:p>
        </w:tc>
        <w:tc>
          <w:tcPr>
            <w:tcW w:w="100" w:type="dxa"/>
            <w:vAlign w:val="bottom"/>
            <w:tcBorders>
              <w:bottom w:val="single" w:sz="8" w:color="3E5C7C"/>
            </w:tcBorders>
          </w:tcPr>
          <w:p>
            <w:pPr>
              <w:spacing w:after="0"/>
              <w:rPr>
                <w:sz w:val="6"/>
                <w:szCs w:val="6"/>
                <w:color w:val="auto"/>
              </w:rPr>
            </w:pPr>
          </w:p>
        </w:tc>
        <w:tc>
          <w:tcPr>
            <w:tcW w:w="1680" w:type="dxa"/>
            <w:vAlign w:val="bottom"/>
            <w:tcBorders>
              <w:bottom w:val="single" w:sz="8" w:color="3E5C7C"/>
            </w:tcBorders>
          </w:tcPr>
          <w:p>
            <w:pPr>
              <w:spacing w:after="0"/>
              <w:rPr>
                <w:sz w:val="6"/>
                <w:szCs w:val="6"/>
                <w:color w:val="auto"/>
              </w:rPr>
            </w:pPr>
          </w:p>
        </w:tc>
        <w:tc>
          <w:tcPr>
            <w:tcW w:w="1600" w:type="dxa"/>
            <w:vAlign w:val="bottom"/>
            <w:tcBorders>
              <w:bottom w:val="single" w:sz="8" w:color="3E5C7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40" w:hanging="332"/>
        <w:spacing w:after="0" w:line="272" w:lineRule="auto"/>
        <w:tabs>
          <w:tab w:leader="none" w:pos="340" w:val="left"/>
        </w:tabs>
        <w:numPr>
          <w:ilvl w:val="0"/>
          <w:numId w:val="55"/>
        </w:numPr>
        <w:rPr>
          <w:rFonts w:ascii="Arial" w:cs="Arial" w:eastAsia="Arial" w:hAnsi="Arial"/>
          <w:sz w:val="14"/>
          <w:szCs w:val="14"/>
          <w:color w:val="29292B"/>
        </w:rPr>
      </w:pPr>
      <w:r>
        <w:rPr>
          <w:rFonts w:ascii="Arial" w:cs="Arial" w:eastAsia="Arial" w:hAnsi="Arial"/>
          <w:sz w:val="14"/>
          <w:szCs w:val="14"/>
          <w:color w:val="29292B"/>
        </w:rPr>
        <w:t>Represents exercisable or unexercisable SARs that vest in three equal annual installments beginning on the first anniversary of the grant date, except for the Premium SARs granted to Mr. Katz and Ms. Lynch on September 25, 2020 which vested in full on the first anniversary of the grant date. Upon the exercise of a SAR, the actual number of shares the Company will issue to the NEO is equal to the quotient of (i) the product of (x) the excess of the per share fair market value of our common stock on the date of exercise over the exercise price, multiplied by (y) the number of SARs exercised, divided by (ii) the per share fair market value of our common stock on the date of exercise, less any shares withheld to cover payment of applicable tax withholding obligations.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63</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color w:val="29292B"/>
        </w:rPr>
      </w:pPr>
      <w:r>
        <w:rPr>
          <w:rFonts w:ascii="Arial" w:cs="Arial" w:eastAsia="Arial" w:hAnsi="Arial"/>
          <w:sz w:val="14"/>
          <w:szCs w:val="14"/>
          <w:color w:val="29292B"/>
        </w:rPr>
        <w:t>The grant dates and vesting dates of each unexercisable SAR award as of July 31, 2024 are as follows:</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1220" w:type="dxa"/>
            <w:vAlign w:val="bottom"/>
            <w:shd w:val="clear" w:color="auto" w:fill="98BDE2"/>
          </w:tcPr>
          <w:p>
            <w:pPr>
              <w:spacing w:after="0"/>
              <w:rPr>
                <w:sz w:val="16"/>
                <w:szCs w:val="16"/>
                <w:color w:val="auto"/>
              </w:rPr>
            </w:pPr>
          </w:p>
        </w:tc>
        <w:tc>
          <w:tcPr>
            <w:tcW w:w="134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Number of</w:t>
            </w:r>
          </w:p>
        </w:tc>
        <w:tc>
          <w:tcPr>
            <w:tcW w:w="1640" w:type="dxa"/>
            <w:vAlign w:val="bottom"/>
            <w:shd w:val="clear" w:color="auto" w:fill="98BDE2"/>
          </w:tcPr>
          <w:p>
            <w:pPr>
              <w:spacing w:after="0"/>
              <w:rPr>
                <w:sz w:val="16"/>
                <w:szCs w:val="16"/>
                <w:color w:val="auto"/>
              </w:rPr>
            </w:pPr>
          </w:p>
        </w:tc>
        <w:tc>
          <w:tcPr>
            <w:tcW w:w="4280" w:type="dxa"/>
            <w:vAlign w:val="bottom"/>
            <w:shd w:val="clear" w:color="auto" w:fill="98BDE2"/>
          </w:tcPr>
          <w:p>
            <w:pPr>
              <w:spacing w:after="0"/>
              <w:rPr>
                <w:sz w:val="16"/>
                <w:szCs w:val="16"/>
                <w:color w:val="auto"/>
              </w:rPr>
            </w:pPr>
          </w:p>
        </w:tc>
        <w:tc>
          <w:tcPr>
            <w:tcW w:w="1960" w:type="dxa"/>
            <w:vAlign w:val="bottom"/>
            <w:shd w:val="clear" w:color="auto" w:fill="98BDE2"/>
          </w:tcPr>
          <w:p>
            <w:pPr>
              <w:jc w:val="center"/>
              <w:ind w:right="108"/>
              <w:spacing w:after="0"/>
              <w:rPr>
                <w:sz w:val="20"/>
                <w:szCs w:val="20"/>
                <w:color w:val="auto"/>
              </w:rPr>
            </w:pPr>
            <w:r>
              <w:rPr>
                <w:rFonts w:ascii="Arial" w:cs="Arial" w:eastAsia="Arial" w:hAnsi="Arial"/>
                <w:sz w:val="14"/>
                <w:szCs w:val="14"/>
                <w:b w:val="1"/>
                <w:bCs w:val="1"/>
                <w:color w:val="032E5C"/>
              </w:rPr>
              <w:t>Vesting Date</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1220" w:type="dxa"/>
            <w:vAlign w:val="bottom"/>
            <w:shd w:val="clear" w:color="auto" w:fill="98BDE2"/>
          </w:tcPr>
          <w:p>
            <w:pPr>
              <w:spacing w:after="0"/>
              <w:rPr>
                <w:sz w:val="14"/>
                <w:szCs w:val="14"/>
                <w:color w:val="auto"/>
              </w:rPr>
            </w:pPr>
          </w:p>
        </w:tc>
        <w:tc>
          <w:tcPr>
            <w:tcW w:w="134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Unexercisble</w:t>
            </w:r>
          </w:p>
        </w:tc>
        <w:tc>
          <w:tcPr>
            <w:tcW w:w="1640" w:type="dxa"/>
            <w:vAlign w:val="bottom"/>
            <w:shd w:val="clear" w:color="auto" w:fill="98BDE2"/>
          </w:tcPr>
          <w:p>
            <w:pPr>
              <w:spacing w:after="0"/>
              <w:rPr>
                <w:sz w:val="14"/>
                <w:szCs w:val="14"/>
                <w:color w:val="auto"/>
              </w:rPr>
            </w:pPr>
          </w:p>
        </w:tc>
        <w:tc>
          <w:tcPr>
            <w:tcW w:w="4280" w:type="dxa"/>
            <w:vAlign w:val="bottom"/>
            <w:shd w:val="clear" w:color="auto" w:fill="98BDE2"/>
          </w:tcPr>
          <w:p>
            <w:pPr>
              <w:spacing w:after="0"/>
              <w:rPr>
                <w:sz w:val="14"/>
                <w:szCs w:val="14"/>
                <w:color w:val="auto"/>
              </w:rPr>
            </w:pPr>
          </w:p>
        </w:tc>
        <w:tc>
          <w:tcPr>
            <w:tcW w:w="1960" w:type="dxa"/>
            <w:vAlign w:val="bottom"/>
            <w:shd w:val="clear" w:color="auto" w:fill="98BDE2"/>
          </w:tcPr>
          <w:p>
            <w:pPr>
              <w:jc w:val="center"/>
              <w:ind w:right="128"/>
              <w:spacing w:after="0"/>
              <w:rPr>
                <w:sz w:val="20"/>
                <w:szCs w:val="20"/>
                <w:color w:val="auto"/>
              </w:rPr>
            </w:pPr>
            <w:r>
              <w:rPr>
                <w:rFonts w:ascii="Arial" w:cs="Arial" w:eastAsia="Arial" w:hAnsi="Arial"/>
                <w:sz w:val="14"/>
                <w:szCs w:val="14"/>
                <w:b w:val="1"/>
                <w:bCs w:val="1"/>
                <w:color w:val="032E5C"/>
              </w:rPr>
              <w:t>(date award is</w:t>
            </w:r>
          </w:p>
        </w:tc>
        <w:tc>
          <w:tcPr>
            <w:tcW w:w="0" w:type="dxa"/>
            <w:vAlign w:val="bottom"/>
          </w:tcPr>
          <w:p>
            <w:pPr>
              <w:spacing w:after="0"/>
              <w:rPr>
                <w:sz w:val="1"/>
                <w:szCs w:val="1"/>
                <w:color w:val="auto"/>
              </w:rPr>
            </w:pPr>
          </w:p>
        </w:tc>
      </w:tr>
      <w:tr>
        <w:trPr>
          <w:trHeight w:val="196"/>
        </w:trPr>
        <w:tc>
          <w:tcPr>
            <w:tcW w:w="80" w:type="dxa"/>
            <w:vAlign w:val="bottom"/>
            <w:shd w:val="clear" w:color="auto" w:fill="98BDE2"/>
          </w:tcPr>
          <w:p>
            <w:pPr>
              <w:spacing w:after="0"/>
              <w:rPr>
                <w:sz w:val="17"/>
                <w:szCs w:val="17"/>
                <w:color w:val="auto"/>
              </w:rPr>
            </w:pPr>
          </w:p>
        </w:tc>
        <w:tc>
          <w:tcPr>
            <w:tcW w:w="122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134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SARs</w:t>
            </w:r>
          </w:p>
        </w:tc>
        <w:tc>
          <w:tcPr>
            <w:tcW w:w="164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Grant Date</w:t>
            </w:r>
          </w:p>
        </w:tc>
        <w:tc>
          <w:tcPr>
            <w:tcW w:w="4280" w:type="dxa"/>
            <w:vAlign w:val="bottom"/>
            <w:shd w:val="clear" w:color="auto" w:fill="98BDE2"/>
          </w:tcPr>
          <w:p>
            <w:pPr>
              <w:ind w:left="180"/>
              <w:spacing w:after="0"/>
              <w:rPr>
                <w:sz w:val="20"/>
                <w:szCs w:val="20"/>
                <w:color w:val="auto"/>
              </w:rPr>
            </w:pPr>
            <w:r>
              <w:rPr>
                <w:rFonts w:ascii="Arial" w:cs="Arial" w:eastAsia="Arial" w:hAnsi="Arial"/>
                <w:sz w:val="14"/>
                <w:szCs w:val="14"/>
                <w:b w:val="1"/>
                <w:bCs w:val="1"/>
                <w:color w:val="032E5C"/>
              </w:rPr>
              <w:t>Vesting Schedule of Original Total Grant</w:t>
            </w:r>
          </w:p>
        </w:tc>
        <w:tc>
          <w:tcPr>
            <w:tcW w:w="1960" w:type="dxa"/>
            <w:vAlign w:val="bottom"/>
            <w:shd w:val="clear" w:color="auto" w:fill="98BDE2"/>
          </w:tcPr>
          <w:p>
            <w:pPr>
              <w:jc w:val="center"/>
              <w:ind w:right="108"/>
              <w:spacing w:after="0"/>
              <w:rPr>
                <w:sz w:val="20"/>
                <w:szCs w:val="20"/>
                <w:color w:val="auto"/>
              </w:rPr>
            </w:pPr>
            <w:r>
              <w:rPr>
                <w:rFonts w:ascii="Arial" w:cs="Arial" w:eastAsia="Arial" w:hAnsi="Arial"/>
                <w:sz w:val="14"/>
                <w:szCs w:val="14"/>
                <w:b w:val="1"/>
                <w:bCs w:val="1"/>
                <w:color w:val="032E5C"/>
              </w:rPr>
              <w:t>vested in full)</w:t>
            </w:r>
          </w:p>
        </w:tc>
        <w:tc>
          <w:tcPr>
            <w:tcW w:w="0" w:type="dxa"/>
            <w:vAlign w:val="bottom"/>
          </w:tcPr>
          <w:p>
            <w:pPr>
              <w:spacing w:after="0"/>
              <w:rPr>
                <w:sz w:val="1"/>
                <w:szCs w:val="1"/>
                <w:color w:val="auto"/>
              </w:rPr>
            </w:pPr>
          </w:p>
        </w:tc>
      </w:tr>
      <w:tr>
        <w:trPr>
          <w:trHeight w:val="69"/>
        </w:trPr>
        <w:tc>
          <w:tcPr>
            <w:tcW w:w="80" w:type="dxa"/>
            <w:vAlign w:val="bottom"/>
            <w:shd w:val="clear" w:color="auto" w:fill="98BDE2"/>
          </w:tcPr>
          <w:p>
            <w:pPr>
              <w:spacing w:after="0"/>
              <w:rPr>
                <w:sz w:val="6"/>
                <w:szCs w:val="6"/>
                <w:color w:val="auto"/>
              </w:rPr>
            </w:pPr>
          </w:p>
        </w:tc>
        <w:tc>
          <w:tcPr>
            <w:tcW w:w="1220" w:type="dxa"/>
            <w:vAlign w:val="bottom"/>
            <w:shd w:val="clear" w:color="auto" w:fill="98BDE2"/>
          </w:tcPr>
          <w:p>
            <w:pPr>
              <w:spacing w:after="0"/>
              <w:rPr>
                <w:sz w:val="6"/>
                <w:szCs w:val="6"/>
                <w:color w:val="auto"/>
              </w:rPr>
            </w:pPr>
          </w:p>
        </w:tc>
        <w:tc>
          <w:tcPr>
            <w:tcW w:w="1340" w:type="dxa"/>
            <w:vAlign w:val="bottom"/>
            <w:shd w:val="clear" w:color="auto" w:fill="98BDE2"/>
          </w:tcPr>
          <w:p>
            <w:pPr>
              <w:spacing w:after="0"/>
              <w:rPr>
                <w:sz w:val="6"/>
                <w:szCs w:val="6"/>
                <w:color w:val="auto"/>
              </w:rPr>
            </w:pPr>
          </w:p>
        </w:tc>
        <w:tc>
          <w:tcPr>
            <w:tcW w:w="1640" w:type="dxa"/>
            <w:vAlign w:val="bottom"/>
            <w:shd w:val="clear" w:color="auto" w:fill="98BDE2"/>
          </w:tcPr>
          <w:p>
            <w:pPr>
              <w:spacing w:after="0"/>
              <w:rPr>
                <w:sz w:val="6"/>
                <w:szCs w:val="6"/>
                <w:color w:val="auto"/>
              </w:rPr>
            </w:pPr>
          </w:p>
        </w:tc>
        <w:tc>
          <w:tcPr>
            <w:tcW w:w="4280" w:type="dxa"/>
            <w:vAlign w:val="bottom"/>
            <w:shd w:val="clear" w:color="auto" w:fill="98BDE2"/>
          </w:tcPr>
          <w:p>
            <w:pPr>
              <w:spacing w:after="0"/>
              <w:rPr>
                <w:sz w:val="6"/>
                <w:szCs w:val="6"/>
                <w:color w:val="auto"/>
              </w:rPr>
            </w:pPr>
          </w:p>
        </w:tc>
        <w:tc>
          <w:tcPr>
            <w:tcW w:w="196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8,425</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24, 2021</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24, 2024</w:t>
            </w:r>
          </w:p>
        </w:tc>
        <w:tc>
          <w:tcPr>
            <w:tcW w:w="0" w:type="dxa"/>
            <w:vAlign w:val="bottom"/>
          </w:tcPr>
          <w:p>
            <w:pPr>
              <w:spacing w:after="0"/>
              <w:rPr>
                <w:sz w:val="1"/>
                <w:szCs w:val="1"/>
                <w:color w:val="auto"/>
              </w:rPr>
            </w:pPr>
          </w:p>
        </w:tc>
      </w:tr>
      <w:tr>
        <w:trPr>
          <w:trHeight w:val="109"/>
        </w:trPr>
        <w:tc>
          <w:tcPr>
            <w:tcW w:w="80" w:type="dxa"/>
            <w:vAlign w:val="bottom"/>
            <w:shd w:val="clear" w:color="auto" w:fill="F3EFE9"/>
          </w:tcPr>
          <w:p>
            <w:pPr>
              <w:spacing w:after="0"/>
              <w:rPr>
                <w:sz w:val="9"/>
                <w:szCs w:val="9"/>
                <w:color w:val="auto"/>
              </w:rPr>
            </w:pPr>
          </w:p>
        </w:tc>
        <w:tc>
          <w:tcPr>
            <w:tcW w:w="1220" w:type="dxa"/>
            <w:vAlign w:val="bottom"/>
            <w:shd w:val="clear" w:color="auto" w:fill="F3EFE9"/>
          </w:tcPr>
          <w:p>
            <w:pPr>
              <w:spacing w:after="0"/>
              <w:rPr>
                <w:sz w:val="9"/>
                <w:szCs w:val="9"/>
                <w:color w:val="auto"/>
              </w:rPr>
            </w:pPr>
          </w:p>
        </w:tc>
        <w:tc>
          <w:tcPr>
            <w:tcW w:w="13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F3EFE9"/>
          </w:tcPr>
          <w:p>
            <w:pPr>
              <w:spacing w:after="0"/>
              <w:rPr>
                <w:sz w:val="7"/>
                <w:szCs w:val="7"/>
                <w:color w:val="auto"/>
              </w:rPr>
            </w:pPr>
          </w:p>
        </w:tc>
        <w:tc>
          <w:tcPr>
            <w:tcW w:w="1220" w:type="dxa"/>
            <w:vAlign w:val="bottom"/>
            <w:shd w:val="clear" w:color="auto" w:fill="F3EFE9"/>
          </w:tcPr>
          <w:p>
            <w:pPr>
              <w:spacing w:after="0"/>
              <w:rPr>
                <w:sz w:val="7"/>
                <w:szCs w:val="7"/>
                <w:color w:val="auto"/>
              </w:rPr>
            </w:pPr>
          </w:p>
        </w:tc>
        <w:tc>
          <w:tcPr>
            <w:tcW w:w="1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F3EFE9"/>
            </w:tcBorders>
            <w:shd w:val="clear" w:color="auto" w:fill="F3EFE9"/>
          </w:tcPr>
          <w:p>
            <w:pPr>
              <w:spacing w:after="0"/>
              <w:rPr>
                <w:sz w:val="3"/>
                <w:szCs w:val="3"/>
                <w:color w:val="auto"/>
              </w:rPr>
            </w:pPr>
          </w:p>
        </w:tc>
        <w:tc>
          <w:tcPr>
            <w:tcW w:w="1220" w:type="dxa"/>
            <w:vAlign w:val="bottom"/>
            <w:tcBorders>
              <w:bottom w:val="single" w:sz="8" w:color="F3EFE9"/>
            </w:tcBorders>
            <w:shd w:val="clear" w:color="auto" w:fill="F3EFE9"/>
          </w:tcPr>
          <w:p>
            <w:pPr>
              <w:spacing w:after="0"/>
              <w:rPr>
                <w:sz w:val="3"/>
                <w:szCs w:val="3"/>
                <w:color w:val="auto"/>
              </w:rPr>
            </w:pPr>
          </w:p>
        </w:tc>
        <w:tc>
          <w:tcPr>
            <w:tcW w:w="1340" w:type="dxa"/>
            <w:vAlign w:val="bottom"/>
            <w:tcBorders>
              <w:bottom w:val="single" w:sz="8" w:color="98BDE2"/>
            </w:tcBorders>
          </w:tcPr>
          <w:p>
            <w:pPr>
              <w:spacing w:after="0"/>
              <w:rPr>
                <w:sz w:val="3"/>
                <w:szCs w:val="3"/>
                <w:color w:val="auto"/>
              </w:rPr>
            </w:pPr>
          </w:p>
        </w:tc>
        <w:tc>
          <w:tcPr>
            <w:tcW w:w="1640" w:type="dxa"/>
            <w:vAlign w:val="bottom"/>
            <w:tcBorders>
              <w:bottom w:val="single" w:sz="8" w:color="98BDE2"/>
            </w:tcBorders>
          </w:tcPr>
          <w:p>
            <w:pPr>
              <w:spacing w:after="0"/>
              <w:rPr>
                <w:sz w:val="3"/>
                <w:szCs w:val="3"/>
                <w:color w:val="auto"/>
              </w:rPr>
            </w:pPr>
          </w:p>
        </w:tc>
        <w:tc>
          <w:tcPr>
            <w:tcW w:w="4280" w:type="dxa"/>
            <w:vAlign w:val="bottom"/>
            <w:tcBorders>
              <w:bottom w:val="single" w:sz="8" w:color="98BDE2"/>
            </w:tcBorders>
          </w:tcPr>
          <w:p>
            <w:pPr>
              <w:spacing w:after="0"/>
              <w:rPr>
                <w:sz w:val="3"/>
                <w:szCs w:val="3"/>
                <w:color w:val="auto"/>
              </w:rPr>
            </w:pPr>
          </w:p>
        </w:tc>
        <w:tc>
          <w:tcPr>
            <w:tcW w:w="1960" w:type="dxa"/>
            <w:vAlign w:val="bottom"/>
            <w:tcBorders>
              <w:bottom w:val="single" w:sz="8" w:color="98BDE2"/>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Kirsten A. Lynch</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31,417</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2022</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2025</w:t>
            </w:r>
          </w:p>
        </w:tc>
        <w:tc>
          <w:tcPr>
            <w:tcW w:w="0" w:type="dxa"/>
            <w:vAlign w:val="bottom"/>
          </w:tcPr>
          <w:p>
            <w:pPr>
              <w:spacing w:after="0"/>
              <w:rPr>
                <w:sz w:val="1"/>
                <w:szCs w:val="1"/>
                <w:color w:val="auto"/>
              </w:rPr>
            </w:pPr>
          </w:p>
        </w:tc>
      </w:tr>
      <w:tr>
        <w:trPr>
          <w:trHeight w:val="102"/>
        </w:trPr>
        <w:tc>
          <w:tcPr>
            <w:tcW w:w="80" w:type="dxa"/>
            <w:vAlign w:val="bottom"/>
            <w:shd w:val="clear" w:color="auto" w:fill="F3EFE9"/>
          </w:tcPr>
          <w:p>
            <w:pPr>
              <w:spacing w:after="0"/>
              <w:rPr>
                <w:sz w:val="8"/>
                <w:szCs w:val="8"/>
                <w:color w:val="auto"/>
              </w:rPr>
            </w:pPr>
          </w:p>
        </w:tc>
        <w:tc>
          <w:tcPr>
            <w:tcW w:w="1220" w:type="dxa"/>
            <w:vAlign w:val="bottom"/>
            <w:vMerge w:val="continue"/>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0" w:type="dxa"/>
            <w:vAlign w:val="bottom"/>
            <w:shd w:val="clear" w:color="auto" w:fill="F3EFE9"/>
          </w:tcPr>
          <w:p>
            <w:pPr>
              <w:spacing w:after="0"/>
              <w:rPr>
                <w:sz w:val="7"/>
                <w:szCs w:val="7"/>
                <w:color w:val="auto"/>
              </w:rPr>
            </w:pPr>
          </w:p>
        </w:tc>
        <w:tc>
          <w:tcPr>
            <w:tcW w:w="1220" w:type="dxa"/>
            <w:vAlign w:val="bottom"/>
            <w:shd w:val="clear" w:color="auto" w:fill="F3EFE9"/>
          </w:tcPr>
          <w:p>
            <w:pPr>
              <w:spacing w:after="0"/>
              <w:rPr>
                <w:sz w:val="7"/>
                <w:szCs w:val="7"/>
                <w:color w:val="auto"/>
              </w:rPr>
            </w:pPr>
          </w:p>
        </w:tc>
        <w:tc>
          <w:tcPr>
            <w:tcW w:w="1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44,111</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F3EFE9"/>
            </w:tcBorders>
            <w:shd w:val="clear" w:color="auto" w:fill="F3EFE9"/>
          </w:tcPr>
          <w:p>
            <w:pPr>
              <w:spacing w:after="0"/>
              <w:rPr>
                <w:sz w:val="10"/>
                <w:szCs w:val="10"/>
                <w:color w:val="auto"/>
              </w:rPr>
            </w:pPr>
          </w:p>
        </w:tc>
        <w:tc>
          <w:tcPr>
            <w:tcW w:w="1220" w:type="dxa"/>
            <w:vAlign w:val="bottom"/>
            <w:tcBorders>
              <w:bottom w:val="single" w:sz="8" w:color="F3EFE9"/>
            </w:tcBorders>
            <w:shd w:val="clear" w:color="auto" w:fill="F3EFE9"/>
          </w:tcPr>
          <w:p>
            <w:pPr>
              <w:spacing w:after="0"/>
              <w:rPr>
                <w:sz w:val="10"/>
                <w:szCs w:val="10"/>
                <w:color w:val="auto"/>
              </w:rPr>
            </w:pPr>
          </w:p>
        </w:tc>
        <w:tc>
          <w:tcPr>
            <w:tcW w:w="1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top w:val="single" w:sz="8" w:color="98BDE2"/>
            </w:tcBorders>
            <w:shd w:val="clear" w:color="auto" w:fill="F3EFE9"/>
          </w:tcPr>
          <w:p>
            <w:pPr>
              <w:spacing w:after="0"/>
              <w:rPr>
                <w:sz w:val="16"/>
                <w:szCs w:val="16"/>
                <w:color w:val="auto"/>
              </w:rPr>
            </w:pPr>
          </w:p>
        </w:tc>
        <w:tc>
          <w:tcPr>
            <w:tcW w:w="1220" w:type="dxa"/>
            <w:vAlign w:val="bottom"/>
            <w:tcBorders>
              <w:top w:val="single" w:sz="8" w:color="98BDE2"/>
            </w:tcBorders>
            <w:shd w:val="clear" w:color="auto" w:fill="F3EFE9"/>
          </w:tcPr>
          <w:p>
            <w:pPr>
              <w:spacing w:after="0"/>
              <w:rPr>
                <w:sz w:val="16"/>
                <w:szCs w:val="16"/>
                <w:color w:val="auto"/>
              </w:rPr>
            </w:pPr>
          </w:p>
        </w:tc>
        <w:tc>
          <w:tcPr>
            <w:tcW w:w="1340" w:type="dxa"/>
            <w:vAlign w:val="bottom"/>
            <w:tcBorders>
              <w:top w:val="single" w:sz="8" w:color="98BDE2"/>
            </w:tcBorders>
            <w:vMerge w:val="restart"/>
          </w:tcPr>
          <w:p>
            <w:pPr>
              <w:jc w:val="right"/>
              <w:ind w:right="88"/>
              <w:spacing w:after="0"/>
              <w:rPr>
                <w:sz w:val="20"/>
                <w:szCs w:val="20"/>
                <w:color w:val="auto"/>
              </w:rPr>
            </w:pPr>
            <w:r>
              <w:rPr>
                <w:rFonts w:ascii="Arial" w:cs="Arial" w:eastAsia="Arial" w:hAnsi="Arial"/>
                <w:sz w:val="14"/>
                <w:szCs w:val="14"/>
                <w:color w:val="032E5C"/>
              </w:rPr>
              <w:t>1,686</w:t>
            </w:r>
          </w:p>
        </w:tc>
        <w:tc>
          <w:tcPr>
            <w:tcW w:w="164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September 24, 2021</w:t>
            </w:r>
          </w:p>
        </w:tc>
        <w:tc>
          <w:tcPr>
            <w:tcW w:w="4280" w:type="dxa"/>
            <w:vAlign w:val="bottom"/>
            <w:tcBorders>
              <w:top w:val="single" w:sz="8" w:color="98BDE2"/>
            </w:tcBorders>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tcBorders>
              <w:top w:val="single" w:sz="8" w:color="98BDE2"/>
            </w:tcBorders>
            <w:vMerge w:val="restart"/>
          </w:tcPr>
          <w:p>
            <w:pPr>
              <w:jc w:val="center"/>
              <w:ind w:right="108"/>
              <w:spacing w:after="0"/>
              <w:rPr>
                <w:sz w:val="20"/>
                <w:szCs w:val="20"/>
                <w:color w:val="auto"/>
              </w:rPr>
            </w:pPr>
            <w:r>
              <w:rPr>
                <w:rFonts w:ascii="Arial" w:cs="Arial" w:eastAsia="Arial" w:hAnsi="Arial"/>
                <w:sz w:val="14"/>
                <w:szCs w:val="14"/>
                <w:color w:val="032E5C"/>
              </w:rPr>
              <w:t>September 24, 2024</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6,244</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2022</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2025</w:t>
            </w:r>
          </w:p>
        </w:tc>
        <w:tc>
          <w:tcPr>
            <w:tcW w:w="0" w:type="dxa"/>
            <w:vAlign w:val="bottom"/>
          </w:tcPr>
          <w:p>
            <w:pPr>
              <w:spacing w:after="0"/>
              <w:rPr>
                <w:sz w:val="1"/>
                <w:szCs w:val="1"/>
                <w:color w:val="auto"/>
              </w:rPr>
            </w:pPr>
          </w:p>
        </w:tc>
      </w:tr>
      <w:tr>
        <w:trPr>
          <w:trHeight w:val="102"/>
        </w:trPr>
        <w:tc>
          <w:tcPr>
            <w:tcW w:w="80" w:type="dxa"/>
            <w:vAlign w:val="bottom"/>
            <w:shd w:val="clear" w:color="auto" w:fill="F3EFE9"/>
          </w:tcPr>
          <w:p>
            <w:pPr>
              <w:spacing w:after="0"/>
              <w:rPr>
                <w:sz w:val="8"/>
                <w:szCs w:val="8"/>
                <w:color w:val="auto"/>
              </w:rPr>
            </w:pPr>
          </w:p>
        </w:tc>
        <w:tc>
          <w:tcPr>
            <w:tcW w:w="1220" w:type="dxa"/>
            <w:vAlign w:val="bottom"/>
            <w:vMerge w:val="continue"/>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80" w:type="dxa"/>
            <w:vAlign w:val="bottom"/>
            <w:shd w:val="clear" w:color="auto" w:fill="F3EFE9"/>
          </w:tcPr>
          <w:p>
            <w:pPr>
              <w:spacing w:after="0"/>
              <w:rPr>
                <w:sz w:val="7"/>
                <w:szCs w:val="7"/>
                <w:color w:val="auto"/>
              </w:rPr>
            </w:pPr>
          </w:p>
        </w:tc>
        <w:tc>
          <w:tcPr>
            <w:tcW w:w="1220" w:type="dxa"/>
            <w:vAlign w:val="bottom"/>
            <w:shd w:val="clear" w:color="auto" w:fill="F3EFE9"/>
          </w:tcPr>
          <w:p>
            <w:pPr>
              <w:spacing w:after="0"/>
              <w:rPr>
                <w:sz w:val="7"/>
                <w:szCs w:val="7"/>
                <w:color w:val="auto"/>
              </w:rPr>
            </w:pPr>
          </w:p>
        </w:tc>
        <w:tc>
          <w:tcPr>
            <w:tcW w:w="1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8,849</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F3EFE9"/>
            </w:tcBorders>
            <w:shd w:val="clear" w:color="auto" w:fill="F3EFE9"/>
          </w:tcPr>
          <w:p>
            <w:pPr>
              <w:spacing w:after="0"/>
              <w:rPr>
                <w:sz w:val="10"/>
                <w:szCs w:val="10"/>
                <w:color w:val="auto"/>
              </w:rPr>
            </w:pPr>
          </w:p>
        </w:tc>
        <w:tc>
          <w:tcPr>
            <w:tcW w:w="1220" w:type="dxa"/>
            <w:vAlign w:val="bottom"/>
            <w:tcBorders>
              <w:bottom w:val="single" w:sz="8" w:color="F3EFE9"/>
            </w:tcBorders>
            <w:shd w:val="clear" w:color="auto" w:fill="F3EFE9"/>
          </w:tcPr>
          <w:p>
            <w:pPr>
              <w:spacing w:after="0"/>
              <w:rPr>
                <w:sz w:val="10"/>
                <w:szCs w:val="10"/>
                <w:color w:val="auto"/>
              </w:rPr>
            </w:pPr>
          </w:p>
        </w:tc>
        <w:tc>
          <w:tcPr>
            <w:tcW w:w="1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top w:val="single" w:sz="8" w:color="98BDE2"/>
            </w:tcBorders>
            <w:shd w:val="clear" w:color="auto" w:fill="F3EFE9"/>
          </w:tcPr>
          <w:p>
            <w:pPr>
              <w:spacing w:after="0"/>
              <w:rPr>
                <w:sz w:val="16"/>
                <w:szCs w:val="16"/>
                <w:color w:val="auto"/>
              </w:rPr>
            </w:pPr>
          </w:p>
        </w:tc>
        <w:tc>
          <w:tcPr>
            <w:tcW w:w="1220" w:type="dxa"/>
            <w:vAlign w:val="bottom"/>
            <w:tcBorders>
              <w:top w:val="single" w:sz="8" w:color="98BDE2"/>
            </w:tcBorders>
            <w:shd w:val="clear" w:color="auto" w:fill="F3EFE9"/>
          </w:tcPr>
          <w:p>
            <w:pPr>
              <w:spacing w:after="0"/>
              <w:rPr>
                <w:sz w:val="16"/>
                <w:szCs w:val="16"/>
                <w:color w:val="auto"/>
              </w:rPr>
            </w:pPr>
          </w:p>
        </w:tc>
        <w:tc>
          <w:tcPr>
            <w:tcW w:w="1340" w:type="dxa"/>
            <w:vAlign w:val="bottom"/>
            <w:tcBorders>
              <w:top w:val="single" w:sz="8" w:color="98BDE2"/>
            </w:tcBorders>
            <w:vMerge w:val="restart"/>
          </w:tcPr>
          <w:p>
            <w:pPr>
              <w:jc w:val="right"/>
              <w:ind w:right="88"/>
              <w:spacing w:after="0"/>
              <w:rPr>
                <w:sz w:val="20"/>
                <w:szCs w:val="20"/>
                <w:color w:val="auto"/>
              </w:rPr>
            </w:pPr>
            <w:r>
              <w:rPr>
                <w:rFonts w:ascii="Arial" w:cs="Arial" w:eastAsia="Arial" w:hAnsi="Arial"/>
                <w:sz w:val="14"/>
                <w:szCs w:val="14"/>
                <w:color w:val="032E5C"/>
              </w:rPr>
              <w:t>3,334</w:t>
            </w:r>
          </w:p>
        </w:tc>
        <w:tc>
          <w:tcPr>
            <w:tcW w:w="164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February 1, 2023</w:t>
            </w:r>
          </w:p>
        </w:tc>
        <w:tc>
          <w:tcPr>
            <w:tcW w:w="4280" w:type="dxa"/>
            <w:vAlign w:val="bottom"/>
            <w:tcBorders>
              <w:top w:val="single" w:sz="8" w:color="98BDE2"/>
            </w:tcBorders>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tcBorders>
              <w:top w:val="single" w:sz="8" w:color="98BDE2"/>
            </w:tcBorders>
            <w:vMerge w:val="restart"/>
          </w:tcPr>
          <w:p>
            <w:pPr>
              <w:jc w:val="center"/>
              <w:ind w:right="108"/>
              <w:spacing w:after="0"/>
              <w:rPr>
                <w:sz w:val="20"/>
                <w:szCs w:val="20"/>
                <w:color w:val="auto"/>
              </w:rPr>
            </w:pPr>
            <w:r>
              <w:rPr>
                <w:rFonts w:ascii="Arial" w:cs="Arial" w:eastAsia="Arial" w:hAnsi="Arial"/>
                <w:sz w:val="14"/>
                <w:szCs w:val="14"/>
                <w:color w:val="032E5C"/>
              </w:rPr>
              <w:t>February 1,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F3EFE9"/>
          </w:tcPr>
          <w:p>
            <w:pPr>
              <w:spacing w:after="0"/>
              <w:rPr>
                <w:sz w:val="8"/>
                <w:szCs w:val="8"/>
                <w:color w:val="auto"/>
              </w:rPr>
            </w:pPr>
          </w:p>
        </w:tc>
        <w:tc>
          <w:tcPr>
            <w:tcW w:w="122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vMerge w:val="continue"/>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80" w:type="dxa"/>
            <w:vAlign w:val="bottom"/>
            <w:shd w:val="clear" w:color="auto" w:fill="F3EFE9"/>
          </w:tcPr>
          <w:p>
            <w:pPr>
              <w:spacing w:after="0"/>
              <w:rPr>
                <w:sz w:val="7"/>
                <w:szCs w:val="7"/>
                <w:color w:val="auto"/>
              </w:rPr>
            </w:pPr>
          </w:p>
        </w:tc>
        <w:tc>
          <w:tcPr>
            <w:tcW w:w="1220" w:type="dxa"/>
            <w:vAlign w:val="bottom"/>
            <w:vMerge w:val="continue"/>
            <w:shd w:val="clear" w:color="auto" w:fill="F3EFE9"/>
          </w:tcPr>
          <w:p>
            <w:pPr>
              <w:spacing w:after="0"/>
              <w:rPr>
                <w:sz w:val="7"/>
                <w:szCs w:val="7"/>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11,894</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101"/>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F3EFE9"/>
            </w:tcBorders>
            <w:shd w:val="clear" w:color="auto" w:fill="F3EFE9"/>
          </w:tcPr>
          <w:p>
            <w:pPr>
              <w:spacing w:after="0"/>
              <w:rPr>
                <w:sz w:val="10"/>
                <w:szCs w:val="10"/>
                <w:color w:val="auto"/>
              </w:rPr>
            </w:pPr>
          </w:p>
        </w:tc>
        <w:tc>
          <w:tcPr>
            <w:tcW w:w="1220" w:type="dxa"/>
            <w:vAlign w:val="bottom"/>
            <w:tcBorders>
              <w:bottom w:val="single" w:sz="8" w:color="F3EFE9"/>
            </w:tcBorders>
            <w:shd w:val="clear" w:color="auto" w:fill="F3EFE9"/>
          </w:tcPr>
          <w:p>
            <w:pPr>
              <w:spacing w:after="0"/>
              <w:rPr>
                <w:sz w:val="10"/>
                <w:szCs w:val="10"/>
                <w:color w:val="auto"/>
              </w:rPr>
            </w:pPr>
          </w:p>
        </w:tc>
        <w:tc>
          <w:tcPr>
            <w:tcW w:w="1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top w:val="single" w:sz="8" w:color="98BDE2"/>
            </w:tcBorders>
            <w:shd w:val="clear" w:color="auto" w:fill="F3EFE9"/>
          </w:tcPr>
          <w:p>
            <w:pPr>
              <w:spacing w:after="0"/>
              <w:rPr>
                <w:sz w:val="16"/>
                <w:szCs w:val="16"/>
                <w:color w:val="auto"/>
              </w:rPr>
            </w:pPr>
          </w:p>
        </w:tc>
        <w:tc>
          <w:tcPr>
            <w:tcW w:w="1220" w:type="dxa"/>
            <w:vAlign w:val="bottom"/>
            <w:tcBorders>
              <w:top w:val="single" w:sz="8" w:color="98BDE2"/>
            </w:tcBorders>
            <w:shd w:val="clear" w:color="auto" w:fill="F3EFE9"/>
          </w:tcPr>
          <w:p>
            <w:pPr>
              <w:spacing w:after="0"/>
              <w:rPr>
                <w:sz w:val="16"/>
                <w:szCs w:val="16"/>
                <w:color w:val="auto"/>
              </w:rPr>
            </w:pPr>
          </w:p>
        </w:tc>
        <w:tc>
          <w:tcPr>
            <w:tcW w:w="1340" w:type="dxa"/>
            <w:vAlign w:val="bottom"/>
            <w:tcBorders>
              <w:top w:val="single" w:sz="8" w:color="98BDE2"/>
            </w:tcBorders>
            <w:vMerge w:val="restart"/>
          </w:tcPr>
          <w:p>
            <w:pPr>
              <w:jc w:val="right"/>
              <w:ind w:right="88"/>
              <w:spacing w:after="0"/>
              <w:rPr>
                <w:sz w:val="20"/>
                <w:szCs w:val="20"/>
                <w:color w:val="auto"/>
              </w:rPr>
            </w:pPr>
            <w:r>
              <w:rPr>
                <w:rFonts w:ascii="Arial" w:cs="Arial" w:eastAsia="Arial" w:hAnsi="Arial"/>
                <w:sz w:val="14"/>
                <w:szCs w:val="14"/>
                <w:color w:val="032E5C"/>
              </w:rPr>
              <w:t>843</w:t>
            </w:r>
          </w:p>
        </w:tc>
        <w:tc>
          <w:tcPr>
            <w:tcW w:w="164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September 24, 2021</w:t>
            </w:r>
          </w:p>
        </w:tc>
        <w:tc>
          <w:tcPr>
            <w:tcW w:w="4280" w:type="dxa"/>
            <w:vAlign w:val="bottom"/>
            <w:tcBorders>
              <w:top w:val="single" w:sz="8" w:color="98BDE2"/>
            </w:tcBorders>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tcBorders>
              <w:top w:val="single" w:sz="8" w:color="98BDE2"/>
            </w:tcBorders>
            <w:vMerge w:val="restart"/>
          </w:tcPr>
          <w:p>
            <w:pPr>
              <w:jc w:val="center"/>
              <w:ind w:right="108"/>
              <w:spacing w:after="0"/>
              <w:rPr>
                <w:sz w:val="20"/>
                <w:szCs w:val="20"/>
                <w:color w:val="auto"/>
              </w:rPr>
            </w:pPr>
            <w:r>
              <w:rPr>
                <w:rFonts w:ascii="Arial" w:cs="Arial" w:eastAsia="Arial" w:hAnsi="Arial"/>
                <w:sz w:val="14"/>
                <w:szCs w:val="14"/>
                <w:color w:val="032E5C"/>
              </w:rPr>
              <w:t>September 24, 2024</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William C. Rock</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3,122</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2022</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2025</w:t>
            </w:r>
          </w:p>
        </w:tc>
        <w:tc>
          <w:tcPr>
            <w:tcW w:w="0" w:type="dxa"/>
            <w:vAlign w:val="bottom"/>
          </w:tcPr>
          <w:p>
            <w:pPr>
              <w:spacing w:after="0"/>
              <w:rPr>
                <w:sz w:val="1"/>
                <w:szCs w:val="1"/>
                <w:color w:val="auto"/>
              </w:rPr>
            </w:pPr>
          </w:p>
        </w:tc>
      </w:tr>
      <w:tr>
        <w:trPr>
          <w:trHeight w:val="102"/>
        </w:trPr>
        <w:tc>
          <w:tcPr>
            <w:tcW w:w="80" w:type="dxa"/>
            <w:vAlign w:val="bottom"/>
            <w:shd w:val="clear" w:color="auto" w:fill="F3EFE9"/>
          </w:tcPr>
          <w:p>
            <w:pPr>
              <w:spacing w:after="0"/>
              <w:rPr>
                <w:sz w:val="8"/>
                <w:szCs w:val="8"/>
                <w:color w:val="auto"/>
              </w:rPr>
            </w:pPr>
          </w:p>
        </w:tc>
        <w:tc>
          <w:tcPr>
            <w:tcW w:w="1220" w:type="dxa"/>
            <w:vAlign w:val="bottom"/>
            <w:vMerge w:val="continue"/>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80" w:type="dxa"/>
            <w:vAlign w:val="bottom"/>
            <w:shd w:val="clear" w:color="auto" w:fill="F3EFE9"/>
          </w:tcPr>
          <w:p>
            <w:pPr>
              <w:spacing w:after="0"/>
              <w:rPr>
                <w:sz w:val="7"/>
                <w:szCs w:val="7"/>
                <w:color w:val="auto"/>
              </w:rPr>
            </w:pPr>
          </w:p>
        </w:tc>
        <w:tc>
          <w:tcPr>
            <w:tcW w:w="1220" w:type="dxa"/>
            <w:vAlign w:val="bottom"/>
            <w:shd w:val="clear" w:color="auto" w:fill="F3EFE9"/>
          </w:tcPr>
          <w:p>
            <w:pPr>
              <w:spacing w:after="0"/>
              <w:rPr>
                <w:sz w:val="7"/>
                <w:szCs w:val="7"/>
                <w:color w:val="auto"/>
              </w:rPr>
            </w:pPr>
          </w:p>
        </w:tc>
        <w:tc>
          <w:tcPr>
            <w:tcW w:w="1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8,348</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F3EFE9"/>
            </w:tcBorders>
            <w:shd w:val="clear" w:color="auto" w:fill="F3EFE9"/>
          </w:tcPr>
          <w:p>
            <w:pPr>
              <w:spacing w:after="0"/>
              <w:rPr>
                <w:sz w:val="10"/>
                <w:szCs w:val="10"/>
                <w:color w:val="auto"/>
              </w:rPr>
            </w:pPr>
          </w:p>
        </w:tc>
        <w:tc>
          <w:tcPr>
            <w:tcW w:w="1220" w:type="dxa"/>
            <w:vAlign w:val="bottom"/>
            <w:tcBorders>
              <w:bottom w:val="single" w:sz="8" w:color="F3EFE9"/>
            </w:tcBorders>
            <w:shd w:val="clear" w:color="auto" w:fill="F3EFE9"/>
          </w:tcPr>
          <w:p>
            <w:pPr>
              <w:spacing w:after="0"/>
              <w:rPr>
                <w:sz w:val="10"/>
                <w:szCs w:val="10"/>
                <w:color w:val="auto"/>
              </w:rPr>
            </w:pPr>
          </w:p>
        </w:tc>
        <w:tc>
          <w:tcPr>
            <w:tcW w:w="1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80" w:type="dxa"/>
            <w:vAlign w:val="bottom"/>
            <w:tcBorders>
              <w:top w:val="single" w:sz="8" w:color="98BDE2"/>
              <w:bottom w:val="single" w:sz="8" w:color="98BDE2"/>
            </w:tcBorders>
            <w:shd w:val="clear" w:color="auto" w:fill="F3EFE9"/>
          </w:tcPr>
          <w:p>
            <w:pPr>
              <w:spacing w:after="0"/>
              <w:rPr>
                <w:sz w:val="18"/>
                <w:szCs w:val="18"/>
                <w:color w:val="auto"/>
              </w:rPr>
            </w:pPr>
          </w:p>
        </w:tc>
        <w:tc>
          <w:tcPr>
            <w:tcW w:w="1220" w:type="dxa"/>
            <w:vAlign w:val="bottom"/>
            <w:tcBorders>
              <w:top w:val="single" w:sz="8" w:color="98BDE2"/>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David T. Shapiro</w:t>
            </w:r>
          </w:p>
        </w:tc>
        <w:tc>
          <w:tcPr>
            <w:tcW w:w="1340" w:type="dxa"/>
            <w:vAlign w:val="bottom"/>
            <w:tcBorders>
              <w:top w:val="single" w:sz="8" w:color="98BDE2"/>
              <w:bottom w:val="single" w:sz="8" w:color="98BDE2"/>
            </w:tcBorders>
          </w:tcPr>
          <w:p>
            <w:pPr>
              <w:jc w:val="right"/>
              <w:ind w:right="148"/>
              <w:spacing w:after="0"/>
              <w:rPr>
                <w:sz w:val="20"/>
                <w:szCs w:val="20"/>
                <w:color w:val="auto"/>
              </w:rPr>
            </w:pPr>
            <w:r>
              <w:rPr>
                <w:rFonts w:ascii="Arial" w:cs="Arial" w:eastAsia="Arial" w:hAnsi="Arial"/>
                <w:sz w:val="14"/>
                <w:szCs w:val="14"/>
                <w:color w:val="032E5C"/>
              </w:rPr>
              <w:t>—</w:t>
            </w:r>
          </w:p>
        </w:tc>
        <w:tc>
          <w:tcPr>
            <w:tcW w:w="1640" w:type="dxa"/>
            <w:vAlign w:val="bottom"/>
            <w:tcBorders>
              <w:top w:val="single" w:sz="8" w:color="98BDE2"/>
              <w:bottom w:val="single" w:sz="8" w:color="98BDE2"/>
            </w:tcBorders>
          </w:tcPr>
          <w:p>
            <w:pPr>
              <w:jc w:val="center"/>
              <w:spacing w:after="0"/>
              <w:rPr>
                <w:sz w:val="20"/>
                <w:szCs w:val="20"/>
                <w:color w:val="auto"/>
              </w:rPr>
            </w:pPr>
            <w:r>
              <w:rPr>
                <w:rFonts w:ascii="Arial" w:cs="Arial" w:eastAsia="Arial" w:hAnsi="Arial"/>
                <w:sz w:val="14"/>
                <w:szCs w:val="14"/>
                <w:color w:val="032E5C"/>
              </w:rPr>
              <w:t>—</w:t>
            </w:r>
          </w:p>
        </w:tc>
        <w:tc>
          <w:tcPr>
            <w:tcW w:w="4280" w:type="dxa"/>
            <w:vAlign w:val="bottom"/>
            <w:tcBorders>
              <w:top w:val="single" w:sz="8" w:color="98BDE2"/>
              <w:bottom w:val="single" w:sz="8" w:color="98BDE2"/>
            </w:tcBorders>
          </w:tcPr>
          <w:p>
            <w:pPr>
              <w:ind w:left="180"/>
              <w:spacing w:after="0"/>
              <w:rPr>
                <w:sz w:val="20"/>
                <w:szCs w:val="20"/>
                <w:color w:val="auto"/>
              </w:rPr>
            </w:pPr>
            <w:r>
              <w:rPr>
                <w:rFonts w:ascii="Arial" w:cs="Arial" w:eastAsia="Arial" w:hAnsi="Arial"/>
                <w:sz w:val="14"/>
                <w:szCs w:val="14"/>
                <w:color w:val="032E5C"/>
              </w:rPr>
              <w:t>—</w:t>
            </w:r>
          </w:p>
        </w:tc>
        <w:tc>
          <w:tcPr>
            <w:tcW w:w="1960" w:type="dxa"/>
            <w:vAlign w:val="bottom"/>
            <w:tcBorders>
              <w:top w:val="single" w:sz="8" w:color="98BDE2"/>
              <w:bottom w:val="single" w:sz="8" w:color="98BDE2"/>
            </w:tcBorders>
          </w:tcPr>
          <w:p>
            <w:pPr>
              <w:jc w:val="center"/>
              <w:ind w:right="108"/>
              <w:spacing w:after="0"/>
              <w:rPr>
                <w:sz w:val="20"/>
                <w:szCs w:val="20"/>
                <w:color w:val="auto"/>
              </w:rPr>
            </w:pPr>
            <w:r>
              <w:rPr>
                <w:rFonts w:ascii="Arial" w:cs="Arial" w:eastAsia="Arial" w:hAnsi="Arial"/>
                <w:sz w:val="14"/>
                <w:szCs w:val="14"/>
                <w:color w:val="032E5C"/>
                <w:w w:val="99"/>
              </w:rPr>
              <w:t>—</w:t>
            </w:r>
          </w:p>
        </w:tc>
        <w:tc>
          <w:tcPr>
            <w:tcW w:w="0" w:type="dxa"/>
            <w:vAlign w:val="bottom"/>
          </w:tcPr>
          <w:p>
            <w:pPr>
              <w:spacing w:after="0"/>
              <w:rPr>
                <w:sz w:val="1"/>
                <w:szCs w:val="1"/>
                <w:color w:val="auto"/>
              </w:rPr>
            </w:pPr>
          </w:p>
        </w:tc>
      </w:tr>
      <w:tr>
        <w:trPr>
          <w:trHeight w:val="193"/>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632</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24, 2021</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24, 2024</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Gregory J.</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2,585</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2022</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2025</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Sullivan</w:t>
            </w: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80" w:type="dxa"/>
            <w:vAlign w:val="bottom"/>
            <w:tcBorders>
              <w:bottom w:val="single" w:sz="8" w:color="F3EFE9"/>
            </w:tcBorders>
            <w:shd w:val="clear" w:color="auto" w:fill="F3EFE9"/>
          </w:tcPr>
          <w:p>
            <w:pPr>
              <w:spacing w:after="0"/>
              <w:rPr>
                <w:sz w:val="9"/>
                <w:szCs w:val="9"/>
                <w:color w:val="auto"/>
              </w:rPr>
            </w:pPr>
          </w:p>
        </w:tc>
        <w:tc>
          <w:tcPr>
            <w:tcW w:w="1220" w:type="dxa"/>
            <w:vAlign w:val="bottom"/>
            <w:tcBorders>
              <w:bottom w:val="single" w:sz="8" w:color="F3EFE9"/>
            </w:tcBorders>
            <w:vMerge w:val="continue"/>
            <w:shd w:val="clear" w:color="auto" w:fill="F3EFE9"/>
          </w:tcPr>
          <w:p>
            <w:pPr>
              <w:spacing w:after="0"/>
              <w:rPr>
                <w:sz w:val="9"/>
                <w:szCs w:val="9"/>
                <w:color w:val="auto"/>
              </w:rPr>
            </w:pPr>
          </w:p>
        </w:tc>
        <w:tc>
          <w:tcPr>
            <w:tcW w:w="1340" w:type="dxa"/>
            <w:vAlign w:val="bottom"/>
            <w:tcBorders>
              <w:bottom w:val="single" w:sz="8" w:color="98BDE2"/>
            </w:tcBorders>
          </w:tcPr>
          <w:p>
            <w:pPr>
              <w:spacing w:after="0"/>
              <w:rPr>
                <w:sz w:val="9"/>
                <w:szCs w:val="9"/>
                <w:color w:val="auto"/>
              </w:rPr>
            </w:pPr>
          </w:p>
        </w:tc>
        <w:tc>
          <w:tcPr>
            <w:tcW w:w="1640" w:type="dxa"/>
            <w:vAlign w:val="bottom"/>
            <w:tcBorders>
              <w:bottom w:val="single" w:sz="8" w:color="98BDE2"/>
            </w:tcBorders>
          </w:tcPr>
          <w:p>
            <w:pPr>
              <w:spacing w:after="0"/>
              <w:rPr>
                <w:sz w:val="9"/>
                <w:szCs w:val="9"/>
                <w:color w:val="auto"/>
              </w:rPr>
            </w:pPr>
          </w:p>
        </w:tc>
        <w:tc>
          <w:tcPr>
            <w:tcW w:w="4280" w:type="dxa"/>
            <w:vAlign w:val="bottom"/>
            <w:tcBorders>
              <w:bottom w:val="single" w:sz="8" w:color="98BDE2"/>
            </w:tcBorders>
            <w:vMerge w:val="continue"/>
          </w:tcPr>
          <w:p>
            <w:pPr>
              <w:spacing w:after="0"/>
              <w:rPr>
                <w:sz w:val="9"/>
                <w:szCs w:val="9"/>
                <w:color w:val="auto"/>
              </w:rPr>
            </w:pPr>
          </w:p>
        </w:tc>
        <w:tc>
          <w:tcPr>
            <w:tcW w:w="1960" w:type="dxa"/>
            <w:vAlign w:val="bottom"/>
            <w:tcBorders>
              <w:bottom w:val="single" w:sz="8" w:color="98BDE2"/>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3,663</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F3EFE9"/>
            </w:tcBorders>
            <w:shd w:val="clear" w:color="auto" w:fill="F3EFE9"/>
          </w:tcPr>
          <w:p>
            <w:pPr>
              <w:spacing w:after="0"/>
              <w:rPr>
                <w:sz w:val="8"/>
                <w:szCs w:val="8"/>
                <w:color w:val="auto"/>
              </w:rPr>
            </w:pPr>
          </w:p>
        </w:tc>
        <w:tc>
          <w:tcPr>
            <w:tcW w:w="1220" w:type="dxa"/>
            <w:vAlign w:val="bottom"/>
            <w:tcBorders>
              <w:bottom w:val="single" w:sz="8" w:color="F3EFE9"/>
            </w:tcBorders>
            <w:shd w:val="clear" w:color="auto" w:fill="F3EFE9"/>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80" w:type="dxa"/>
            <w:vAlign w:val="bottom"/>
            <w:shd w:val="clear" w:color="auto" w:fill="3E5C7C"/>
          </w:tcPr>
          <w:p>
            <w:pPr>
              <w:spacing w:after="0"/>
              <w:rPr>
                <w:sz w:val="2"/>
                <w:szCs w:val="2"/>
                <w:color w:val="auto"/>
              </w:rPr>
            </w:pPr>
          </w:p>
        </w:tc>
        <w:tc>
          <w:tcPr>
            <w:tcW w:w="1220" w:type="dxa"/>
            <w:vAlign w:val="bottom"/>
            <w:shd w:val="clear" w:color="auto" w:fill="3E5C7C"/>
          </w:tcPr>
          <w:p>
            <w:pPr>
              <w:spacing w:after="0"/>
              <w:rPr>
                <w:sz w:val="2"/>
                <w:szCs w:val="2"/>
                <w:color w:val="auto"/>
              </w:rPr>
            </w:pPr>
          </w:p>
        </w:tc>
        <w:tc>
          <w:tcPr>
            <w:tcW w:w="1340" w:type="dxa"/>
            <w:vAlign w:val="bottom"/>
            <w:shd w:val="clear" w:color="auto" w:fill="3E5C7C"/>
          </w:tcPr>
          <w:p>
            <w:pPr>
              <w:spacing w:after="0"/>
              <w:rPr>
                <w:sz w:val="2"/>
                <w:szCs w:val="2"/>
                <w:color w:val="auto"/>
              </w:rPr>
            </w:pPr>
          </w:p>
        </w:tc>
        <w:tc>
          <w:tcPr>
            <w:tcW w:w="1640" w:type="dxa"/>
            <w:vAlign w:val="bottom"/>
            <w:shd w:val="clear" w:color="auto" w:fill="3E5C7C"/>
          </w:tcPr>
          <w:p>
            <w:pPr>
              <w:spacing w:after="0"/>
              <w:rPr>
                <w:sz w:val="2"/>
                <w:szCs w:val="2"/>
                <w:color w:val="auto"/>
              </w:rPr>
            </w:pPr>
          </w:p>
        </w:tc>
        <w:tc>
          <w:tcPr>
            <w:tcW w:w="4280" w:type="dxa"/>
            <w:vAlign w:val="bottom"/>
            <w:shd w:val="clear" w:color="auto" w:fill="3E5C7C"/>
          </w:tcPr>
          <w:p>
            <w:pPr>
              <w:spacing w:after="0"/>
              <w:rPr>
                <w:sz w:val="2"/>
                <w:szCs w:val="2"/>
                <w:color w:val="auto"/>
              </w:rPr>
            </w:pPr>
          </w:p>
        </w:tc>
        <w:tc>
          <w:tcPr>
            <w:tcW w:w="1960" w:type="dxa"/>
            <w:vAlign w:val="bottom"/>
            <w:shd w:val="clear" w:color="auto" w:fill="3E5C7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right="120" w:hanging="332"/>
        <w:spacing w:after="0" w:line="267" w:lineRule="auto"/>
        <w:tabs>
          <w:tab w:leader="none" w:pos="340" w:val="left"/>
        </w:tabs>
        <w:numPr>
          <w:ilvl w:val="0"/>
          <w:numId w:val="57"/>
        </w:numPr>
        <w:rPr>
          <w:rFonts w:ascii="Arial" w:cs="Arial" w:eastAsia="Arial" w:hAnsi="Arial"/>
          <w:sz w:val="14"/>
          <w:szCs w:val="14"/>
          <w:color w:val="29292B"/>
        </w:rPr>
      </w:pPr>
      <w:r>
        <w:rPr>
          <w:rFonts w:ascii="Arial" w:cs="Arial" w:eastAsia="Arial" w:hAnsi="Arial"/>
          <w:sz w:val="14"/>
          <w:szCs w:val="14"/>
          <w:color w:val="29292B"/>
        </w:rPr>
        <w:t>The exercise price of each SAR is equal to the closing price of our common stock on the grant date, except for: the Premium SARs granted to Ms. Lynch with an exercise price of $387.04, $234.91, and $244.08, which is equal to 110% of the closing price of our common stock on the grant date; the Premium SARs granted to Mr. Katz with exercise prices of $134.28, $200.70, $285.05, $357.66, and $295.19, which are equal to 125% of the closing price of our common stock on the grant date; and the Premium SARs granted to Mr. Katz and Ms. Lynch on September 25, 2020, with an exercise price of $247.79, which is equal to 110% of the closing price of our common stock on the grant date.</w:t>
      </w:r>
    </w:p>
    <w:p>
      <w:pPr>
        <w:spacing w:after="0" w:line="49" w:lineRule="exact"/>
        <w:rPr>
          <w:rFonts w:ascii="Arial" w:cs="Arial" w:eastAsia="Arial" w:hAnsi="Arial"/>
          <w:sz w:val="14"/>
          <w:szCs w:val="14"/>
          <w:color w:val="29292B"/>
        </w:rPr>
      </w:pPr>
    </w:p>
    <w:p>
      <w:pPr>
        <w:ind w:left="340" w:right="220" w:hanging="332"/>
        <w:spacing w:after="0" w:line="305" w:lineRule="auto"/>
        <w:tabs>
          <w:tab w:leader="none" w:pos="340" w:val="left"/>
        </w:tabs>
        <w:numPr>
          <w:ilvl w:val="0"/>
          <w:numId w:val="57"/>
        </w:numPr>
        <w:rPr>
          <w:rFonts w:ascii="Arial" w:cs="Arial" w:eastAsia="Arial" w:hAnsi="Arial"/>
          <w:sz w:val="14"/>
          <w:szCs w:val="14"/>
          <w:color w:val="29292B"/>
        </w:rPr>
      </w:pPr>
      <w:r>
        <w:rPr>
          <w:rFonts w:ascii="Arial" w:cs="Arial" w:eastAsia="Arial" w:hAnsi="Arial"/>
          <w:sz w:val="14"/>
          <w:szCs w:val="14"/>
          <w:color w:val="29292B"/>
        </w:rPr>
        <w:t>Represents unvested RSUs that, unless otherwise specifically noted in footnote 5 below, vest in three equal annual installments beginning on the first anniversary of the grant date.</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64</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29292B"/>
        </w:rPr>
      </w:pPr>
      <w:r>
        <w:rPr>
          <w:rFonts w:ascii="Arial" w:cs="Arial" w:eastAsia="Arial" w:hAnsi="Arial"/>
          <w:sz w:val="14"/>
          <w:szCs w:val="14"/>
          <w:color w:val="29292B"/>
        </w:rPr>
        <w:t>The grant dates and vesting dates of RSUs that have not vested as of July 31, 2024 are as follows:</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1220" w:type="dxa"/>
            <w:vAlign w:val="bottom"/>
            <w:shd w:val="clear" w:color="auto" w:fill="98BDE2"/>
          </w:tcPr>
          <w:p>
            <w:pPr>
              <w:spacing w:after="0"/>
              <w:rPr>
                <w:sz w:val="16"/>
                <w:szCs w:val="16"/>
                <w:color w:val="auto"/>
              </w:rPr>
            </w:pPr>
          </w:p>
        </w:tc>
        <w:tc>
          <w:tcPr>
            <w:tcW w:w="134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Number of</w:t>
            </w:r>
          </w:p>
        </w:tc>
        <w:tc>
          <w:tcPr>
            <w:tcW w:w="1640" w:type="dxa"/>
            <w:vAlign w:val="bottom"/>
            <w:shd w:val="clear" w:color="auto" w:fill="98BDE2"/>
          </w:tcPr>
          <w:p>
            <w:pPr>
              <w:spacing w:after="0"/>
              <w:rPr>
                <w:sz w:val="16"/>
                <w:szCs w:val="16"/>
                <w:color w:val="auto"/>
              </w:rPr>
            </w:pPr>
          </w:p>
        </w:tc>
        <w:tc>
          <w:tcPr>
            <w:tcW w:w="4280" w:type="dxa"/>
            <w:vAlign w:val="bottom"/>
            <w:shd w:val="clear" w:color="auto" w:fill="98BDE2"/>
          </w:tcPr>
          <w:p>
            <w:pPr>
              <w:spacing w:after="0"/>
              <w:rPr>
                <w:sz w:val="16"/>
                <w:szCs w:val="16"/>
                <w:color w:val="auto"/>
              </w:rPr>
            </w:pPr>
          </w:p>
        </w:tc>
        <w:tc>
          <w:tcPr>
            <w:tcW w:w="1960" w:type="dxa"/>
            <w:vAlign w:val="bottom"/>
            <w:shd w:val="clear" w:color="auto" w:fill="98BDE2"/>
          </w:tcPr>
          <w:p>
            <w:pPr>
              <w:jc w:val="center"/>
              <w:ind w:right="108"/>
              <w:spacing w:after="0"/>
              <w:rPr>
                <w:sz w:val="20"/>
                <w:szCs w:val="20"/>
                <w:color w:val="auto"/>
              </w:rPr>
            </w:pPr>
            <w:r>
              <w:rPr>
                <w:rFonts w:ascii="Arial" w:cs="Arial" w:eastAsia="Arial" w:hAnsi="Arial"/>
                <w:sz w:val="14"/>
                <w:szCs w:val="14"/>
                <w:b w:val="1"/>
                <w:bCs w:val="1"/>
                <w:color w:val="032E5C"/>
              </w:rPr>
              <w:t>Vesting Date</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1220" w:type="dxa"/>
            <w:vAlign w:val="bottom"/>
            <w:shd w:val="clear" w:color="auto" w:fill="98BDE2"/>
          </w:tcPr>
          <w:p>
            <w:pPr>
              <w:spacing w:after="0"/>
              <w:rPr>
                <w:sz w:val="14"/>
                <w:szCs w:val="14"/>
                <w:color w:val="auto"/>
              </w:rPr>
            </w:pPr>
          </w:p>
        </w:tc>
        <w:tc>
          <w:tcPr>
            <w:tcW w:w="134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Unexercisble</w:t>
            </w:r>
          </w:p>
        </w:tc>
        <w:tc>
          <w:tcPr>
            <w:tcW w:w="1640" w:type="dxa"/>
            <w:vAlign w:val="bottom"/>
            <w:shd w:val="clear" w:color="auto" w:fill="98BDE2"/>
          </w:tcPr>
          <w:p>
            <w:pPr>
              <w:spacing w:after="0"/>
              <w:rPr>
                <w:sz w:val="14"/>
                <w:szCs w:val="14"/>
                <w:color w:val="auto"/>
              </w:rPr>
            </w:pPr>
          </w:p>
        </w:tc>
        <w:tc>
          <w:tcPr>
            <w:tcW w:w="4280" w:type="dxa"/>
            <w:vAlign w:val="bottom"/>
            <w:shd w:val="clear" w:color="auto" w:fill="98BDE2"/>
          </w:tcPr>
          <w:p>
            <w:pPr>
              <w:spacing w:after="0"/>
              <w:rPr>
                <w:sz w:val="14"/>
                <w:szCs w:val="14"/>
                <w:color w:val="auto"/>
              </w:rPr>
            </w:pPr>
          </w:p>
        </w:tc>
        <w:tc>
          <w:tcPr>
            <w:tcW w:w="1960" w:type="dxa"/>
            <w:vAlign w:val="bottom"/>
            <w:shd w:val="clear" w:color="auto" w:fill="98BDE2"/>
          </w:tcPr>
          <w:p>
            <w:pPr>
              <w:jc w:val="center"/>
              <w:ind w:right="128"/>
              <w:spacing w:after="0"/>
              <w:rPr>
                <w:sz w:val="20"/>
                <w:szCs w:val="20"/>
                <w:color w:val="auto"/>
              </w:rPr>
            </w:pPr>
            <w:r>
              <w:rPr>
                <w:rFonts w:ascii="Arial" w:cs="Arial" w:eastAsia="Arial" w:hAnsi="Arial"/>
                <w:sz w:val="14"/>
                <w:szCs w:val="14"/>
                <w:b w:val="1"/>
                <w:bCs w:val="1"/>
                <w:color w:val="032E5C"/>
              </w:rPr>
              <w:t>(date award is</w:t>
            </w:r>
          </w:p>
        </w:tc>
        <w:tc>
          <w:tcPr>
            <w:tcW w:w="0" w:type="dxa"/>
            <w:vAlign w:val="bottom"/>
          </w:tcPr>
          <w:p>
            <w:pPr>
              <w:spacing w:after="0"/>
              <w:rPr>
                <w:sz w:val="1"/>
                <w:szCs w:val="1"/>
                <w:color w:val="auto"/>
              </w:rPr>
            </w:pPr>
          </w:p>
        </w:tc>
      </w:tr>
      <w:tr>
        <w:trPr>
          <w:trHeight w:val="196"/>
        </w:trPr>
        <w:tc>
          <w:tcPr>
            <w:tcW w:w="80" w:type="dxa"/>
            <w:vAlign w:val="bottom"/>
            <w:shd w:val="clear" w:color="auto" w:fill="98BDE2"/>
          </w:tcPr>
          <w:p>
            <w:pPr>
              <w:spacing w:after="0"/>
              <w:rPr>
                <w:sz w:val="17"/>
                <w:szCs w:val="17"/>
                <w:color w:val="auto"/>
              </w:rPr>
            </w:pPr>
          </w:p>
        </w:tc>
        <w:tc>
          <w:tcPr>
            <w:tcW w:w="122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134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RSUs</w:t>
            </w:r>
          </w:p>
        </w:tc>
        <w:tc>
          <w:tcPr>
            <w:tcW w:w="164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Grant Date</w:t>
            </w:r>
          </w:p>
        </w:tc>
        <w:tc>
          <w:tcPr>
            <w:tcW w:w="4280" w:type="dxa"/>
            <w:vAlign w:val="bottom"/>
            <w:shd w:val="clear" w:color="auto" w:fill="98BDE2"/>
          </w:tcPr>
          <w:p>
            <w:pPr>
              <w:ind w:left="180"/>
              <w:spacing w:after="0"/>
              <w:rPr>
                <w:sz w:val="20"/>
                <w:szCs w:val="20"/>
                <w:color w:val="auto"/>
              </w:rPr>
            </w:pPr>
            <w:r>
              <w:rPr>
                <w:rFonts w:ascii="Arial" w:cs="Arial" w:eastAsia="Arial" w:hAnsi="Arial"/>
                <w:sz w:val="14"/>
                <w:szCs w:val="14"/>
                <w:b w:val="1"/>
                <w:bCs w:val="1"/>
                <w:color w:val="032E5C"/>
              </w:rPr>
              <w:t>Vesting Schedule of Original Total Grant</w:t>
            </w:r>
          </w:p>
        </w:tc>
        <w:tc>
          <w:tcPr>
            <w:tcW w:w="1960" w:type="dxa"/>
            <w:vAlign w:val="bottom"/>
            <w:shd w:val="clear" w:color="auto" w:fill="98BDE2"/>
          </w:tcPr>
          <w:p>
            <w:pPr>
              <w:jc w:val="center"/>
              <w:ind w:right="108"/>
              <w:spacing w:after="0"/>
              <w:rPr>
                <w:sz w:val="20"/>
                <w:szCs w:val="20"/>
                <w:color w:val="auto"/>
              </w:rPr>
            </w:pPr>
            <w:r>
              <w:rPr>
                <w:rFonts w:ascii="Arial" w:cs="Arial" w:eastAsia="Arial" w:hAnsi="Arial"/>
                <w:sz w:val="14"/>
                <w:szCs w:val="14"/>
                <w:b w:val="1"/>
                <w:bCs w:val="1"/>
                <w:color w:val="032E5C"/>
              </w:rPr>
              <w:t>vested in full)</w:t>
            </w:r>
          </w:p>
        </w:tc>
        <w:tc>
          <w:tcPr>
            <w:tcW w:w="0" w:type="dxa"/>
            <w:vAlign w:val="bottom"/>
          </w:tcPr>
          <w:p>
            <w:pPr>
              <w:spacing w:after="0"/>
              <w:rPr>
                <w:sz w:val="1"/>
                <w:szCs w:val="1"/>
                <w:color w:val="auto"/>
              </w:rPr>
            </w:pPr>
          </w:p>
        </w:tc>
      </w:tr>
      <w:tr>
        <w:trPr>
          <w:trHeight w:val="69"/>
        </w:trPr>
        <w:tc>
          <w:tcPr>
            <w:tcW w:w="80" w:type="dxa"/>
            <w:vAlign w:val="bottom"/>
            <w:shd w:val="clear" w:color="auto" w:fill="98BDE2"/>
          </w:tcPr>
          <w:p>
            <w:pPr>
              <w:spacing w:after="0"/>
              <w:rPr>
                <w:sz w:val="6"/>
                <w:szCs w:val="6"/>
                <w:color w:val="auto"/>
              </w:rPr>
            </w:pPr>
          </w:p>
        </w:tc>
        <w:tc>
          <w:tcPr>
            <w:tcW w:w="1220" w:type="dxa"/>
            <w:vAlign w:val="bottom"/>
            <w:shd w:val="clear" w:color="auto" w:fill="98BDE2"/>
          </w:tcPr>
          <w:p>
            <w:pPr>
              <w:spacing w:after="0"/>
              <w:rPr>
                <w:sz w:val="6"/>
                <w:szCs w:val="6"/>
                <w:color w:val="auto"/>
              </w:rPr>
            </w:pPr>
          </w:p>
        </w:tc>
        <w:tc>
          <w:tcPr>
            <w:tcW w:w="1340" w:type="dxa"/>
            <w:vAlign w:val="bottom"/>
            <w:shd w:val="clear" w:color="auto" w:fill="98BDE2"/>
          </w:tcPr>
          <w:p>
            <w:pPr>
              <w:spacing w:after="0"/>
              <w:rPr>
                <w:sz w:val="6"/>
                <w:szCs w:val="6"/>
                <w:color w:val="auto"/>
              </w:rPr>
            </w:pPr>
          </w:p>
        </w:tc>
        <w:tc>
          <w:tcPr>
            <w:tcW w:w="1640" w:type="dxa"/>
            <w:vAlign w:val="bottom"/>
            <w:shd w:val="clear" w:color="auto" w:fill="98BDE2"/>
          </w:tcPr>
          <w:p>
            <w:pPr>
              <w:spacing w:after="0"/>
              <w:rPr>
                <w:sz w:val="6"/>
                <w:szCs w:val="6"/>
                <w:color w:val="auto"/>
              </w:rPr>
            </w:pPr>
          </w:p>
        </w:tc>
        <w:tc>
          <w:tcPr>
            <w:tcW w:w="4280" w:type="dxa"/>
            <w:vAlign w:val="bottom"/>
            <w:shd w:val="clear" w:color="auto" w:fill="98BDE2"/>
          </w:tcPr>
          <w:p>
            <w:pPr>
              <w:spacing w:after="0"/>
              <w:rPr>
                <w:sz w:val="6"/>
                <w:szCs w:val="6"/>
                <w:color w:val="auto"/>
              </w:rPr>
            </w:pPr>
          </w:p>
        </w:tc>
        <w:tc>
          <w:tcPr>
            <w:tcW w:w="196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2,209</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24, 2021</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24, 2024</w:t>
            </w:r>
          </w:p>
        </w:tc>
        <w:tc>
          <w:tcPr>
            <w:tcW w:w="0" w:type="dxa"/>
            <w:vAlign w:val="bottom"/>
          </w:tcPr>
          <w:p>
            <w:pPr>
              <w:spacing w:after="0"/>
              <w:rPr>
                <w:sz w:val="1"/>
                <w:szCs w:val="1"/>
                <w:color w:val="auto"/>
              </w:rPr>
            </w:pPr>
          </w:p>
        </w:tc>
      </w:tr>
      <w:tr>
        <w:trPr>
          <w:trHeight w:val="109"/>
        </w:trPr>
        <w:tc>
          <w:tcPr>
            <w:tcW w:w="80" w:type="dxa"/>
            <w:vAlign w:val="bottom"/>
            <w:shd w:val="clear" w:color="auto" w:fill="F3EFE9"/>
          </w:tcPr>
          <w:p>
            <w:pPr>
              <w:spacing w:after="0"/>
              <w:rPr>
                <w:sz w:val="9"/>
                <w:szCs w:val="9"/>
                <w:color w:val="auto"/>
              </w:rPr>
            </w:pPr>
          </w:p>
        </w:tc>
        <w:tc>
          <w:tcPr>
            <w:tcW w:w="1220" w:type="dxa"/>
            <w:vAlign w:val="bottom"/>
            <w:shd w:val="clear" w:color="auto" w:fill="F3EFE9"/>
          </w:tcPr>
          <w:p>
            <w:pPr>
              <w:spacing w:after="0"/>
              <w:rPr>
                <w:sz w:val="9"/>
                <w:szCs w:val="9"/>
                <w:color w:val="auto"/>
              </w:rPr>
            </w:pPr>
          </w:p>
        </w:tc>
        <w:tc>
          <w:tcPr>
            <w:tcW w:w="13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F3EFE9"/>
          </w:tcPr>
          <w:p>
            <w:pPr>
              <w:spacing w:after="0"/>
              <w:rPr>
                <w:sz w:val="7"/>
                <w:szCs w:val="7"/>
                <w:color w:val="auto"/>
              </w:rPr>
            </w:pPr>
          </w:p>
        </w:tc>
        <w:tc>
          <w:tcPr>
            <w:tcW w:w="1220" w:type="dxa"/>
            <w:vAlign w:val="bottom"/>
            <w:shd w:val="clear" w:color="auto" w:fill="F3EFE9"/>
          </w:tcPr>
          <w:p>
            <w:pPr>
              <w:spacing w:after="0"/>
              <w:rPr>
                <w:sz w:val="7"/>
                <w:szCs w:val="7"/>
                <w:color w:val="auto"/>
              </w:rPr>
            </w:pPr>
          </w:p>
        </w:tc>
        <w:tc>
          <w:tcPr>
            <w:tcW w:w="1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F3EFE9"/>
            </w:tcBorders>
            <w:shd w:val="clear" w:color="auto" w:fill="F3EFE9"/>
          </w:tcPr>
          <w:p>
            <w:pPr>
              <w:spacing w:after="0"/>
              <w:rPr>
                <w:sz w:val="3"/>
                <w:szCs w:val="3"/>
                <w:color w:val="auto"/>
              </w:rPr>
            </w:pPr>
          </w:p>
        </w:tc>
        <w:tc>
          <w:tcPr>
            <w:tcW w:w="1220" w:type="dxa"/>
            <w:vAlign w:val="bottom"/>
            <w:tcBorders>
              <w:bottom w:val="single" w:sz="8" w:color="F3EFE9"/>
            </w:tcBorders>
            <w:shd w:val="clear" w:color="auto" w:fill="F3EFE9"/>
          </w:tcPr>
          <w:p>
            <w:pPr>
              <w:spacing w:after="0"/>
              <w:rPr>
                <w:sz w:val="3"/>
                <w:szCs w:val="3"/>
                <w:color w:val="auto"/>
              </w:rPr>
            </w:pPr>
          </w:p>
        </w:tc>
        <w:tc>
          <w:tcPr>
            <w:tcW w:w="1340" w:type="dxa"/>
            <w:vAlign w:val="bottom"/>
            <w:tcBorders>
              <w:bottom w:val="single" w:sz="8" w:color="98BDE2"/>
            </w:tcBorders>
          </w:tcPr>
          <w:p>
            <w:pPr>
              <w:spacing w:after="0"/>
              <w:rPr>
                <w:sz w:val="3"/>
                <w:szCs w:val="3"/>
                <w:color w:val="auto"/>
              </w:rPr>
            </w:pPr>
          </w:p>
        </w:tc>
        <w:tc>
          <w:tcPr>
            <w:tcW w:w="1640" w:type="dxa"/>
            <w:vAlign w:val="bottom"/>
            <w:tcBorders>
              <w:bottom w:val="single" w:sz="8" w:color="98BDE2"/>
            </w:tcBorders>
          </w:tcPr>
          <w:p>
            <w:pPr>
              <w:spacing w:after="0"/>
              <w:rPr>
                <w:sz w:val="3"/>
                <w:szCs w:val="3"/>
                <w:color w:val="auto"/>
              </w:rPr>
            </w:pPr>
          </w:p>
        </w:tc>
        <w:tc>
          <w:tcPr>
            <w:tcW w:w="4280" w:type="dxa"/>
            <w:vAlign w:val="bottom"/>
            <w:tcBorders>
              <w:bottom w:val="single" w:sz="8" w:color="98BDE2"/>
            </w:tcBorders>
          </w:tcPr>
          <w:p>
            <w:pPr>
              <w:spacing w:after="0"/>
              <w:rPr>
                <w:sz w:val="3"/>
                <w:szCs w:val="3"/>
                <w:color w:val="auto"/>
              </w:rPr>
            </w:pPr>
          </w:p>
        </w:tc>
        <w:tc>
          <w:tcPr>
            <w:tcW w:w="1960" w:type="dxa"/>
            <w:vAlign w:val="bottom"/>
            <w:tcBorders>
              <w:bottom w:val="single" w:sz="8" w:color="98BDE2"/>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Kirsten A. Lynch</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8,068</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2022</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2025</w:t>
            </w:r>
          </w:p>
        </w:tc>
        <w:tc>
          <w:tcPr>
            <w:tcW w:w="0" w:type="dxa"/>
            <w:vAlign w:val="bottom"/>
          </w:tcPr>
          <w:p>
            <w:pPr>
              <w:spacing w:after="0"/>
              <w:rPr>
                <w:sz w:val="1"/>
                <w:szCs w:val="1"/>
                <w:color w:val="auto"/>
              </w:rPr>
            </w:pPr>
          </w:p>
        </w:tc>
      </w:tr>
      <w:tr>
        <w:trPr>
          <w:trHeight w:val="102"/>
        </w:trPr>
        <w:tc>
          <w:tcPr>
            <w:tcW w:w="80" w:type="dxa"/>
            <w:vAlign w:val="bottom"/>
            <w:shd w:val="clear" w:color="auto" w:fill="F3EFE9"/>
          </w:tcPr>
          <w:p>
            <w:pPr>
              <w:spacing w:after="0"/>
              <w:rPr>
                <w:sz w:val="8"/>
                <w:szCs w:val="8"/>
                <w:color w:val="auto"/>
              </w:rPr>
            </w:pPr>
          </w:p>
        </w:tc>
        <w:tc>
          <w:tcPr>
            <w:tcW w:w="1220" w:type="dxa"/>
            <w:vAlign w:val="bottom"/>
            <w:vMerge w:val="continue"/>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0" w:type="dxa"/>
            <w:vAlign w:val="bottom"/>
            <w:shd w:val="clear" w:color="auto" w:fill="F3EFE9"/>
          </w:tcPr>
          <w:p>
            <w:pPr>
              <w:spacing w:after="0"/>
              <w:rPr>
                <w:sz w:val="7"/>
                <w:szCs w:val="7"/>
                <w:color w:val="auto"/>
              </w:rPr>
            </w:pPr>
          </w:p>
        </w:tc>
        <w:tc>
          <w:tcPr>
            <w:tcW w:w="1220" w:type="dxa"/>
            <w:vAlign w:val="bottom"/>
            <w:shd w:val="clear" w:color="auto" w:fill="F3EFE9"/>
          </w:tcPr>
          <w:p>
            <w:pPr>
              <w:spacing w:after="0"/>
              <w:rPr>
                <w:sz w:val="7"/>
                <w:szCs w:val="7"/>
                <w:color w:val="auto"/>
              </w:rPr>
            </w:pPr>
          </w:p>
        </w:tc>
        <w:tc>
          <w:tcPr>
            <w:tcW w:w="1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12,008</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F3EFE9"/>
            </w:tcBorders>
            <w:shd w:val="clear" w:color="auto" w:fill="F3EFE9"/>
          </w:tcPr>
          <w:p>
            <w:pPr>
              <w:spacing w:after="0"/>
              <w:rPr>
                <w:sz w:val="10"/>
                <w:szCs w:val="10"/>
                <w:color w:val="auto"/>
              </w:rPr>
            </w:pPr>
          </w:p>
        </w:tc>
        <w:tc>
          <w:tcPr>
            <w:tcW w:w="1220" w:type="dxa"/>
            <w:vAlign w:val="bottom"/>
            <w:tcBorders>
              <w:bottom w:val="single" w:sz="8" w:color="F3EFE9"/>
            </w:tcBorders>
            <w:shd w:val="clear" w:color="auto" w:fill="F3EFE9"/>
          </w:tcPr>
          <w:p>
            <w:pPr>
              <w:spacing w:after="0"/>
              <w:rPr>
                <w:sz w:val="10"/>
                <w:szCs w:val="10"/>
                <w:color w:val="auto"/>
              </w:rPr>
            </w:pPr>
          </w:p>
        </w:tc>
        <w:tc>
          <w:tcPr>
            <w:tcW w:w="1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top w:val="single" w:sz="8" w:color="98BDE2"/>
            </w:tcBorders>
            <w:shd w:val="clear" w:color="auto" w:fill="F3EFE9"/>
          </w:tcPr>
          <w:p>
            <w:pPr>
              <w:spacing w:after="0"/>
              <w:rPr>
                <w:sz w:val="16"/>
                <w:szCs w:val="16"/>
                <w:color w:val="auto"/>
              </w:rPr>
            </w:pPr>
          </w:p>
        </w:tc>
        <w:tc>
          <w:tcPr>
            <w:tcW w:w="1220" w:type="dxa"/>
            <w:vAlign w:val="bottom"/>
            <w:tcBorders>
              <w:top w:val="single" w:sz="8" w:color="98BDE2"/>
            </w:tcBorders>
            <w:shd w:val="clear" w:color="auto" w:fill="F3EFE9"/>
          </w:tcPr>
          <w:p>
            <w:pPr>
              <w:spacing w:after="0"/>
              <w:rPr>
                <w:sz w:val="16"/>
                <w:szCs w:val="16"/>
                <w:color w:val="auto"/>
              </w:rPr>
            </w:pPr>
          </w:p>
        </w:tc>
        <w:tc>
          <w:tcPr>
            <w:tcW w:w="1340" w:type="dxa"/>
            <w:vAlign w:val="bottom"/>
            <w:tcBorders>
              <w:top w:val="single" w:sz="8" w:color="98BDE2"/>
            </w:tcBorders>
            <w:vMerge w:val="restart"/>
          </w:tcPr>
          <w:p>
            <w:pPr>
              <w:jc w:val="right"/>
              <w:ind w:right="88"/>
              <w:spacing w:after="0"/>
              <w:rPr>
                <w:sz w:val="20"/>
                <w:szCs w:val="20"/>
                <w:color w:val="auto"/>
              </w:rPr>
            </w:pPr>
            <w:r>
              <w:rPr>
                <w:rFonts w:ascii="Arial" w:cs="Arial" w:eastAsia="Arial" w:hAnsi="Arial"/>
                <w:sz w:val="14"/>
                <w:szCs w:val="14"/>
                <w:color w:val="032E5C"/>
              </w:rPr>
              <w:t>491</w:t>
            </w:r>
          </w:p>
        </w:tc>
        <w:tc>
          <w:tcPr>
            <w:tcW w:w="164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September 24, 2021</w:t>
            </w:r>
          </w:p>
        </w:tc>
        <w:tc>
          <w:tcPr>
            <w:tcW w:w="4280" w:type="dxa"/>
            <w:vAlign w:val="bottom"/>
            <w:tcBorders>
              <w:top w:val="single" w:sz="8" w:color="98BDE2"/>
            </w:tcBorders>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tcBorders>
              <w:top w:val="single" w:sz="8" w:color="98BDE2"/>
            </w:tcBorders>
            <w:vMerge w:val="restart"/>
          </w:tcPr>
          <w:p>
            <w:pPr>
              <w:jc w:val="center"/>
              <w:ind w:right="108"/>
              <w:spacing w:after="0"/>
              <w:rPr>
                <w:sz w:val="20"/>
                <w:szCs w:val="20"/>
                <w:color w:val="auto"/>
              </w:rPr>
            </w:pPr>
            <w:r>
              <w:rPr>
                <w:rFonts w:ascii="Arial" w:cs="Arial" w:eastAsia="Arial" w:hAnsi="Arial"/>
                <w:sz w:val="14"/>
                <w:szCs w:val="14"/>
                <w:color w:val="032E5C"/>
              </w:rPr>
              <w:t>September 24, 2024</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1,793</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2022</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2025</w:t>
            </w:r>
          </w:p>
        </w:tc>
        <w:tc>
          <w:tcPr>
            <w:tcW w:w="0" w:type="dxa"/>
            <w:vAlign w:val="bottom"/>
          </w:tcPr>
          <w:p>
            <w:pPr>
              <w:spacing w:after="0"/>
              <w:rPr>
                <w:sz w:val="1"/>
                <w:szCs w:val="1"/>
                <w:color w:val="auto"/>
              </w:rPr>
            </w:pPr>
          </w:p>
        </w:tc>
      </w:tr>
      <w:tr>
        <w:trPr>
          <w:trHeight w:val="102"/>
        </w:trPr>
        <w:tc>
          <w:tcPr>
            <w:tcW w:w="80" w:type="dxa"/>
            <w:vAlign w:val="bottom"/>
            <w:shd w:val="clear" w:color="auto" w:fill="F3EFE9"/>
          </w:tcPr>
          <w:p>
            <w:pPr>
              <w:spacing w:after="0"/>
              <w:rPr>
                <w:sz w:val="8"/>
                <w:szCs w:val="8"/>
                <w:color w:val="auto"/>
              </w:rPr>
            </w:pPr>
          </w:p>
        </w:tc>
        <w:tc>
          <w:tcPr>
            <w:tcW w:w="1220" w:type="dxa"/>
            <w:vAlign w:val="bottom"/>
            <w:vMerge w:val="continue"/>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80" w:type="dxa"/>
            <w:vAlign w:val="bottom"/>
            <w:shd w:val="clear" w:color="auto" w:fill="F3EFE9"/>
          </w:tcPr>
          <w:p>
            <w:pPr>
              <w:spacing w:after="0"/>
              <w:rPr>
                <w:sz w:val="7"/>
                <w:szCs w:val="7"/>
                <w:color w:val="auto"/>
              </w:rPr>
            </w:pPr>
          </w:p>
        </w:tc>
        <w:tc>
          <w:tcPr>
            <w:tcW w:w="1220" w:type="dxa"/>
            <w:vAlign w:val="bottom"/>
            <w:shd w:val="clear" w:color="auto" w:fill="F3EFE9"/>
          </w:tcPr>
          <w:p>
            <w:pPr>
              <w:spacing w:after="0"/>
              <w:rPr>
                <w:sz w:val="7"/>
                <w:szCs w:val="7"/>
                <w:color w:val="auto"/>
              </w:rPr>
            </w:pPr>
          </w:p>
        </w:tc>
        <w:tc>
          <w:tcPr>
            <w:tcW w:w="1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2,668</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F3EFE9"/>
            </w:tcBorders>
            <w:shd w:val="clear" w:color="auto" w:fill="F3EFE9"/>
          </w:tcPr>
          <w:p>
            <w:pPr>
              <w:spacing w:after="0"/>
              <w:rPr>
                <w:sz w:val="10"/>
                <w:szCs w:val="10"/>
                <w:color w:val="auto"/>
              </w:rPr>
            </w:pPr>
          </w:p>
        </w:tc>
        <w:tc>
          <w:tcPr>
            <w:tcW w:w="1220" w:type="dxa"/>
            <w:vAlign w:val="bottom"/>
            <w:tcBorders>
              <w:bottom w:val="single" w:sz="8" w:color="F3EFE9"/>
            </w:tcBorders>
            <w:shd w:val="clear" w:color="auto" w:fill="F3EFE9"/>
          </w:tcPr>
          <w:p>
            <w:pPr>
              <w:spacing w:after="0"/>
              <w:rPr>
                <w:sz w:val="10"/>
                <w:szCs w:val="10"/>
                <w:color w:val="auto"/>
              </w:rPr>
            </w:pPr>
          </w:p>
        </w:tc>
        <w:tc>
          <w:tcPr>
            <w:tcW w:w="1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top w:val="single" w:sz="8" w:color="98BDE2"/>
            </w:tcBorders>
            <w:shd w:val="clear" w:color="auto" w:fill="F3EFE9"/>
          </w:tcPr>
          <w:p>
            <w:pPr>
              <w:spacing w:after="0"/>
              <w:rPr>
                <w:sz w:val="16"/>
                <w:szCs w:val="16"/>
                <w:color w:val="auto"/>
              </w:rPr>
            </w:pPr>
          </w:p>
        </w:tc>
        <w:tc>
          <w:tcPr>
            <w:tcW w:w="1220" w:type="dxa"/>
            <w:vAlign w:val="bottom"/>
            <w:tcBorders>
              <w:top w:val="single" w:sz="8" w:color="98BDE2"/>
            </w:tcBorders>
            <w:shd w:val="clear" w:color="auto" w:fill="F3EFE9"/>
          </w:tcPr>
          <w:p>
            <w:pPr>
              <w:spacing w:after="0"/>
              <w:rPr>
                <w:sz w:val="16"/>
                <w:szCs w:val="16"/>
                <w:color w:val="auto"/>
              </w:rPr>
            </w:pPr>
          </w:p>
        </w:tc>
        <w:tc>
          <w:tcPr>
            <w:tcW w:w="1340" w:type="dxa"/>
            <w:vAlign w:val="bottom"/>
            <w:tcBorders>
              <w:top w:val="single" w:sz="8" w:color="98BDE2"/>
            </w:tcBorders>
            <w:vMerge w:val="restart"/>
          </w:tcPr>
          <w:p>
            <w:pPr>
              <w:jc w:val="right"/>
              <w:ind w:right="88"/>
              <w:spacing w:after="0"/>
              <w:rPr>
                <w:sz w:val="20"/>
                <w:szCs w:val="20"/>
                <w:color w:val="auto"/>
              </w:rPr>
            </w:pPr>
            <w:r>
              <w:rPr>
                <w:rFonts w:ascii="Arial" w:cs="Arial" w:eastAsia="Arial" w:hAnsi="Arial"/>
                <w:sz w:val="14"/>
                <w:szCs w:val="14"/>
                <w:color w:val="032E5C"/>
              </w:rPr>
              <w:t>1,762</w:t>
            </w:r>
          </w:p>
        </w:tc>
        <w:tc>
          <w:tcPr>
            <w:tcW w:w="164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February 1, 2023</w:t>
            </w:r>
          </w:p>
        </w:tc>
        <w:tc>
          <w:tcPr>
            <w:tcW w:w="4280" w:type="dxa"/>
            <w:vAlign w:val="bottom"/>
            <w:tcBorders>
              <w:top w:val="single" w:sz="8" w:color="98BDE2"/>
            </w:tcBorders>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tcBorders>
              <w:top w:val="single" w:sz="8" w:color="98BDE2"/>
            </w:tcBorders>
            <w:vMerge w:val="restart"/>
          </w:tcPr>
          <w:p>
            <w:pPr>
              <w:jc w:val="center"/>
              <w:ind w:right="108"/>
              <w:spacing w:after="0"/>
              <w:rPr>
                <w:sz w:val="20"/>
                <w:szCs w:val="20"/>
                <w:color w:val="auto"/>
              </w:rPr>
            </w:pPr>
            <w:r>
              <w:rPr>
                <w:rFonts w:ascii="Arial" w:cs="Arial" w:eastAsia="Arial" w:hAnsi="Arial"/>
                <w:sz w:val="14"/>
                <w:szCs w:val="14"/>
                <w:color w:val="032E5C"/>
              </w:rPr>
              <w:t>February 1,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2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vMerge w:val="continue"/>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80" w:type="dxa"/>
            <w:vAlign w:val="bottom"/>
            <w:shd w:val="clear" w:color="auto" w:fill="F3EFE9"/>
          </w:tcPr>
          <w:p>
            <w:pPr>
              <w:spacing w:after="0"/>
              <w:rPr>
                <w:sz w:val="7"/>
                <w:szCs w:val="7"/>
                <w:color w:val="auto"/>
              </w:rPr>
            </w:pPr>
          </w:p>
        </w:tc>
        <w:tc>
          <w:tcPr>
            <w:tcW w:w="1220" w:type="dxa"/>
            <w:vAlign w:val="bottom"/>
            <w:vMerge w:val="continue"/>
            <w:shd w:val="clear" w:color="auto" w:fill="F3EFE9"/>
          </w:tcPr>
          <w:p>
            <w:pPr>
              <w:spacing w:after="0"/>
              <w:rPr>
                <w:sz w:val="7"/>
                <w:szCs w:val="7"/>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3,586</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101"/>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F3EFE9"/>
            </w:tcBorders>
            <w:shd w:val="clear" w:color="auto" w:fill="F3EFE9"/>
          </w:tcPr>
          <w:p>
            <w:pPr>
              <w:spacing w:after="0"/>
              <w:rPr>
                <w:sz w:val="10"/>
                <w:szCs w:val="10"/>
                <w:color w:val="auto"/>
              </w:rPr>
            </w:pPr>
          </w:p>
        </w:tc>
        <w:tc>
          <w:tcPr>
            <w:tcW w:w="1220" w:type="dxa"/>
            <w:vAlign w:val="bottom"/>
            <w:tcBorders>
              <w:bottom w:val="single" w:sz="8" w:color="F3EFE9"/>
            </w:tcBorders>
            <w:shd w:val="clear" w:color="auto" w:fill="F3EFE9"/>
          </w:tcPr>
          <w:p>
            <w:pPr>
              <w:spacing w:after="0"/>
              <w:rPr>
                <w:sz w:val="10"/>
                <w:szCs w:val="10"/>
                <w:color w:val="auto"/>
              </w:rPr>
            </w:pPr>
          </w:p>
        </w:tc>
        <w:tc>
          <w:tcPr>
            <w:tcW w:w="1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top w:val="single" w:sz="8" w:color="98BDE2"/>
            </w:tcBorders>
            <w:shd w:val="clear" w:color="auto" w:fill="F3EFE9"/>
          </w:tcPr>
          <w:p>
            <w:pPr>
              <w:spacing w:after="0"/>
              <w:rPr>
                <w:sz w:val="16"/>
                <w:szCs w:val="16"/>
                <w:color w:val="auto"/>
              </w:rPr>
            </w:pPr>
          </w:p>
        </w:tc>
        <w:tc>
          <w:tcPr>
            <w:tcW w:w="1220" w:type="dxa"/>
            <w:vAlign w:val="bottom"/>
            <w:tcBorders>
              <w:top w:val="single" w:sz="8" w:color="98BDE2"/>
            </w:tcBorders>
            <w:shd w:val="clear" w:color="auto" w:fill="F3EFE9"/>
          </w:tcPr>
          <w:p>
            <w:pPr>
              <w:spacing w:after="0"/>
              <w:rPr>
                <w:sz w:val="16"/>
                <w:szCs w:val="16"/>
                <w:color w:val="auto"/>
              </w:rPr>
            </w:pPr>
          </w:p>
        </w:tc>
        <w:tc>
          <w:tcPr>
            <w:tcW w:w="1340" w:type="dxa"/>
            <w:vAlign w:val="bottom"/>
            <w:tcBorders>
              <w:top w:val="single" w:sz="8" w:color="98BDE2"/>
            </w:tcBorders>
            <w:vMerge w:val="restart"/>
          </w:tcPr>
          <w:p>
            <w:pPr>
              <w:jc w:val="right"/>
              <w:ind w:right="88"/>
              <w:spacing w:after="0"/>
              <w:rPr>
                <w:sz w:val="20"/>
                <w:szCs w:val="20"/>
                <w:color w:val="auto"/>
              </w:rPr>
            </w:pPr>
            <w:r>
              <w:rPr>
                <w:rFonts w:ascii="Arial" w:cs="Arial" w:eastAsia="Arial" w:hAnsi="Arial"/>
                <w:sz w:val="14"/>
                <w:szCs w:val="14"/>
                <w:color w:val="032E5C"/>
              </w:rPr>
              <w:t>246</w:t>
            </w:r>
          </w:p>
        </w:tc>
        <w:tc>
          <w:tcPr>
            <w:tcW w:w="164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September 24, 2021</w:t>
            </w:r>
          </w:p>
        </w:tc>
        <w:tc>
          <w:tcPr>
            <w:tcW w:w="4280" w:type="dxa"/>
            <w:vAlign w:val="bottom"/>
            <w:tcBorders>
              <w:top w:val="single" w:sz="8" w:color="98BDE2"/>
            </w:tcBorders>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tcBorders>
              <w:top w:val="single" w:sz="8" w:color="98BDE2"/>
            </w:tcBorders>
            <w:vMerge w:val="restart"/>
          </w:tcPr>
          <w:p>
            <w:pPr>
              <w:jc w:val="center"/>
              <w:ind w:right="108"/>
              <w:spacing w:after="0"/>
              <w:rPr>
                <w:sz w:val="20"/>
                <w:szCs w:val="20"/>
                <w:color w:val="auto"/>
              </w:rPr>
            </w:pPr>
            <w:r>
              <w:rPr>
                <w:rFonts w:ascii="Arial" w:cs="Arial" w:eastAsia="Arial" w:hAnsi="Arial"/>
                <w:sz w:val="14"/>
                <w:szCs w:val="14"/>
                <w:color w:val="032E5C"/>
              </w:rPr>
              <w:t>September 24, 2024</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William C. Rock</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896</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2022</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2025</w:t>
            </w:r>
          </w:p>
        </w:tc>
        <w:tc>
          <w:tcPr>
            <w:tcW w:w="0" w:type="dxa"/>
            <w:vAlign w:val="bottom"/>
          </w:tcPr>
          <w:p>
            <w:pPr>
              <w:spacing w:after="0"/>
              <w:rPr>
                <w:sz w:val="1"/>
                <w:szCs w:val="1"/>
                <w:color w:val="auto"/>
              </w:rPr>
            </w:pPr>
          </w:p>
        </w:tc>
      </w:tr>
      <w:tr>
        <w:trPr>
          <w:trHeight w:val="102"/>
        </w:trPr>
        <w:tc>
          <w:tcPr>
            <w:tcW w:w="80" w:type="dxa"/>
            <w:vAlign w:val="bottom"/>
            <w:shd w:val="clear" w:color="auto" w:fill="F3EFE9"/>
          </w:tcPr>
          <w:p>
            <w:pPr>
              <w:spacing w:after="0"/>
              <w:rPr>
                <w:sz w:val="8"/>
                <w:szCs w:val="8"/>
                <w:color w:val="auto"/>
              </w:rPr>
            </w:pPr>
          </w:p>
        </w:tc>
        <w:tc>
          <w:tcPr>
            <w:tcW w:w="1220" w:type="dxa"/>
            <w:vAlign w:val="bottom"/>
            <w:vMerge w:val="continue"/>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80" w:type="dxa"/>
            <w:vAlign w:val="bottom"/>
            <w:shd w:val="clear" w:color="auto" w:fill="F3EFE9"/>
          </w:tcPr>
          <w:p>
            <w:pPr>
              <w:spacing w:after="0"/>
              <w:rPr>
                <w:sz w:val="7"/>
                <w:szCs w:val="7"/>
                <w:color w:val="auto"/>
              </w:rPr>
            </w:pPr>
          </w:p>
        </w:tc>
        <w:tc>
          <w:tcPr>
            <w:tcW w:w="1220" w:type="dxa"/>
            <w:vAlign w:val="bottom"/>
            <w:shd w:val="clear" w:color="auto" w:fill="F3EFE9"/>
          </w:tcPr>
          <w:p>
            <w:pPr>
              <w:spacing w:after="0"/>
              <w:rPr>
                <w:sz w:val="7"/>
                <w:szCs w:val="7"/>
                <w:color w:val="auto"/>
              </w:rPr>
            </w:pPr>
          </w:p>
        </w:tc>
        <w:tc>
          <w:tcPr>
            <w:tcW w:w="1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2,517</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F3EFE9"/>
            </w:tcBorders>
            <w:shd w:val="clear" w:color="auto" w:fill="F3EFE9"/>
          </w:tcPr>
          <w:p>
            <w:pPr>
              <w:spacing w:after="0"/>
              <w:rPr>
                <w:sz w:val="10"/>
                <w:szCs w:val="10"/>
                <w:color w:val="auto"/>
              </w:rPr>
            </w:pPr>
          </w:p>
        </w:tc>
        <w:tc>
          <w:tcPr>
            <w:tcW w:w="1220" w:type="dxa"/>
            <w:vAlign w:val="bottom"/>
            <w:tcBorders>
              <w:bottom w:val="single" w:sz="8" w:color="F3EFE9"/>
            </w:tcBorders>
            <w:shd w:val="clear" w:color="auto" w:fill="F3EFE9"/>
          </w:tcPr>
          <w:p>
            <w:pPr>
              <w:spacing w:after="0"/>
              <w:rPr>
                <w:sz w:val="10"/>
                <w:szCs w:val="10"/>
                <w:color w:val="auto"/>
              </w:rPr>
            </w:pPr>
          </w:p>
        </w:tc>
        <w:tc>
          <w:tcPr>
            <w:tcW w:w="1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80" w:type="dxa"/>
            <w:vAlign w:val="bottom"/>
            <w:tcBorders>
              <w:top w:val="single" w:sz="8" w:color="98BDE2"/>
              <w:bottom w:val="single" w:sz="8" w:color="98BDE2"/>
            </w:tcBorders>
            <w:shd w:val="clear" w:color="auto" w:fill="F3EFE9"/>
          </w:tcPr>
          <w:p>
            <w:pPr>
              <w:spacing w:after="0"/>
              <w:rPr>
                <w:sz w:val="18"/>
                <w:szCs w:val="18"/>
                <w:color w:val="auto"/>
              </w:rPr>
            </w:pPr>
          </w:p>
        </w:tc>
        <w:tc>
          <w:tcPr>
            <w:tcW w:w="1220" w:type="dxa"/>
            <w:vAlign w:val="bottom"/>
            <w:tcBorders>
              <w:top w:val="single" w:sz="8" w:color="98BDE2"/>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David T. Shapiro</w:t>
            </w:r>
          </w:p>
        </w:tc>
        <w:tc>
          <w:tcPr>
            <w:tcW w:w="1340" w:type="dxa"/>
            <w:vAlign w:val="bottom"/>
            <w:tcBorders>
              <w:top w:val="single" w:sz="8" w:color="98BDE2"/>
              <w:bottom w:val="single" w:sz="8" w:color="98BDE2"/>
            </w:tcBorders>
          </w:tcPr>
          <w:p>
            <w:pPr>
              <w:jc w:val="right"/>
              <w:ind w:right="148"/>
              <w:spacing w:after="0"/>
              <w:rPr>
                <w:sz w:val="20"/>
                <w:szCs w:val="20"/>
                <w:color w:val="auto"/>
              </w:rPr>
            </w:pPr>
            <w:r>
              <w:rPr>
                <w:rFonts w:ascii="Arial" w:cs="Arial" w:eastAsia="Arial" w:hAnsi="Arial"/>
                <w:sz w:val="14"/>
                <w:szCs w:val="14"/>
                <w:color w:val="032E5C"/>
              </w:rPr>
              <w:t>—</w:t>
            </w:r>
          </w:p>
        </w:tc>
        <w:tc>
          <w:tcPr>
            <w:tcW w:w="1640" w:type="dxa"/>
            <w:vAlign w:val="bottom"/>
            <w:tcBorders>
              <w:top w:val="single" w:sz="8" w:color="98BDE2"/>
              <w:bottom w:val="single" w:sz="8" w:color="98BDE2"/>
            </w:tcBorders>
          </w:tcPr>
          <w:p>
            <w:pPr>
              <w:jc w:val="center"/>
              <w:spacing w:after="0"/>
              <w:rPr>
                <w:sz w:val="20"/>
                <w:szCs w:val="20"/>
                <w:color w:val="auto"/>
              </w:rPr>
            </w:pPr>
            <w:r>
              <w:rPr>
                <w:rFonts w:ascii="Arial" w:cs="Arial" w:eastAsia="Arial" w:hAnsi="Arial"/>
                <w:sz w:val="14"/>
                <w:szCs w:val="14"/>
                <w:color w:val="032E5C"/>
              </w:rPr>
              <w:t>—</w:t>
            </w:r>
          </w:p>
        </w:tc>
        <w:tc>
          <w:tcPr>
            <w:tcW w:w="4280" w:type="dxa"/>
            <w:vAlign w:val="bottom"/>
            <w:tcBorders>
              <w:top w:val="single" w:sz="8" w:color="98BDE2"/>
              <w:bottom w:val="single" w:sz="8" w:color="98BDE2"/>
            </w:tcBorders>
          </w:tcPr>
          <w:p>
            <w:pPr>
              <w:ind w:left="180"/>
              <w:spacing w:after="0"/>
              <w:rPr>
                <w:sz w:val="20"/>
                <w:szCs w:val="20"/>
                <w:color w:val="auto"/>
              </w:rPr>
            </w:pPr>
            <w:r>
              <w:rPr>
                <w:rFonts w:ascii="Arial" w:cs="Arial" w:eastAsia="Arial" w:hAnsi="Arial"/>
                <w:sz w:val="14"/>
                <w:szCs w:val="14"/>
                <w:color w:val="032E5C"/>
              </w:rPr>
              <w:t>—</w:t>
            </w:r>
          </w:p>
        </w:tc>
        <w:tc>
          <w:tcPr>
            <w:tcW w:w="1960" w:type="dxa"/>
            <w:vAlign w:val="bottom"/>
            <w:tcBorders>
              <w:top w:val="single" w:sz="8" w:color="98BDE2"/>
              <w:bottom w:val="single" w:sz="8" w:color="98BDE2"/>
            </w:tcBorders>
          </w:tcPr>
          <w:p>
            <w:pPr>
              <w:jc w:val="center"/>
              <w:ind w:right="108"/>
              <w:spacing w:after="0"/>
              <w:rPr>
                <w:sz w:val="20"/>
                <w:szCs w:val="20"/>
                <w:color w:val="auto"/>
              </w:rPr>
            </w:pPr>
            <w:r>
              <w:rPr>
                <w:rFonts w:ascii="Arial" w:cs="Arial" w:eastAsia="Arial" w:hAnsi="Arial"/>
                <w:sz w:val="14"/>
                <w:szCs w:val="14"/>
                <w:color w:val="032E5C"/>
                <w:w w:val="99"/>
              </w:rPr>
              <w:t>—</w:t>
            </w:r>
          </w:p>
        </w:tc>
        <w:tc>
          <w:tcPr>
            <w:tcW w:w="0" w:type="dxa"/>
            <w:vAlign w:val="bottom"/>
          </w:tcPr>
          <w:p>
            <w:pPr>
              <w:spacing w:after="0"/>
              <w:rPr>
                <w:sz w:val="1"/>
                <w:szCs w:val="1"/>
                <w:color w:val="auto"/>
              </w:rPr>
            </w:pPr>
          </w:p>
        </w:tc>
      </w:tr>
      <w:tr>
        <w:trPr>
          <w:trHeight w:val="193"/>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184</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24, 2021</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24, 2024</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F3EFE9"/>
            </w:tcBorders>
            <w:shd w:val="clear" w:color="auto" w:fill="F3EFE9"/>
          </w:tcPr>
          <w:p>
            <w:pPr>
              <w:spacing w:after="0" w:line="20" w:lineRule="exact"/>
              <w:rPr>
                <w:sz w:val="1"/>
                <w:szCs w:val="1"/>
                <w:color w:val="auto"/>
              </w:rPr>
            </w:pPr>
          </w:p>
        </w:tc>
        <w:tc>
          <w:tcPr>
            <w:tcW w:w="1220" w:type="dxa"/>
            <w:vAlign w:val="bottom"/>
            <w:tcBorders>
              <w:bottom w:val="single" w:sz="8" w:color="F3EFE9"/>
            </w:tcBorders>
            <w:shd w:val="clear" w:color="auto" w:fill="F3EFE9"/>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640" w:type="dxa"/>
            <w:vAlign w:val="bottom"/>
            <w:tcBorders>
              <w:bottom w:val="single" w:sz="8" w:color="98BDE2"/>
            </w:tcBorders>
          </w:tcPr>
          <w:p>
            <w:pPr>
              <w:spacing w:after="0" w:line="20" w:lineRule="exact"/>
              <w:rPr>
                <w:sz w:val="1"/>
                <w:szCs w:val="1"/>
                <w:color w:val="auto"/>
              </w:rPr>
            </w:pPr>
          </w:p>
        </w:tc>
        <w:tc>
          <w:tcPr>
            <w:tcW w:w="428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Gregory J.</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742</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2022</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2025</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Sullivan</w:t>
            </w: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80" w:type="dxa"/>
            <w:vAlign w:val="bottom"/>
            <w:tcBorders>
              <w:bottom w:val="single" w:sz="8" w:color="F3EFE9"/>
            </w:tcBorders>
            <w:shd w:val="clear" w:color="auto" w:fill="F3EFE9"/>
          </w:tcPr>
          <w:p>
            <w:pPr>
              <w:spacing w:after="0"/>
              <w:rPr>
                <w:sz w:val="9"/>
                <w:szCs w:val="9"/>
                <w:color w:val="auto"/>
              </w:rPr>
            </w:pPr>
          </w:p>
        </w:tc>
        <w:tc>
          <w:tcPr>
            <w:tcW w:w="1220" w:type="dxa"/>
            <w:vAlign w:val="bottom"/>
            <w:tcBorders>
              <w:bottom w:val="single" w:sz="8" w:color="F3EFE9"/>
            </w:tcBorders>
            <w:vMerge w:val="continue"/>
            <w:shd w:val="clear" w:color="auto" w:fill="F3EFE9"/>
          </w:tcPr>
          <w:p>
            <w:pPr>
              <w:spacing w:after="0"/>
              <w:rPr>
                <w:sz w:val="9"/>
                <w:szCs w:val="9"/>
                <w:color w:val="auto"/>
              </w:rPr>
            </w:pPr>
          </w:p>
        </w:tc>
        <w:tc>
          <w:tcPr>
            <w:tcW w:w="1340" w:type="dxa"/>
            <w:vAlign w:val="bottom"/>
            <w:tcBorders>
              <w:bottom w:val="single" w:sz="8" w:color="98BDE2"/>
            </w:tcBorders>
          </w:tcPr>
          <w:p>
            <w:pPr>
              <w:spacing w:after="0"/>
              <w:rPr>
                <w:sz w:val="9"/>
                <w:szCs w:val="9"/>
                <w:color w:val="auto"/>
              </w:rPr>
            </w:pPr>
          </w:p>
        </w:tc>
        <w:tc>
          <w:tcPr>
            <w:tcW w:w="1640" w:type="dxa"/>
            <w:vAlign w:val="bottom"/>
            <w:tcBorders>
              <w:bottom w:val="single" w:sz="8" w:color="98BDE2"/>
            </w:tcBorders>
          </w:tcPr>
          <w:p>
            <w:pPr>
              <w:spacing w:after="0"/>
              <w:rPr>
                <w:sz w:val="9"/>
                <w:szCs w:val="9"/>
                <w:color w:val="auto"/>
              </w:rPr>
            </w:pPr>
          </w:p>
        </w:tc>
        <w:tc>
          <w:tcPr>
            <w:tcW w:w="4280" w:type="dxa"/>
            <w:vAlign w:val="bottom"/>
            <w:tcBorders>
              <w:bottom w:val="single" w:sz="8" w:color="98BDE2"/>
            </w:tcBorders>
            <w:vMerge w:val="continue"/>
          </w:tcPr>
          <w:p>
            <w:pPr>
              <w:spacing w:after="0"/>
              <w:rPr>
                <w:sz w:val="9"/>
                <w:szCs w:val="9"/>
                <w:color w:val="auto"/>
              </w:rPr>
            </w:pPr>
          </w:p>
        </w:tc>
        <w:tc>
          <w:tcPr>
            <w:tcW w:w="1960" w:type="dxa"/>
            <w:vAlign w:val="bottom"/>
            <w:tcBorders>
              <w:bottom w:val="single" w:sz="8" w:color="98BDE2"/>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F3EFE9"/>
          </w:tcPr>
          <w:p>
            <w:pPr>
              <w:spacing w:after="0"/>
              <w:rPr>
                <w:sz w:val="16"/>
                <w:szCs w:val="16"/>
                <w:color w:val="auto"/>
              </w:rPr>
            </w:pPr>
          </w:p>
        </w:tc>
        <w:tc>
          <w:tcPr>
            <w:tcW w:w="1220" w:type="dxa"/>
            <w:vAlign w:val="bottom"/>
            <w:shd w:val="clear" w:color="auto" w:fill="F3EFE9"/>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color w:val="032E5C"/>
              </w:rPr>
              <w:t>1,104</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280" w:type="dxa"/>
            <w:vAlign w:val="bottom"/>
          </w:tcPr>
          <w:p>
            <w:pPr>
              <w:ind w:left="180"/>
              <w:spacing w:after="0"/>
              <w:rPr>
                <w:sz w:val="20"/>
                <w:szCs w:val="20"/>
                <w:color w:val="auto"/>
              </w:rPr>
            </w:pPr>
            <w:r>
              <w:rPr>
                <w:rFonts w:ascii="Arial" w:cs="Arial" w:eastAsia="Arial" w:hAnsi="Arial"/>
                <w:sz w:val="14"/>
                <w:szCs w:val="14"/>
                <w:color w:val="032E5C"/>
              </w:rPr>
              <w:t>Equal annual installments over a three-year period beginning</w:t>
            </w:r>
          </w:p>
        </w:tc>
        <w:tc>
          <w:tcPr>
            <w:tcW w:w="1960" w:type="dxa"/>
            <w:vAlign w:val="bottom"/>
            <w:vMerge w:val="restart"/>
          </w:tcPr>
          <w:p>
            <w:pPr>
              <w:jc w:val="center"/>
              <w:ind w:right="10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20" w:type="dxa"/>
            <w:vAlign w:val="bottom"/>
            <w:shd w:val="clear" w:color="auto" w:fill="F3EFE9"/>
          </w:tcPr>
          <w:p>
            <w:pPr>
              <w:spacing w:after="0"/>
              <w:rPr>
                <w:sz w:val="8"/>
                <w:szCs w:val="8"/>
                <w:color w:val="auto"/>
              </w:rPr>
            </w:pPr>
          </w:p>
        </w:tc>
        <w:tc>
          <w:tcPr>
            <w:tcW w:w="13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4280" w:type="dxa"/>
            <w:vAlign w:val="bottom"/>
            <w:vMerge w:val="restart"/>
          </w:tcPr>
          <w:p>
            <w:pPr>
              <w:ind w:left="180"/>
              <w:spacing w:after="0"/>
              <w:rPr>
                <w:sz w:val="20"/>
                <w:szCs w:val="20"/>
                <w:color w:val="auto"/>
              </w:rPr>
            </w:pPr>
            <w:r>
              <w:rPr>
                <w:rFonts w:ascii="Arial" w:cs="Arial" w:eastAsia="Arial" w:hAnsi="Arial"/>
                <w:sz w:val="14"/>
                <w:szCs w:val="14"/>
                <w:color w:val="032E5C"/>
              </w:rPr>
              <w:t>on anniversary of the grant date.</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F3EFE9"/>
            </w:tcBorders>
            <w:shd w:val="clear" w:color="auto" w:fill="F3EFE9"/>
          </w:tcPr>
          <w:p>
            <w:pPr>
              <w:spacing w:after="0"/>
              <w:rPr>
                <w:sz w:val="8"/>
                <w:szCs w:val="8"/>
                <w:color w:val="auto"/>
              </w:rPr>
            </w:pPr>
          </w:p>
        </w:tc>
        <w:tc>
          <w:tcPr>
            <w:tcW w:w="1220" w:type="dxa"/>
            <w:vAlign w:val="bottom"/>
            <w:tcBorders>
              <w:bottom w:val="single" w:sz="8" w:color="F3EFE9"/>
            </w:tcBorders>
            <w:shd w:val="clear" w:color="auto" w:fill="F3EFE9"/>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80" w:type="dxa"/>
            <w:vAlign w:val="bottom"/>
            <w:shd w:val="clear" w:color="auto" w:fill="3E5C7C"/>
          </w:tcPr>
          <w:p>
            <w:pPr>
              <w:spacing w:after="0"/>
              <w:rPr>
                <w:sz w:val="2"/>
                <w:szCs w:val="2"/>
                <w:color w:val="auto"/>
              </w:rPr>
            </w:pPr>
          </w:p>
        </w:tc>
        <w:tc>
          <w:tcPr>
            <w:tcW w:w="1220" w:type="dxa"/>
            <w:vAlign w:val="bottom"/>
            <w:shd w:val="clear" w:color="auto" w:fill="3E5C7C"/>
          </w:tcPr>
          <w:p>
            <w:pPr>
              <w:spacing w:after="0"/>
              <w:rPr>
                <w:sz w:val="2"/>
                <w:szCs w:val="2"/>
                <w:color w:val="auto"/>
              </w:rPr>
            </w:pPr>
          </w:p>
        </w:tc>
        <w:tc>
          <w:tcPr>
            <w:tcW w:w="1340" w:type="dxa"/>
            <w:vAlign w:val="bottom"/>
            <w:shd w:val="clear" w:color="auto" w:fill="3E5C7C"/>
          </w:tcPr>
          <w:p>
            <w:pPr>
              <w:spacing w:after="0"/>
              <w:rPr>
                <w:sz w:val="2"/>
                <w:szCs w:val="2"/>
                <w:color w:val="auto"/>
              </w:rPr>
            </w:pPr>
          </w:p>
        </w:tc>
        <w:tc>
          <w:tcPr>
            <w:tcW w:w="1640" w:type="dxa"/>
            <w:vAlign w:val="bottom"/>
            <w:shd w:val="clear" w:color="auto" w:fill="3E5C7C"/>
          </w:tcPr>
          <w:p>
            <w:pPr>
              <w:spacing w:after="0"/>
              <w:rPr>
                <w:sz w:val="2"/>
                <w:szCs w:val="2"/>
                <w:color w:val="auto"/>
              </w:rPr>
            </w:pPr>
          </w:p>
        </w:tc>
        <w:tc>
          <w:tcPr>
            <w:tcW w:w="4280" w:type="dxa"/>
            <w:vAlign w:val="bottom"/>
            <w:shd w:val="clear" w:color="auto" w:fill="3E5C7C"/>
          </w:tcPr>
          <w:p>
            <w:pPr>
              <w:spacing w:after="0"/>
              <w:rPr>
                <w:sz w:val="2"/>
                <w:szCs w:val="2"/>
                <w:color w:val="auto"/>
              </w:rPr>
            </w:pPr>
          </w:p>
        </w:tc>
        <w:tc>
          <w:tcPr>
            <w:tcW w:w="1960" w:type="dxa"/>
            <w:vAlign w:val="bottom"/>
            <w:shd w:val="clear" w:color="auto" w:fill="3E5C7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60" w:right="560" w:hanging="328"/>
        <w:spacing w:after="0" w:line="305" w:lineRule="auto"/>
        <w:tabs>
          <w:tab w:leader="none" w:pos="660" w:val="left"/>
        </w:tabs>
        <w:numPr>
          <w:ilvl w:val="0"/>
          <w:numId w:val="59"/>
        </w:numPr>
        <w:rPr>
          <w:rFonts w:ascii="Arial" w:cs="Arial" w:eastAsia="Arial" w:hAnsi="Arial"/>
          <w:sz w:val="14"/>
          <w:szCs w:val="14"/>
          <w:color w:val="29292B"/>
        </w:rPr>
      </w:pPr>
      <w:r>
        <w:rPr>
          <w:rFonts w:ascii="Arial" w:cs="Arial" w:eastAsia="Arial" w:hAnsi="Arial"/>
          <w:sz w:val="14"/>
          <w:szCs w:val="14"/>
          <w:color w:val="29292B"/>
        </w:rPr>
        <w:t>The fair market value of these unvested RSU awards was determined based on the closing price of our common stock of $182.01 per share on July 31, 2024, multiplied by the number of units.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65</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Option Exercises and Stock Vested in Fiscal 2024</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shows for fiscal 2024 certain information regarding SAR exercises and stock vested during the last fiscal year with respect to the NEOs: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4020" w:type="dxa"/>
            <w:vAlign w:val="bottom"/>
            <w:tcBorders>
              <w:bottom w:val="single" w:sz="8" w:color="3E5C7C"/>
            </w:tcBorders>
            <w:gridSpan w:val="2"/>
            <w:shd w:val="clear" w:color="auto" w:fill="3E5C7C"/>
          </w:tcPr>
          <w:p>
            <w:pPr>
              <w:jc w:val="right"/>
              <w:ind w:right="1431"/>
              <w:spacing w:after="0"/>
              <w:rPr>
                <w:sz w:val="20"/>
                <w:szCs w:val="20"/>
                <w:color w:val="auto"/>
              </w:rPr>
            </w:pPr>
            <w:r>
              <w:rPr>
                <w:rFonts w:ascii="Arial" w:cs="Arial" w:eastAsia="Arial" w:hAnsi="Arial"/>
                <w:sz w:val="14"/>
                <w:szCs w:val="14"/>
                <w:b w:val="1"/>
                <w:bCs w:val="1"/>
                <w:color w:val="FFFFFF"/>
              </w:rPr>
              <w:t>Option Awards</w:t>
            </w:r>
          </w:p>
        </w:tc>
        <w:tc>
          <w:tcPr>
            <w:tcW w:w="80" w:type="dxa"/>
            <w:vAlign w:val="bottom"/>
          </w:tcPr>
          <w:p>
            <w:pPr>
              <w:spacing w:after="0"/>
              <w:rPr>
                <w:sz w:val="19"/>
                <w:szCs w:val="19"/>
                <w:color w:val="auto"/>
              </w:rPr>
            </w:pPr>
          </w:p>
        </w:tc>
        <w:tc>
          <w:tcPr>
            <w:tcW w:w="2660" w:type="dxa"/>
            <w:vAlign w:val="bottom"/>
            <w:tcBorders>
              <w:bottom w:val="single" w:sz="8" w:color="3E5C7C"/>
            </w:tcBorders>
            <w:shd w:val="clear" w:color="auto" w:fill="3E5C7C"/>
          </w:tcPr>
          <w:p>
            <w:pPr>
              <w:jc w:val="right"/>
              <w:ind w:right="268"/>
              <w:spacing w:after="0"/>
              <w:rPr>
                <w:sz w:val="20"/>
                <w:szCs w:val="20"/>
                <w:color w:val="auto"/>
              </w:rPr>
            </w:pPr>
            <w:r>
              <w:rPr>
                <w:rFonts w:ascii="Arial" w:cs="Arial" w:eastAsia="Arial" w:hAnsi="Arial"/>
                <w:sz w:val="14"/>
                <w:szCs w:val="14"/>
                <w:b w:val="1"/>
                <w:bCs w:val="1"/>
                <w:color w:val="FFFFFF"/>
              </w:rPr>
              <w:t>Stock Awards</w:t>
            </w:r>
          </w:p>
        </w:tc>
        <w:tc>
          <w:tcPr>
            <w:tcW w:w="1120" w:type="dxa"/>
            <w:vAlign w:val="bottom"/>
            <w:tcBorders>
              <w:bottom w:val="single" w:sz="8" w:color="3E5C7C"/>
            </w:tcBorders>
            <w:shd w:val="clear" w:color="auto" w:fill="3E5C7C"/>
          </w:tcPr>
          <w:p>
            <w:pPr>
              <w:spacing w:after="0"/>
              <w:rPr>
                <w:sz w:val="19"/>
                <w:szCs w:val="19"/>
                <w:color w:val="auto"/>
              </w:rPr>
            </w:pPr>
          </w:p>
        </w:tc>
      </w:tr>
      <w:tr>
        <w:trPr>
          <w:trHeight w:val="180"/>
        </w:trPr>
        <w:tc>
          <w:tcPr>
            <w:tcW w:w="3340" w:type="dxa"/>
            <w:vAlign w:val="bottom"/>
            <w:shd w:val="clear" w:color="auto" w:fill="98BDE2"/>
          </w:tcPr>
          <w:p>
            <w:pPr>
              <w:spacing w:after="0"/>
              <w:rPr>
                <w:sz w:val="15"/>
                <w:szCs w:val="15"/>
                <w:color w:val="auto"/>
              </w:rPr>
            </w:pPr>
          </w:p>
        </w:tc>
        <w:tc>
          <w:tcPr>
            <w:tcW w:w="206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Number of Shares Acquired</w:t>
            </w:r>
          </w:p>
        </w:tc>
        <w:tc>
          <w:tcPr>
            <w:tcW w:w="1960" w:type="dxa"/>
            <w:vAlign w:val="bottom"/>
            <w:shd w:val="clear" w:color="auto" w:fill="98BDE2"/>
          </w:tcPr>
          <w:p>
            <w:pPr>
              <w:spacing w:after="0"/>
              <w:rPr>
                <w:sz w:val="15"/>
                <w:szCs w:val="15"/>
                <w:color w:val="auto"/>
              </w:rPr>
            </w:pPr>
          </w:p>
        </w:tc>
        <w:tc>
          <w:tcPr>
            <w:tcW w:w="80" w:type="dxa"/>
            <w:vAlign w:val="bottom"/>
            <w:shd w:val="clear" w:color="auto" w:fill="98BDE2"/>
          </w:tcPr>
          <w:p>
            <w:pPr>
              <w:spacing w:after="0"/>
              <w:rPr>
                <w:sz w:val="15"/>
                <w:szCs w:val="15"/>
                <w:color w:val="auto"/>
              </w:rPr>
            </w:pPr>
          </w:p>
        </w:tc>
        <w:tc>
          <w:tcPr>
            <w:tcW w:w="2660" w:type="dxa"/>
            <w:vAlign w:val="bottom"/>
            <w:shd w:val="clear" w:color="auto" w:fill="98BDE2"/>
          </w:tcPr>
          <w:p>
            <w:pPr>
              <w:jc w:val="right"/>
              <w:ind w:right="768"/>
              <w:spacing w:after="0"/>
              <w:rPr>
                <w:sz w:val="20"/>
                <w:szCs w:val="20"/>
                <w:color w:val="auto"/>
              </w:rPr>
            </w:pPr>
            <w:r>
              <w:rPr>
                <w:rFonts w:ascii="Arial" w:cs="Arial" w:eastAsia="Arial" w:hAnsi="Arial"/>
                <w:sz w:val="14"/>
                <w:szCs w:val="14"/>
                <w:b w:val="1"/>
                <w:bCs w:val="1"/>
                <w:color w:val="032E5C"/>
              </w:rPr>
              <w:t>Number of Shares</w:t>
            </w:r>
          </w:p>
        </w:tc>
        <w:tc>
          <w:tcPr>
            <w:tcW w:w="1120" w:type="dxa"/>
            <w:vAlign w:val="bottom"/>
            <w:shd w:val="clear" w:color="auto" w:fill="98BDE2"/>
          </w:tcPr>
          <w:p>
            <w:pPr>
              <w:spacing w:after="0"/>
              <w:rPr>
                <w:sz w:val="15"/>
                <w:szCs w:val="15"/>
                <w:color w:val="auto"/>
              </w:rPr>
            </w:pPr>
          </w:p>
        </w:tc>
      </w:tr>
      <w:tr>
        <w:trPr>
          <w:trHeight w:val="162"/>
        </w:trPr>
        <w:tc>
          <w:tcPr>
            <w:tcW w:w="3340" w:type="dxa"/>
            <w:vAlign w:val="bottom"/>
            <w:shd w:val="clear" w:color="auto" w:fill="98BDE2"/>
          </w:tcPr>
          <w:p>
            <w:pPr>
              <w:spacing w:after="0"/>
              <w:rPr>
                <w:sz w:val="14"/>
                <w:szCs w:val="14"/>
                <w:color w:val="auto"/>
              </w:rPr>
            </w:pPr>
          </w:p>
        </w:tc>
        <w:tc>
          <w:tcPr>
            <w:tcW w:w="206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on Exercise</w:t>
            </w:r>
          </w:p>
        </w:tc>
        <w:tc>
          <w:tcPr>
            <w:tcW w:w="19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Value Realized on Exercise</w:t>
            </w:r>
          </w:p>
        </w:tc>
        <w:tc>
          <w:tcPr>
            <w:tcW w:w="80" w:type="dxa"/>
            <w:vAlign w:val="bottom"/>
            <w:shd w:val="clear" w:color="auto" w:fill="98BDE2"/>
          </w:tcPr>
          <w:p>
            <w:pPr>
              <w:spacing w:after="0"/>
              <w:rPr>
                <w:sz w:val="14"/>
                <w:szCs w:val="14"/>
                <w:color w:val="auto"/>
              </w:rPr>
            </w:pPr>
          </w:p>
        </w:tc>
        <w:tc>
          <w:tcPr>
            <w:tcW w:w="3780" w:type="dxa"/>
            <w:vAlign w:val="bottom"/>
            <w:gridSpan w:val="2"/>
            <w:shd w:val="clear" w:color="auto" w:fill="98BDE2"/>
          </w:tcPr>
          <w:p>
            <w:pPr>
              <w:jc w:val="right"/>
              <w:ind w:right="52"/>
              <w:spacing w:after="0"/>
              <w:rPr>
                <w:sz w:val="20"/>
                <w:szCs w:val="20"/>
                <w:color w:val="auto"/>
              </w:rPr>
            </w:pPr>
            <w:r>
              <w:rPr>
                <w:rFonts w:ascii="Arial" w:cs="Arial" w:eastAsia="Arial" w:hAnsi="Arial"/>
                <w:sz w:val="14"/>
                <w:szCs w:val="14"/>
                <w:b w:val="1"/>
                <w:bCs w:val="1"/>
                <w:color w:val="032E5C"/>
              </w:rPr>
              <w:t>Acquired on Vesting Value Realized on Vesting</w:t>
            </w:r>
          </w:p>
        </w:tc>
      </w:tr>
      <w:tr>
        <w:trPr>
          <w:trHeight w:val="259"/>
        </w:trPr>
        <w:tc>
          <w:tcPr>
            <w:tcW w:w="334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206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(1)</w:t>
            </w:r>
          </w:p>
        </w:tc>
        <w:tc>
          <w:tcPr>
            <w:tcW w:w="1960" w:type="dxa"/>
            <w:vAlign w:val="bottom"/>
            <w:tcBorders>
              <w:bottom w:val="single" w:sz="8" w:color="98BDE2"/>
            </w:tcBorders>
            <w:shd w:val="clear" w:color="auto" w:fill="98BDE2"/>
          </w:tcPr>
          <w:p>
            <w:pPr>
              <w:jc w:val="right"/>
              <w:spacing w:after="0" w:line="225" w:lineRule="exact"/>
              <w:rPr>
                <w:sz w:val="20"/>
                <w:szCs w:val="20"/>
                <w:color w:val="auto"/>
              </w:rPr>
            </w:pPr>
            <w:r>
              <w:rPr>
                <w:rFonts w:ascii="Arial" w:cs="Arial" w:eastAsia="Arial" w:hAnsi="Arial"/>
                <w:sz w:val="26"/>
                <w:szCs w:val="26"/>
                <w:b w:val="1"/>
                <w:bCs w:val="1"/>
                <w:color w:val="032E5C"/>
                <w:vertAlign w:val="subscript"/>
              </w:rPr>
              <w:t>($)</w:t>
            </w:r>
            <w:r>
              <w:rPr>
                <w:rFonts w:ascii="Arial" w:cs="Arial" w:eastAsia="Arial" w:hAnsi="Arial"/>
                <w:sz w:val="9"/>
                <w:szCs w:val="9"/>
                <w:b w:val="1"/>
                <w:bCs w:val="1"/>
                <w:color w:val="032E5C"/>
              </w:rPr>
              <w:t>(2)</w:t>
            </w:r>
          </w:p>
        </w:tc>
        <w:tc>
          <w:tcPr>
            <w:tcW w:w="2740" w:type="dxa"/>
            <w:vAlign w:val="bottom"/>
            <w:tcBorders>
              <w:bottom w:val="single" w:sz="8" w:color="98BDE2"/>
            </w:tcBorders>
            <w:gridSpan w:val="2"/>
            <w:shd w:val="clear" w:color="auto" w:fill="98BDE2"/>
          </w:tcPr>
          <w:p>
            <w:pPr>
              <w:jc w:val="right"/>
              <w:ind w:right="76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(1)</w:t>
            </w:r>
          </w:p>
        </w:tc>
        <w:tc>
          <w:tcPr>
            <w:tcW w:w="1120" w:type="dxa"/>
            <w:vAlign w:val="bottom"/>
            <w:tcBorders>
              <w:bottom w:val="single" w:sz="8" w:color="98BDE2"/>
            </w:tcBorders>
            <w:shd w:val="clear" w:color="auto" w:fill="98BDE2"/>
          </w:tcPr>
          <w:p>
            <w:pPr>
              <w:jc w:val="right"/>
              <w:ind w:right="52"/>
              <w:spacing w:after="0" w:line="225" w:lineRule="exact"/>
              <w:rPr>
                <w:sz w:val="20"/>
                <w:szCs w:val="20"/>
                <w:color w:val="auto"/>
              </w:rPr>
            </w:pPr>
            <w:r>
              <w:rPr>
                <w:rFonts w:ascii="Arial" w:cs="Arial" w:eastAsia="Arial" w:hAnsi="Arial"/>
                <w:sz w:val="26"/>
                <w:szCs w:val="26"/>
                <w:b w:val="1"/>
                <w:bCs w:val="1"/>
                <w:color w:val="032E5C"/>
                <w:vertAlign w:val="subscript"/>
              </w:rPr>
              <w:t>($)</w:t>
            </w:r>
            <w:r>
              <w:rPr>
                <w:rFonts w:ascii="Arial" w:cs="Arial" w:eastAsia="Arial" w:hAnsi="Arial"/>
                <w:sz w:val="9"/>
                <w:szCs w:val="9"/>
                <w:b w:val="1"/>
                <w:bCs w:val="1"/>
                <w:color w:val="032E5C"/>
              </w:rPr>
              <w:t>(3)</w:t>
            </w:r>
          </w:p>
        </w:tc>
      </w:tr>
      <w:tr>
        <w:trPr>
          <w:trHeight w:val="223"/>
        </w:trPr>
        <w:tc>
          <w:tcPr>
            <w:tcW w:w="33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Kirsten A. Lynch</w:t>
            </w:r>
          </w:p>
        </w:tc>
        <w:tc>
          <w:tcPr>
            <w:tcW w:w="206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w:t>
            </w:r>
          </w:p>
        </w:tc>
        <w:tc>
          <w:tcPr>
            <w:tcW w:w="19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2740" w:type="dxa"/>
            <w:vAlign w:val="bottom"/>
            <w:tcBorders>
              <w:bottom w:val="single" w:sz="8" w:color="98BDE2"/>
            </w:tcBorders>
            <w:gridSpan w:val="2"/>
          </w:tcPr>
          <w:p>
            <w:pPr>
              <w:jc w:val="right"/>
              <w:ind w:right="768"/>
              <w:spacing w:after="0"/>
              <w:rPr>
                <w:sz w:val="20"/>
                <w:szCs w:val="20"/>
                <w:color w:val="auto"/>
              </w:rPr>
            </w:pPr>
            <w:r>
              <w:rPr>
                <w:rFonts w:ascii="Arial" w:cs="Arial" w:eastAsia="Arial" w:hAnsi="Arial"/>
                <w:sz w:val="14"/>
                <w:szCs w:val="14"/>
                <w:color w:val="032E5C"/>
              </w:rPr>
              <w:t>7,378</w:t>
            </w:r>
          </w:p>
        </w:tc>
        <w:tc>
          <w:tcPr>
            <w:tcW w:w="1120" w:type="dxa"/>
            <w:vAlign w:val="bottom"/>
            <w:tcBorders>
              <w:bottom w:val="single" w:sz="8" w:color="98BDE2"/>
            </w:tcBorders>
          </w:tcPr>
          <w:p>
            <w:pPr>
              <w:jc w:val="right"/>
              <w:ind w:right="52"/>
              <w:spacing w:after="0"/>
              <w:rPr>
                <w:sz w:val="20"/>
                <w:szCs w:val="20"/>
                <w:color w:val="auto"/>
              </w:rPr>
            </w:pPr>
            <w:r>
              <w:rPr>
                <w:rFonts w:ascii="Arial" w:cs="Arial" w:eastAsia="Arial" w:hAnsi="Arial"/>
                <w:sz w:val="14"/>
                <w:szCs w:val="14"/>
                <w:color w:val="032E5C"/>
              </w:rPr>
              <w:t>1,710,831</w:t>
            </w:r>
          </w:p>
        </w:tc>
      </w:tr>
      <w:tr>
        <w:trPr>
          <w:trHeight w:val="223"/>
        </w:trPr>
        <w:tc>
          <w:tcPr>
            <w:tcW w:w="33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206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w:t>
            </w:r>
          </w:p>
        </w:tc>
        <w:tc>
          <w:tcPr>
            <w:tcW w:w="19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2740" w:type="dxa"/>
            <w:vAlign w:val="bottom"/>
            <w:tcBorders>
              <w:bottom w:val="single" w:sz="8" w:color="98BDE2"/>
            </w:tcBorders>
            <w:gridSpan w:val="2"/>
          </w:tcPr>
          <w:p>
            <w:pPr>
              <w:jc w:val="right"/>
              <w:ind w:right="768"/>
              <w:spacing w:after="0"/>
              <w:rPr>
                <w:sz w:val="20"/>
                <w:szCs w:val="20"/>
                <w:color w:val="auto"/>
              </w:rPr>
            </w:pPr>
            <w:r>
              <w:rPr>
                <w:rFonts w:ascii="Arial" w:cs="Arial" w:eastAsia="Arial" w:hAnsi="Arial"/>
                <w:sz w:val="14"/>
                <w:szCs w:val="14"/>
                <w:color w:val="032E5C"/>
              </w:rPr>
              <w:t>2,952</w:t>
            </w:r>
          </w:p>
        </w:tc>
        <w:tc>
          <w:tcPr>
            <w:tcW w:w="1120" w:type="dxa"/>
            <w:vAlign w:val="bottom"/>
            <w:tcBorders>
              <w:bottom w:val="single" w:sz="8" w:color="98BDE2"/>
            </w:tcBorders>
          </w:tcPr>
          <w:p>
            <w:pPr>
              <w:jc w:val="right"/>
              <w:ind w:right="52"/>
              <w:spacing w:after="0"/>
              <w:rPr>
                <w:sz w:val="20"/>
                <w:szCs w:val="20"/>
                <w:color w:val="auto"/>
              </w:rPr>
            </w:pPr>
            <w:r>
              <w:rPr>
                <w:rFonts w:ascii="Arial" w:cs="Arial" w:eastAsia="Arial" w:hAnsi="Arial"/>
                <w:sz w:val="14"/>
                <w:szCs w:val="14"/>
                <w:color w:val="032E5C"/>
              </w:rPr>
              <w:t>699,525</w:t>
            </w:r>
          </w:p>
        </w:tc>
      </w:tr>
      <w:tr>
        <w:trPr>
          <w:trHeight w:val="223"/>
        </w:trPr>
        <w:tc>
          <w:tcPr>
            <w:tcW w:w="33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206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w:t>
            </w:r>
          </w:p>
        </w:tc>
        <w:tc>
          <w:tcPr>
            <w:tcW w:w="19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2740" w:type="dxa"/>
            <w:vAlign w:val="bottom"/>
            <w:tcBorders>
              <w:bottom w:val="single" w:sz="8" w:color="98BDE2"/>
            </w:tcBorders>
            <w:gridSpan w:val="2"/>
          </w:tcPr>
          <w:p>
            <w:pPr>
              <w:jc w:val="right"/>
              <w:ind w:right="768"/>
              <w:spacing w:after="0"/>
              <w:rPr>
                <w:sz w:val="20"/>
                <w:szCs w:val="20"/>
                <w:color w:val="auto"/>
              </w:rPr>
            </w:pPr>
            <w:r>
              <w:rPr>
                <w:rFonts w:ascii="Arial" w:cs="Arial" w:eastAsia="Arial" w:hAnsi="Arial"/>
                <w:sz w:val="14"/>
                <w:szCs w:val="14"/>
                <w:color w:val="032E5C"/>
              </w:rPr>
              <w:t>880</w:t>
            </w:r>
          </w:p>
        </w:tc>
        <w:tc>
          <w:tcPr>
            <w:tcW w:w="1120" w:type="dxa"/>
            <w:vAlign w:val="bottom"/>
            <w:tcBorders>
              <w:bottom w:val="single" w:sz="8" w:color="98BDE2"/>
            </w:tcBorders>
          </w:tcPr>
          <w:p>
            <w:pPr>
              <w:jc w:val="right"/>
              <w:ind w:right="52"/>
              <w:spacing w:after="0"/>
              <w:rPr>
                <w:sz w:val="20"/>
                <w:szCs w:val="20"/>
                <w:color w:val="auto"/>
              </w:rPr>
            </w:pPr>
            <w:r>
              <w:rPr>
                <w:rFonts w:ascii="Arial" w:cs="Arial" w:eastAsia="Arial" w:hAnsi="Arial"/>
                <w:sz w:val="14"/>
                <w:szCs w:val="14"/>
                <w:color w:val="032E5C"/>
              </w:rPr>
              <w:t>195,404</w:t>
            </w:r>
          </w:p>
        </w:tc>
      </w:tr>
      <w:tr>
        <w:trPr>
          <w:trHeight w:val="223"/>
        </w:trPr>
        <w:tc>
          <w:tcPr>
            <w:tcW w:w="33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C. Rock</w:t>
            </w:r>
          </w:p>
        </w:tc>
        <w:tc>
          <w:tcPr>
            <w:tcW w:w="206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w:t>
            </w:r>
          </w:p>
        </w:tc>
        <w:tc>
          <w:tcPr>
            <w:tcW w:w="19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2740" w:type="dxa"/>
            <w:vAlign w:val="bottom"/>
            <w:tcBorders>
              <w:bottom w:val="single" w:sz="8" w:color="98BDE2"/>
            </w:tcBorders>
            <w:gridSpan w:val="2"/>
          </w:tcPr>
          <w:p>
            <w:pPr>
              <w:jc w:val="right"/>
              <w:ind w:right="768"/>
              <w:spacing w:after="0"/>
              <w:rPr>
                <w:sz w:val="20"/>
                <w:szCs w:val="20"/>
                <w:color w:val="auto"/>
              </w:rPr>
            </w:pPr>
            <w:r>
              <w:rPr>
                <w:rFonts w:ascii="Arial" w:cs="Arial" w:eastAsia="Arial" w:hAnsi="Arial"/>
                <w:sz w:val="14"/>
                <w:szCs w:val="14"/>
                <w:color w:val="032E5C"/>
              </w:rPr>
              <w:t>807</w:t>
            </w:r>
          </w:p>
        </w:tc>
        <w:tc>
          <w:tcPr>
            <w:tcW w:w="1120" w:type="dxa"/>
            <w:vAlign w:val="bottom"/>
            <w:tcBorders>
              <w:bottom w:val="single" w:sz="8" w:color="98BDE2"/>
            </w:tcBorders>
          </w:tcPr>
          <w:p>
            <w:pPr>
              <w:jc w:val="right"/>
              <w:ind w:right="52"/>
              <w:spacing w:after="0"/>
              <w:rPr>
                <w:sz w:val="20"/>
                <w:szCs w:val="20"/>
                <w:color w:val="auto"/>
              </w:rPr>
            </w:pPr>
            <w:r>
              <w:rPr>
                <w:rFonts w:ascii="Arial" w:cs="Arial" w:eastAsia="Arial" w:hAnsi="Arial"/>
                <w:sz w:val="14"/>
                <w:szCs w:val="14"/>
                <w:color w:val="032E5C"/>
              </w:rPr>
              <w:t>186,988</w:t>
            </w:r>
          </w:p>
        </w:tc>
      </w:tr>
      <w:tr>
        <w:trPr>
          <w:trHeight w:val="223"/>
        </w:trPr>
        <w:tc>
          <w:tcPr>
            <w:tcW w:w="334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David T. Shapiro</w:t>
            </w:r>
          </w:p>
        </w:tc>
        <w:tc>
          <w:tcPr>
            <w:tcW w:w="206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5,095</w:t>
            </w:r>
          </w:p>
        </w:tc>
        <w:tc>
          <w:tcPr>
            <w:tcW w:w="19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82,845</w:t>
            </w:r>
          </w:p>
        </w:tc>
        <w:tc>
          <w:tcPr>
            <w:tcW w:w="2740" w:type="dxa"/>
            <w:vAlign w:val="bottom"/>
            <w:tcBorders>
              <w:bottom w:val="single" w:sz="8" w:color="98BDE2"/>
            </w:tcBorders>
            <w:gridSpan w:val="2"/>
          </w:tcPr>
          <w:p>
            <w:pPr>
              <w:jc w:val="right"/>
              <w:ind w:right="768"/>
              <w:spacing w:after="0"/>
              <w:rPr>
                <w:sz w:val="20"/>
                <w:szCs w:val="20"/>
                <w:color w:val="auto"/>
              </w:rPr>
            </w:pPr>
            <w:r>
              <w:rPr>
                <w:rFonts w:ascii="Arial" w:cs="Arial" w:eastAsia="Arial" w:hAnsi="Arial"/>
                <w:sz w:val="14"/>
                <w:szCs w:val="14"/>
                <w:color w:val="032E5C"/>
              </w:rPr>
              <w:t>3,050</w:t>
            </w:r>
          </w:p>
        </w:tc>
        <w:tc>
          <w:tcPr>
            <w:tcW w:w="1120" w:type="dxa"/>
            <w:vAlign w:val="bottom"/>
            <w:tcBorders>
              <w:bottom w:val="single" w:sz="8" w:color="98BDE2"/>
            </w:tcBorders>
          </w:tcPr>
          <w:p>
            <w:pPr>
              <w:jc w:val="right"/>
              <w:ind w:right="52"/>
              <w:spacing w:after="0"/>
              <w:rPr>
                <w:sz w:val="20"/>
                <w:szCs w:val="20"/>
                <w:color w:val="auto"/>
              </w:rPr>
            </w:pPr>
            <w:r>
              <w:rPr>
                <w:rFonts w:ascii="Arial" w:cs="Arial" w:eastAsia="Arial" w:hAnsi="Arial"/>
                <w:sz w:val="14"/>
                <w:szCs w:val="14"/>
                <w:color w:val="032E5C"/>
              </w:rPr>
              <w:t>711,475</w:t>
            </w:r>
          </w:p>
        </w:tc>
      </w:tr>
      <w:tr>
        <w:trPr>
          <w:trHeight w:val="237"/>
        </w:trPr>
        <w:tc>
          <w:tcPr>
            <w:tcW w:w="3340" w:type="dxa"/>
            <w:vAlign w:val="bottom"/>
            <w:tcBorders>
              <w:bottom w:val="single" w:sz="8" w:color="3E5C7C"/>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Gregory J. Sullivan</w:t>
            </w:r>
          </w:p>
        </w:tc>
        <w:tc>
          <w:tcPr>
            <w:tcW w:w="2060" w:type="dxa"/>
            <w:vAlign w:val="bottom"/>
            <w:tcBorders>
              <w:bottom w:val="single" w:sz="8" w:color="3E5C7C"/>
            </w:tcBorders>
          </w:tcPr>
          <w:p>
            <w:pPr>
              <w:jc w:val="right"/>
              <w:ind w:right="8"/>
              <w:spacing w:after="0"/>
              <w:rPr>
                <w:sz w:val="20"/>
                <w:szCs w:val="20"/>
                <w:color w:val="auto"/>
              </w:rPr>
            </w:pPr>
            <w:r>
              <w:rPr>
                <w:rFonts w:ascii="Arial" w:cs="Arial" w:eastAsia="Arial" w:hAnsi="Arial"/>
                <w:sz w:val="14"/>
                <w:szCs w:val="14"/>
                <w:color w:val="032E5C"/>
              </w:rPr>
              <w:t>—</w:t>
            </w:r>
          </w:p>
        </w:tc>
        <w:tc>
          <w:tcPr>
            <w:tcW w:w="196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w:t>
            </w:r>
          </w:p>
        </w:tc>
        <w:tc>
          <w:tcPr>
            <w:tcW w:w="2740" w:type="dxa"/>
            <w:vAlign w:val="bottom"/>
            <w:tcBorders>
              <w:bottom w:val="single" w:sz="8" w:color="3E5C7C"/>
            </w:tcBorders>
            <w:gridSpan w:val="2"/>
          </w:tcPr>
          <w:p>
            <w:pPr>
              <w:jc w:val="right"/>
              <w:ind w:right="768"/>
              <w:spacing w:after="0"/>
              <w:rPr>
                <w:sz w:val="20"/>
                <w:szCs w:val="20"/>
                <w:color w:val="auto"/>
              </w:rPr>
            </w:pPr>
            <w:r>
              <w:rPr>
                <w:rFonts w:ascii="Arial" w:cs="Arial" w:eastAsia="Arial" w:hAnsi="Arial"/>
                <w:sz w:val="14"/>
                <w:szCs w:val="14"/>
                <w:color w:val="032E5C"/>
              </w:rPr>
              <w:t>651</w:t>
            </w:r>
          </w:p>
        </w:tc>
        <w:tc>
          <w:tcPr>
            <w:tcW w:w="1120" w:type="dxa"/>
            <w:vAlign w:val="bottom"/>
            <w:tcBorders>
              <w:bottom w:val="single" w:sz="8" w:color="3E5C7C"/>
            </w:tcBorders>
          </w:tcPr>
          <w:p>
            <w:pPr>
              <w:jc w:val="right"/>
              <w:ind w:right="52"/>
              <w:spacing w:after="0"/>
              <w:rPr>
                <w:sz w:val="20"/>
                <w:szCs w:val="20"/>
                <w:color w:val="auto"/>
              </w:rPr>
            </w:pPr>
            <w:r>
              <w:rPr>
                <w:rFonts w:ascii="Arial" w:cs="Arial" w:eastAsia="Arial" w:hAnsi="Arial"/>
                <w:sz w:val="14"/>
                <w:szCs w:val="14"/>
                <w:color w:val="032E5C"/>
              </w:rPr>
              <w:t>150,623</w:t>
            </w:r>
          </w:p>
        </w:tc>
      </w:tr>
    </w:tbl>
    <w:p>
      <w:pPr>
        <w:spacing w:after="0" w:line="153" w:lineRule="exact"/>
        <w:rPr>
          <w:sz w:val="20"/>
          <w:szCs w:val="20"/>
          <w:color w:val="auto"/>
        </w:rPr>
      </w:pPr>
    </w:p>
    <w:p>
      <w:pPr>
        <w:ind w:left="340" w:right="20" w:hanging="332"/>
        <w:spacing w:after="0" w:line="285" w:lineRule="auto"/>
        <w:tabs>
          <w:tab w:leader="none" w:pos="340" w:val="left"/>
        </w:tabs>
        <w:numPr>
          <w:ilvl w:val="0"/>
          <w:numId w:val="60"/>
        </w:numPr>
        <w:rPr>
          <w:rFonts w:ascii="Arial" w:cs="Arial" w:eastAsia="Arial" w:hAnsi="Arial"/>
          <w:sz w:val="14"/>
          <w:szCs w:val="14"/>
          <w:color w:val="29292B"/>
        </w:rPr>
      </w:pPr>
      <w:r>
        <w:rPr>
          <w:rFonts w:ascii="Arial" w:cs="Arial" w:eastAsia="Arial" w:hAnsi="Arial"/>
          <w:sz w:val="14"/>
          <w:szCs w:val="14"/>
          <w:color w:val="29292B"/>
        </w:rPr>
        <w:t>Represents the aggregate number of shares acquired on vesting or exercise, as applicable. The amounts shown do not reflect amounts withheld by the Company to satisfy tax withholding requirements or to satisfy the exercise price.</w:t>
      </w:r>
    </w:p>
    <w:p>
      <w:pPr>
        <w:spacing w:after="0" w:line="49" w:lineRule="exact"/>
        <w:rPr>
          <w:rFonts w:ascii="Arial" w:cs="Arial" w:eastAsia="Arial" w:hAnsi="Arial"/>
          <w:sz w:val="14"/>
          <w:szCs w:val="14"/>
          <w:color w:val="29292B"/>
        </w:rPr>
      </w:pPr>
    </w:p>
    <w:p>
      <w:pPr>
        <w:ind w:left="340" w:right="200" w:hanging="332"/>
        <w:spacing w:after="0" w:line="305" w:lineRule="auto"/>
        <w:tabs>
          <w:tab w:leader="none" w:pos="340" w:val="left"/>
        </w:tabs>
        <w:numPr>
          <w:ilvl w:val="0"/>
          <w:numId w:val="60"/>
        </w:numPr>
        <w:rPr>
          <w:rFonts w:ascii="Arial" w:cs="Arial" w:eastAsia="Arial" w:hAnsi="Arial"/>
          <w:sz w:val="14"/>
          <w:szCs w:val="14"/>
          <w:color w:val="29292B"/>
        </w:rPr>
      </w:pPr>
      <w:r>
        <w:rPr>
          <w:rFonts w:ascii="Arial" w:cs="Arial" w:eastAsia="Arial" w:hAnsi="Arial"/>
          <w:sz w:val="14"/>
          <w:szCs w:val="14"/>
          <w:color w:val="29292B"/>
        </w:rPr>
        <w:t>The aggregate dollar value realized upon the exercise of options/SARs was computed by multiplying the difference between the market price of the Company’s common stock on the exercise date and the exercise price for the award by the number of awards exercised.</w:t>
      </w:r>
    </w:p>
    <w:p>
      <w:pPr>
        <w:spacing w:after="0" w:line="22" w:lineRule="exact"/>
        <w:rPr>
          <w:rFonts w:ascii="Arial" w:cs="Arial" w:eastAsia="Arial" w:hAnsi="Arial"/>
          <w:sz w:val="14"/>
          <w:szCs w:val="14"/>
          <w:color w:val="29292B"/>
        </w:rPr>
      </w:pPr>
    </w:p>
    <w:p>
      <w:pPr>
        <w:ind w:left="340" w:right="360" w:hanging="332"/>
        <w:spacing w:after="0" w:line="305" w:lineRule="auto"/>
        <w:tabs>
          <w:tab w:leader="none" w:pos="340" w:val="left"/>
        </w:tabs>
        <w:numPr>
          <w:ilvl w:val="0"/>
          <w:numId w:val="60"/>
        </w:numPr>
        <w:rPr>
          <w:rFonts w:ascii="Arial" w:cs="Arial" w:eastAsia="Arial" w:hAnsi="Arial"/>
          <w:sz w:val="14"/>
          <w:szCs w:val="14"/>
          <w:color w:val="29292B"/>
        </w:rPr>
      </w:pPr>
      <w:r>
        <w:rPr>
          <w:rFonts w:ascii="Arial" w:cs="Arial" w:eastAsia="Arial" w:hAnsi="Arial"/>
          <w:sz w:val="14"/>
          <w:szCs w:val="14"/>
          <w:color w:val="29292B"/>
        </w:rPr>
        <w:t>The aggregate dollar value realized on the vesting of RSUs was computed by multiplying the closing price of the Company’s common stock on the vesting date by the number of shares vested. As the vesting dates fell on a Saturday or Sunday, the most recent business date closing price was used.</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Policies and Practices Related to the Grant of Certain Equity Awards</w:t>
      </w:r>
    </w:p>
    <w:p>
      <w:pPr>
        <w:spacing w:after="0" w:line="195"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29292B"/>
        </w:rPr>
        <w:t>At each September meeting, it is the Compensation Committee’s long-standing practice to review our results for the previous fiscal year, review the Company’s financial plan and strategy for the upcoming fiscal year, and based on those reviews approve the granting of equity awards for the upcoming fiscal year. SARs are granted with an exercise price equal to or higher than the closing market price of our common stock on the grant date. We take into account the timing of our disclosure of material nonpublic information and the Compensation Committee generally approves annual awards on the date of the regularly scheduled first fiscal quarter Board meeting in September, with the grant date being the first business day after the public release of earnings for the previous fiscal year. Accordingly, we do not time the disclosure of material nonpublic information for the purpose of affecting the value of executive compensation. Other than grants made in connection with hiring, promotions, or to replace certain new hire grants once they vest and/or are exercised, equity awards are granted to NEOs at the same time that equity awards are granted to all other employees who are eligible for such awards. Consistent with this practice, during fiscal 2024 and the first quarter of fiscal 2025, the Compensation Committee awarded SARs to our NEOs in the period beginning four business days before our filing of a periodic report on Form 10-K or Form 10-Q or the filing or furnishing of a current report on Form 8-K that disclosed material nonpublic information (other than a current report on Form 8-K disclosing a material new stock option award under Item 5.02(e) of such Form 8-K), and ending one business day after the filing or furnishing of such report (the “Designated Periods”). Pursuant to SEC Rules, we are providing the following information relating to SARs awarded to NEOs in the Designated Periods occurring during fiscal year 2024:</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66</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shd w:val="clear" w:color="auto" w:fill="98BDE2"/>
          </w:tcPr>
          <w:p>
            <w:pPr>
              <w:spacing w:after="0"/>
              <w:rPr>
                <w:sz w:val="16"/>
                <w:szCs w:val="16"/>
                <w:color w:val="auto"/>
              </w:rPr>
            </w:pPr>
          </w:p>
        </w:tc>
        <w:tc>
          <w:tcPr>
            <w:tcW w:w="1280" w:type="dxa"/>
            <w:vAlign w:val="bottom"/>
            <w:shd w:val="clear" w:color="auto" w:fill="98BDE2"/>
          </w:tcPr>
          <w:p>
            <w:pPr>
              <w:spacing w:after="0"/>
              <w:rPr>
                <w:sz w:val="16"/>
                <w:szCs w:val="16"/>
                <w:color w:val="auto"/>
              </w:rPr>
            </w:pPr>
          </w:p>
        </w:tc>
        <w:tc>
          <w:tcPr>
            <w:tcW w:w="1720" w:type="dxa"/>
            <w:vAlign w:val="bottom"/>
            <w:shd w:val="clear" w:color="auto" w:fill="98BDE2"/>
          </w:tcPr>
          <w:p>
            <w:pPr>
              <w:spacing w:after="0"/>
              <w:rPr>
                <w:sz w:val="16"/>
                <w:szCs w:val="16"/>
                <w:color w:val="auto"/>
              </w:rPr>
            </w:pPr>
          </w:p>
        </w:tc>
        <w:tc>
          <w:tcPr>
            <w:tcW w:w="1600" w:type="dxa"/>
            <w:vAlign w:val="bottom"/>
            <w:shd w:val="clear" w:color="auto" w:fill="98BDE2"/>
          </w:tcPr>
          <w:p>
            <w:pPr>
              <w:spacing w:after="0"/>
              <w:rPr>
                <w:sz w:val="16"/>
                <w:szCs w:val="16"/>
                <w:color w:val="auto"/>
              </w:rPr>
            </w:pPr>
          </w:p>
        </w:tc>
        <w:tc>
          <w:tcPr>
            <w:tcW w:w="1220" w:type="dxa"/>
            <w:vAlign w:val="bottom"/>
            <w:shd w:val="clear" w:color="auto" w:fill="98BDE2"/>
          </w:tcPr>
          <w:p>
            <w:pPr>
              <w:spacing w:after="0"/>
              <w:rPr>
                <w:sz w:val="16"/>
                <w:szCs w:val="16"/>
                <w:color w:val="auto"/>
              </w:rPr>
            </w:pPr>
          </w:p>
        </w:tc>
        <w:tc>
          <w:tcPr>
            <w:tcW w:w="34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Percentage Change in the Closing Market Price</w:t>
            </w:r>
          </w:p>
        </w:tc>
        <w:tc>
          <w:tcPr>
            <w:tcW w:w="0" w:type="dxa"/>
            <w:vAlign w:val="bottom"/>
          </w:tcPr>
          <w:p>
            <w:pPr>
              <w:spacing w:after="0"/>
              <w:rPr>
                <w:sz w:val="1"/>
                <w:szCs w:val="1"/>
                <w:color w:val="auto"/>
              </w:rPr>
            </w:pPr>
          </w:p>
        </w:tc>
      </w:tr>
      <w:tr>
        <w:trPr>
          <w:trHeight w:val="175"/>
        </w:trPr>
        <w:tc>
          <w:tcPr>
            <w:tcW w:w="2000" w:type="dxa"/>
            <w:vAlign w:val="bottom"/>
            <w:shd w:val="clear" w:color="auto" w:fill="98BDE2"/>
          </w:tcPr>
          <w:p>
            <w:pPr>
              <w:spacing w:after="0"/>
              <w:rPr>
                <w:sz w:val="15"/>
                <w:szCs w:val="15"/>
                <w:color w:val="auto"/>
              </w:rPr>
            </w:pPr>
          </w:p>
        </w:tc>
        <w:tc>
          <w:tcPr>
            <w:tcW w:w="1280" w:type="dxa"/>
            <w:vAlign w:val="bottom"/>
            <w:shd w:val="clear" w:color="auto" w:fill="98BDE2"/>
          </w:tcPr>
          <w:p>
            <w:pPr>
              <w:spacing w:after="0"/>
              <w:rPr>
                <w:sz w:val="15"/>
                <w:szCs w:val="15"/>
                <w:color w:val="auto"/>
              </w:rPr>
            </w:pPr>
          </w:p>
        </w:tc>
        <w:tc>
          <w:tcPr>
            <w:tcW w:w="1720" w:type="dxa"/>
            <w:vAlign w:val="bottom"/>
            <w:shd w:val="clear" w:color="auto" w:fill="98BDE2"/>
          </w:tcPr>
          <w:p>
            <w:pPr>
              <w:spacing w:after="0"/>
              <w:rPr>
                <w:sz w:val="15"/>
                <w:szCs w:val="15"/>
                <w:color w:val="auto"/>
              </w:rPr>
            </w:pPr>
          </w:p>
        </w:tc>
        <w:tc>
          <w:tcPr>
            <w:tcW w:w="160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34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of the Securities Underlying the Award Between</w:t>
            </w:r>
          </w:p>
        </w:tc>
        <w:tc>
          <w:tcPr>
            <w:tcW w:w="0" w:type="dxa"/>
            <w:vAlign w:val="bottom"/>
          </w:tcPr>
          <w:p>
            <w:pPr>
              <w:spacing w:after="0"/>
              <w:rPr>
                <w:sz w:val="1"/>
                <w:szCs w:val="1"/>
                <w:color w:val="auto"/>
              </w:rPr>
            </w:pPr>
          </w:p>
        </w:tc>
      </w:tr>
      <w:tr>
        <w:trPr>
          <w:trHeight w:val="176"/>
        </w:trPr>
        <w:tc>
          <w:tcPr>
            <w:tcW w:w="2000" w:type="dxa"/>
            <w:vAlign w:val="bottom"/>
            <w:shd w:val="clear" w:color="auto" w:fill="98BDE2"/>
          </w:tcPr>
          <w:p>
            <w:pPr>
              <w:spacing w:after="0"/>
              <w:rPr>
                <w:sz w:val="15"/>
                <w:szCs w:val="15"/>
                <w:color w:val="auto"/>
              </w:rPr>
            </w:pPr>
          </w:p>
        </w:tc>
        <w:tc>
          <w:tcPr>
            <w:tcW w:w="1280" w:type="dxa"/>
            <w:vAlign w:val="bottom"/>
            <w:shd w:val="clear" w:color="auto" w:fill="98BDE2"/>
          </w:tcPr>
          <w:p>
            <w:pPr>
              <w:spacing w:after="0"/>
              <w:rPr>
                <w:sz w:val="15"/>
                <w:szCs w:val="15"/>
                <w:color w:val="auto"/>
              </w:rPr>
            </w:pPr>
          </w:p>
        </w:tc>
        <w:tc>
          <w:tcPr>
            <w:tcW w:w="1720" w:type="dxa"/>
            <w:vAlign w:val="bottom"/>
            <w:shd w:val="clear" w:color="auto" w:fill="98BDE2"/>
          </w:tcPr>
          <w:p>
            <w:pPr>
              <w:spacing w:after="0"/>
              <w:rPr>
                <w:sz w:val="15"/>
                <w:szCs w:val="15"/>
                <w:color w:val="auto"/>
              </w:rPr>
            </w:pPr>
          </w:p>
        </w:tc>
        <w:tc>
          <w:tcPr>
            <w:tcW w:w="160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34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the Trading Day Ending Immediately Prior to the</w:t>
            </w:r>
          </w:p>
        </w:tc>
        <w:tc>
          <w:tcPr>
            <w:tcW w:w="0" w:type="dxa"/>
            <w:vAlign w:val="bottom"/>
          </w:tcPr>
          <w:p>
            <w:pPr>
              <w:spacing w:after="0"/>
              <w:rPr>
                <w:sz w:val="1"/>
                <w:szCs w:val="1"/>
                <w:color w:val="auto"/>
              </w:rPr>
            </w:pPr>
          </w:p>
        </w:tc>
      </w:tr>
      <w:tr>
        <w:trPr>
          <w:trHeight w:val="176"/>
        </w:trPr>
        <w:tc>
          <w:tcPr>
            <w:tcW w:w="2000" w:type="dxa"/>
            <w:vAlign w:val="bottom"/>
            <w:shd w:val="clear" w:color="auto" w:fill="98BDE2"/>
          </w:tcPr>
          <w:p>
            <w:pPr>
              <w:spacing w:after="0"/>
              <w:rPr>
                <w:sz w:val="15"/>
                <w:szCs w:val="15"/>
                <w:color w:val="auto"/>
              </w:rPr>
            </w:pPr>
          </w:p>
        </w:tc>
        <w:tc>
          <w:tcPr>
            <w:tcW w:w="1280" w:type="dxa"/>
            <w:vAlign w:val="bottom"/>
            <w:shd w:val="clear" w:color="auto" w:fill="98BDE2"/>
          </w:tcPr>
          <w:p>
            <w:pPr>
              <w:spacing w:after="0"/>
              <w:rPr>
                <w:sz w:val="15"/>
                <w:szCs w:val="15"/>
                <w:color w:val="auto"/>
              </w:rPr>
            </w:pPr>
          </w:p>
        </w:tc>
        <w:tc>
          <w:tcPr>
            <w:tcW w:w="1720" w:type="dxa"/>
            <w:vAlign w:val="bottom"/>
            <w:shd w:val="clear" w:color="auto" w:fill="98BDE2"/>
          </w:tcPr>
          <w:p>
            <w:pPr>
              <w:spacing w:after="0"/>
              <w:rPr>
                <w:sz w:val="15"/>
                <w:szCs w:val="15"/>
                <w:color w:val="auto"/>
              </w:rPr>
            </w:pPr>
          </w:p>
        </w:tc>
        <w:tc>
          <w:tcPr>
            <w:tcW w:w="160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34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Disclosure of Material Nonpublic Information</w:t>
            </w:r>
          </w:p>
        </w:tc>
        <w:tc>
          <w:tcPr>
            <w:tcW w:w="0" w:type="dxa"/>
            <w:vAlign w:val="bottom"/>
          </w:tcPr>
          <w:p>
            <w:pPr>
              <w:spacing w:after="0"/>
              <w:rPr>
                <w:sz w:val="1"/>
                <w:szCs w:val="1"/>
                <w:color w:val="auto"/>
              </w:rPr>
            </w:pPr>
          </w:p>
        </w:tc>
      </w:tr>
      <w:tr>
        <w:trPr>
          <w:trHeight w:val="162"/>
        </w:trPr>
        <w:tc>
          <w:tcPr>
            <w:tcW w:w="2000" w:type="dxa"/>
            <w:vAlign w:val="bottom"/>
            <w:shd w:val="clear" w:color="auto" w:fill="98BDE2"/>
          </w:tcPr>
          <w:p>
            <w:pPr>
              <w:spacing w:after="0"/>
              <w:rPr>
                <w:sz w:val="14"/>
                <w:szCs w:val="14"/>
                <w:color w:val="auto"/>
              </w:rPr>
            </w:pPr>
          </w:p>
        </w:tc>
        <w:tc>
          <w:tcPr>
            <w:tcW w:w="1280" w:type="dxa"/>
            <w:vAlign w:val="bottom"/>
            <w:shd w:val="clear" w:color="auto" w:fill="98BDE2"/>
          </w:tcPr>
          <w:p>
            <w:pPr>
              <w:spacing w:after="0"/>
              <w:rPr>
                <w:sz w:val="14"/>
                <w:szCs w:val="14"/>
                <w:color w:val="auto"/>
              </w:rPr>
            </w:pPr>
          </w:p>
        </w:tc>
        <w:tc>
          <w:tcPr>
            <w:tcW w:w="1720" w:type="dxa"/>
            <w:vAlign w:val="bottom"/>
            <w:shd w:val="clear" w:color="auto" w:fill="98BDE2"/>
          </w:tcPr>
          <w:p>
            <w:pPr>
              <w:spacing w:after="0"/>
              <w:rPr>
                <w:sz w:val="14"/>
                <w:szCs w:val="14"/>
                <w:color w:val="auto"/>
              </w:rPr>
            </w:pPr>
          </w:p>
        </w:tc>
        <w:tc>
          <w:tcPr>
            <w:tcW w:w="1600" w:type="dxa"/>
            <w:vAlign w:val="bottom"/>
            <w:shd w:val="clear" w:color="auto" w:fill="98BDE2"/>
          </w:tcPr>
          <w:p>
            <w:pPr>
              <w:spacing w:after="0"/>
              <w:rPr>
                <w:sz w:val="14"/>
                <w:szCs w:val="14"/>
                <w:color w:val="auto"/>
              </w:rPr>
            </w:pPr>
          </w:p>
        </w:tc>
        <w:tc>
          <w:tcPr>
            <w:tcW w:w="1220" w:type="dxa"/>
            <w:vAlign w:val="bottom"/>
            <w:shd w:val="clear" w:color="auto" w:fill="98BDE2"/>
          </w:tcPr>
          <w:p>
            <w:pPr>
              <w:spacing w:after="0"/>
              <w:rPr>
                <w:sz w:val="14"/>
                <w:szCs w:val="14"/>
                <w:color w:val="auto"/>
              </w:rPr>
            </w:pPr>
          </w:p>
        </w:tc>
        <w:tc>
          <w:tcPr>
            <w:tcW w:w="34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and the Trading Day Beginning Immediately</w:t>
            </w:r>
          </w:p>
        </w:tc>
        <w:tc>
          <w:tcPr>
            <w:tcW w:w="0" w:type="dxa"/>
            <w:vAlign w:val="bottom"/>
          </w:tcPr>
          <w:p>
            <w:pPr>
              <w:spacing w:after="0"/>
              <w:rPr>
                <w:sz w:val="1"/>
                <w:szCs w:val="1"/>
                <w:color w:val="auto"/>
              </w:rPr>
            </w:pPr>
          </w:p>
        </w:tc>
      </w:tr>
      <w:tr>
        <w:trPr>
          <w:trHeight w:val="176"/>
        </w:trPr>
        <w:tc>
          <w:tcPr>
            <w:tcW w:w="2000" w:type="dxa"/>
            <w:vAlign w:val="bottom"/>
            <w:shd w:val="clear" w:color="auto" w:fill="98BDE2"/>
          </w:tcPr>
          <w:p>
            <w:pPr>
              <w:spacing w:after="0"/>
              <w:rPr>
                <w:sz w:val="15"/>
                <w:szCs w:val="15"/>
                <w:color w:val="auto"/>
              </w:rPr>
            </w:pPr>
          </w:p>
        </w:tc>
        <w:tc>
          <w:tcPr>
            <w:tcW w:w="1280" w:type="dxa"/>
            <w:vAlign w:val="bottom"/>
            <w:shd w:val="clear" w:color="auto" w:fill="98BDE2"/>
          </w:tcPr>
          <w:p>
            <w:pPr>
              <w:spacing w:after="0"/>
              <w:rPr>
                <w:sz w:val="15"/>
                <w:szCs w:val="15"/>
                <w:color w:val="auto"/>
              </w:rPr>
            </w:pPr>
          </w:p>
        </w:tc>
        <w:tc>
          <w:tcPr>
            <w:tcW w:w="1720" w:type="dxa"/>
            <w:vAlign w:val="bottom"/>
            <w:vMerge w:val="restart"/>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 Securities</w:t>
            </w:r>
          </w:p>
        </w:tc>
        <w:tc>
          <w:tcPr>
            <w:tcW w:w="160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032E5C"/>
              </w:rPr>
              <w:t>Exercise Price of the</w:t>
            </w:r>
          </w:p>
        </w:tc>
        <w:tc>
          <w:tcPr>
            <w:tcW w:w="12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Grant Date Fair</w:t>
            </w:r>
          </w:p>
        </w:tc>
        <w:tc>
          <w:tcPr>
            <w:tcW w:w="34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Following the Disclosure of Material Nonpublic</w:t>
            </w:r>
          </w:p>
        </w:tc>
        <w:tc>
          <w:tcPr>
            <w:tcW w:w="0" w:type="dxa"/>
            <w:vAlign w:val="bottom"/>
          </w:tcPr>
          <w:p>
            <w:pPr>
              <w:spacing w:after="0"/>
              <w:rPr>
                <w:sz w:val="1"/>
                <w:szCs w:val="1"/>
                <w:color w:val="auto"/>
              </w:rPr>
            </w:pPr>
          </w:p>
        </w:tc>
      </w:tr>
      <w:tr>
        <w:trPr>
          <w:trHeight w:val="162"/>
        </w:trPr>
        <w:tc>
          <w:tcPr>
            <w:tcW w:w="2000" w:type="dxa"/>
            <w:vAlign w:val="bottom"/>
            <w:shd w:val="clear" w:color="auto" w:fill="98BDE2"/>
          </w:tcPr>
          <w:p>
            <w:pPr>
              <w:spacing w:after="0"/>
              <w:rPr>
                <w:sz w:val="14"/>
                <w:szCs w:val="14"/>
                <w:color w:val="auto"/>
              </w:rPr>
            </w:pPr>
          </w:p>
        </w:tc>
        <w:tc>
          <w:tcPr>
            <w:tcW w:w="1280" w:type="dxa"/>
            <w:vAlign w:val="bottom"/>
            <w:shd w:val="clear" w:color="auto" w:fill="98BDE2"/>
          </w:tcPr>
          <w:p>
            <w:pPr>
              <w:spacing w:after="0"/>
              <w:rPr>
                <w:sz w:val="14"/>
                <w:szCs w:val="14"/>
                <w:color w:val="auto"/>
              </w:rPr>
            </w:pPr>
          </w:p>
        </w:tc>
        <w:tc>
          <w:tcPr>
            <w:tcW w:w="1720" w:type="dxa"/>
            <w:vAlign w:val="bottom"/>
            <w:vMerge w:val="continue"/>
            <w:shd w:val="clear" w:color="auto" w:fill="98BDE2"/>
          </w:tcPr>
          <w:p>
            <w:pPr>
              <w:spacing w:after="0"/>
              <w:rPr>
                <w:sz w:val="14"/>
                <w:szCs w:val="14"/>
                <w:color w:val="auto"/>
              </w:rPr>
            </w:pPr>
          </w:p>
        </w:tc>
        <w:tc>
          <w:tcPr>
            <w:tcW w:w="282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Award Value of the Award</w:t>
            </w:r>
          </w:p>
        </w:tc>
        <w:tc>
          <w:tcPr>
            <w:tcW w:w="34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Information</w:t>
            </w:r>
          </w:p>
        </w:tc>
        <w:tc>
          <w:tcPr>
            <w:tcW w:w="0" w:type="dxa"/>
            <w:vAlign w:val="bottom"/>
          </w:tcPr>
          <w:p>
            <w:pPr>
              <w:spacing w:after="0"/>
              <w:rPr>
                <w:sz w:val="1"/>
                <w:szCs w:val="1"/>
                <w:color w:val="auto"/>
              </w:rPr>
            </w:pPr>
          </w:p>
        </w:tc>
      </w:tr>
      <w:tr>
        <w:trPr>
          <w:trHeight w:val="246"/>
        </w:trPr>
        <w:tc>
          <w:tcPr>
            <w:tcW w:w="200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1280" w:type="dxa"/>
            <w:vAlign w:val="bottom"/>
            <w:tcBorders>
              <w:bottom w:val="single" w:sz="8" w:color="98BDE2"/>
            </w:tcBorders>
            <w:shd w:val="clear" w:color="auto" w:fill="98BDE2"/>
          </w:tcPr>
          <w:p>
            <w:pPr>
              <w:jc w:val="center"/>
              <w:ind w:left="88"/>
              <w:spacing w:after="0"/>
              <w:rPr>
                <w:sz w:val="20"/>
                <w:szCs w:val="20"/>
                <w:color w:val="auto"/>
              </w:rPr>
            </w:pPr>
            <w:r>
              <w:rPr>
                <w:rFonts w:ascii="Arial" w:cs="Arial" w:eastAsia="Arial" w:hAnsi="Arial"/>
                <w:sz w:val="14"/>
                <w:szCs w:val="14"/>
                <w:b w:val="1"/>
                <w:bCs w:val="1"/>
                <w:color w:val="032E5C"/>
              </w:rPr>
              <w:t>Grant Date</w:t>
            </w:r>
          </w:p>
        </w:tc>
        <w:tc>
          <w:tcPr>
            <w:tcW w:w="172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Underlying the Award</w:t>
            </w:r>
          </w:p>
        </w:tc>
        <w:tc>
          <w:tcPr>
            <w:tcW w:w="1600" w:type="dxa"/>
            <w:vAlign w:val="bottom"/>
            <w:tcBorders>
              <w:bottom w:val="single" w:sz="8" w:color="98BDE2"/>
            </w:tcBorders>
            <w:shd w:val="clear" w:color="auto" w:fill="98BDE2"/>
          </w:tcPr>
          <w:p>
            <w:pPr>
              <w:jc w:val="right"/>
              <w:ind w:right="108"/>
              <w:spacing w:after="0"/>
              <w:rPr>
                <w:sz w:val="20"/>
                <w:szCs w:val="20"/>
                <w:color w:val="auto"/>
              </w:rPr>
            </w:pPr>
            <w:r>
              <w:rPr>
                <w:rFonts w:ascii="Arial" w:cs="Arial" w:eastAsia="Arial" w:hAnsi="Arial"/>
                <w:sz w:val="14"/>
                <w:szCs w:val="14"/>
                <w:b w:val="1"/>
                <w:bCs w:val="1"/>
                <w:color w:val="032E5C"/>
              </w:rPr>
              <w:t>($/Sh)</w:t>
            </w:r>
          </w:p>
        </w:tc>
        <w:tc>
          <w:tcPr>
            <w:tcW w:w="122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342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Kirsten A. Lynch</w:t>
            </w:r>
          </w:p>
        </w:tc>
        <w:tc>
          <w:tcPr>
            <w:tcW w:w="1280" w:type="dxa"/>
            <w:vAlign w:val="bottom"/>
            <w:tcBorders>
              <w:bottom w:val="single" w:sz="8" w:color="98BDE2"/>
            </w:tcBorders>
          </w:tcPr>
          <w:p>
            <w:pPr>
              <w:jc w:val="center"/>
              <w:ind w:left="88"/>
              <w:spacing w:after="0"/>
              <w:rPr>
                <w:sz w:val="20"/>
                <w:szCs w:val="20"/>
                <w:color w:val="auto"/>
              </w:rPr>
            </w:pPr>
            <w:r>
              <w:rPr>
                <w:rFonts w:ascii="Arial" w:cs="Arial" w:eastAsia="Arial" w:hAnsi="Arial"/>
                <w:sz w:val="14"/>
                <w:szCs w:val="14"/>
                <w:color w:val="032E5C"/>
              </w:rPr>
              <w:t>9/29/2023</w:t>
            </w:r>
          </w:p>
        </w:tc>
        <w:tc>
          <w:tcPr>
            <w:tcW w:w="17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44,111</w:t>
            </w:r>
          </w:p>
        </w:tc>
        <w:tc>
          <w:tcPr>
            <w:tcW w:w="1600" w:type="dxa"/>
            <w:vAlign w:val="bottom"/>
            <w:tcBorders>
              <w:bottom w:val="single" w:sz="8" w:color="98BDE2"/>
            </w:tcBorders>
          </w:tcPr>
          <w:p>
            <w:pPr>
              <w:jc w:val="right"/>
              <w:ind w:right="108"/>
              <w:spacing w:after="0"/>
              <w:rPr>
                <w:sz w:val="20"/>
                <w:szCs w:val="20"/>
                <w:color w:val="auto"/>
              </w:rPr>
            </w:pPr>
            <w:r>
              <w:rPr>
                <w:rFonts w:ascii="Arial" w:cs="Arial" w:eastAsia="Arial" w:hAnsi="Arial"/>
                <w:sz w:val="14"/>
                <w:szCs w:val="14"/>
                <w:color w:val="032E5C"/>
              </w:rPr>
              <w:t>244.08</w:t>
            </w:r>
          </w:p>
        </w:tc>
        <w:tc>
          <w:tcPr>
            <w:tcW w:w="12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2,456,542</w:t>
            </w:r>
          </w:p>
        </w:tc>
        <w:tc>
          <w:tcPr>
            <w:tcW w:w="342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(6.0)</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1280" w:type="dxa"/>
            <w:vAlign w:val="bottom"/>
            <w:tcBorders>
              <w:bottom w:val="single" w:sz="8" w:color="98BDE2"/>
            </w:tcBorders>
          </w:tcPr>
          <w:p>
            <w:pPr>
              <w:jc w:val="center"/>
              <w:ind w:left="88"/>
              <w:spacing w:after="0"/>
              <w:rPr>
                <w:sz w:val="20"/>
                <w:szCs w:val="20"/>
                <w:color w:val="auto"/>
              </w:rPr>
            </w:pPr>
            <w:r>
              <w:rPr>
                <w:rFonts w:ascii="Arial" w:cs="Arial" w:eastAsia="Arial" w:hAnsi="Arial"/>
                <w:sz w:val="14"/>
                <w:szCs w:val="14"/>
                <w:color w:val="032E5C"/>
              </w:rPr>
              <w:t>9/29/2023</w:t>
            </w:r>
          </w:p>
        </w:tc>
        <w:tc>
          <w:tcPr>
            <w:tcW w:w="17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8,849</w:t>
            </w:r>
          </w:p>
        </w:tc>
        <w:tc>
          <w:tcPr>
            <w:tcW w:w="1600" w:type="dxa"/>
            <w:vAlign w:val="bottom"/>
            <w:tcBorders>
              <w:bottom w:val="single" w:sz="8" w:color="98BDE2"/>
            </w:tcBorders>
          </w:tcPr>
          <w:p>
            <w:pPr>
              <w:jc w:val="right"/>
              <w:ind w:right="108"/>
              <w:spacing w:after="0"/>
              <w:rPr>
                <w:sz w:val="20"/>
                <w:szCs w:val="20"/>
                <w:color w:val="auto"/>
              </w:rPr>
            </w:pPr>
            <w:r>
              <w:rPr>
                <w:rFonts w:ascii="Arial" w:cs="Arial" w:eastAsia="Arial" w:hAnsi="Arial"/>
                <w:sz w:val="14"/>
                <w:szCs w:val="14"/>
                <w:color w:val="032E5C"/>
              </w:rPr>
              <w:t>221.89</w:t>
            </w:r>
          </w:p>
        </w:tc>
        <w:tc>
          <w:tcPr>
            <w:tcW w:w="12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545,895</w:t>
            </w:r>
          </w:p>
        </w:tc>
        <w:tc>
          <w:tcPr>
            <w:tcW w:w="342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(6.0)</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1280" w:type="dxa"/>
            <w:vAlign w:val="bottom"/>
            <w:tcBorders>
              <w:bottom w:val="single" w:sz="8" w:color="98BDE2"/>
            </w:tcBorders>
          </w:tcPr>
          <w:p>
            <w:pPr>
              <w:jc w:val="center"/>
              <w:ind w:left="88"/>
              <w:spacing w:after="0"/>
              <w:rPr>
                <w:sz w:val="20"/>
                <w:szCs w:val="20"/>
                <w:color w:val="auto"/>
              </w:rPr>
            </w:pPr>
            <w:r>
              <w:rPr>
                <w:rFonts w:ascii="Arial" w:cs="Arial" w:eastAsia="Arial" w:hAnsi="Arial"/>
                <w:sz w:val="14"/>
                <w:szCs w:val="14"/>
                <w:color w:val="032E5C"/>
              </w:rPr>
              <w:t>9/29/2023</w:t>
            </w:r>
          </w:p>
        </w:tc>
        <w:tc>
          <w:tcPr>
            <w:tcW w:w="17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11,894</w:t>
            </w:r>
          </w:p>
        </w:tc>
        <w:tc>
          <w:tcPr>
            <w:tcW w:w="1600" w:type="dxa"/>
            <w:vAlign w:val="bottom"/>
            <w:tcBorders>
              <w:bottom w:val="single" w:sz="8" w:color="98BDE2"/>
            </w:tcBorders>
          </w:tcPr>
          <w:p>
            <w:pPr>
              <w:jc w:val="right"/>
              <w:ind w:right="108"/>
              <w:spacing w:after="0"/>
              <w:rPr>
                <w:sz w:val="20"/>
                <w:szCs w:val="20"/>
                <w:color w:val="auto"/>
              </w:rPr>
            </w:pPr>
            <w:r>
              <w:rPr>
                <w:rFonts w:ascii="Arial" w:cs="Arial" w:eastAsia="Arial" w:hAnsi="Arial"/>
                <w:sz w:val="14"/>
                <w:szCs w:val="14"/>
                <w:color w:val="032E5C"/>
              </w:rPr>
              <w:t>221.89</w:t>
            </w:r>
          </w:p>
        </w:tc>
        <w:tc>
          <w:tcPr>
            <w:tcW w:w="12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733,741</w:t>
            </w:r>
          </w:p>
        </w:tc>
        <w:tc>
          <w:tcPr>
            <w:tcW w:w="342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(6.0)</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C. Rock</w:t>
            </w:r>
          </w:p>
        </w:tc>
        <w:tc>
          <w:tcPr>
            <w:tcW w:w="1280" w:type="dxa"/>
            <w:vAlign w:val="bottom"/>
            <w:tcBorders>
              <w:bottom w:val="single" w:sz="8" w:color="98BDE2"/>
            </w:tcBorders>
          </w:tcPr>
          <w:p>
            <w:pPr>
              <w:jc w:val="center"/>
              <w:ind w:left="88"/>
              <w:spacing w:after="0"/>
              <w:rPr>
                <w:sz w:val="20"/>
                <w:szCs w:val="20"/>
                <w:color w:val="auto"/>
              </w:rPr>
            </w:pPr>
            <w:r>
              <w:rPr>
                <w:rFonts w:ascii="Arial" w:cs="Arial" w:eastAsia="Arial" w:hAnsi="Arial"/>
                <w:sz w:val="14"/>
                <w:szCs w:val="14"/>
                <w:color w:val="032E5C"/>
              </w:rPr>
              <w:t>9/29/2023</w:t>
            </w:r>
          </w:p>
        </w:tc>
        <w:tc>
          <w:tcPr>
            <w:tcW w:w="17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8,348</w:t>
            </w:r>
          </w:p>
        </w:tc>
        <w:tc>
          <w:tcPr>
            <w:tcW w:w="1600" w:type="dxa"/>
            <w:vAlign w:val="bottom"/>
            <w:tcBorders>
              <w:bottom w:val="single" w:sz="8" w:color="98BDE2"/>
            </w:tcBorders>
          </w:tcPr>
          <w:p>
            <w:pPr>
              <w:jc w:val="right"/>
              <w:ind w:right="108"/>
              <w:spacing w:after="0"/>
              <w:rPr>
                <w:sz w:val="20"/>
                <w:szCs w:val="20"/>
                <w:color w:val="auto"/>
              </w:rPr>
            </w:pPr>
            <w:r>
              <w:rPr>
                <w:rFonts w:ascii="Arial" w:cs="Arial" w:eastAsia="Arial" w:hAnsi="Arial"/>
                <w:sz w:val="14"/>
                <w:szCs w:val="14"/>
                <w:color w:val="032E5C"/>
              </w:rPr>
              <w:t>221.89</w:t>
            </w:r>
          </w:p>
        </w:tc>
        <w:tc>
          <w:tcPr>
            <w:tcW w:w="12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514,988</w:t>
            </w:r>
          </w:p>
        </w:tc>
        <w:tc>
          <w:tcPr>
            <w:tcW w:w="342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(6.0)</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David T. Shapiro</w:t>
            </w:r>
          </w:p>
        </w:tc>
        <w:tc>
          <w:tcPr>
            <w:tcW w:w="1280" w:type="dxa"/>
            <w:vAlign w:val="bottom"/>
            <w:tcBorders>
              <w:bottom w:val="single" w:sz="8" w:color="98BDE2"/>
            </w:tcBorders>
          </w:tcPr>
          <w:p>
            <w:pPr>
              <w:jc w:val="center"/>
              <w:ind w:left="88"/>
              <w:spacing w:after="0"/>
              <w:rPr>
                <w:sz w:val="20"/>
                <w:szCs w:val="20"/>
                <w:color w:val="auto"/>
              </w:rPr>
            </w:pPr>
            <w:r>
              <w:rPr>
                <w:rFonts w:ascii="Arial" w:cs="Arial" w:eastAsia="Arial" w:hAnsi="Arial"/>
                <w:sz w:val="14"/>
                <w:szCs w:val="14"/>
                <w:color w:val="032E5C"/>
              </w:rPr>
              <w:t>9/29/2023</w:t>
            </w:r>
          </w:p>
        </w:tc>
        <w:tc>
          <w:tcPr>
            <w:tcW w:w="17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14,444</w:t>
            </w:r>
          </w:p>
        </w:tc>
        <w:tc>
          <w:tcPr>
            <w:tcW w:w="1600" w:type="dxa"/>
            <w:vAlign w:val="bottom"/>
            <w:tcBorders>
              <w:bottom w:val="single" w:sz="8" w:color="98BDE2"/>
            </w:tcBorders>
          </w:tcPr>
          <w:p>
            <w:pPr>
              <w:jc w:val="right"/>
              <w:ind w:right="108"/>
              <w:spacing w:after="0"/>
              <w:rPr>
                <w:sz w:val="20"/>
                <w:szCs w:val="20"/>
                <w:color w:val="auto"/>
              </w:rPr>
            </w:pPr>
            <w:r>
              <w:rPr>
                <w:rFonts w:ascii="Arial" w:cs="Arial" w:eastAsia="Arial" w:hAnsi="Arial"/>
                <w:sz w:val="14"/>
                <w:szCs w:val="14"/>
                <w:color w:val="032E5C"/>
              </w:rPr>
              <w:t>221.89</w:t>
            </w:r>
          </w:p>
        </w:tc>
        <w:tc>
          <w:tcPr>
            <w:tcW w:w="12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891,050</w:t>
            </w:r>
          </w:p>
        </w:tc>
        <w:tc>
          <w:tcPr>
            <w:tcW w:w="342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(6.0)</w:t>
            </w:r>
          </w:p>
        </w:tc>
        <w:tc>
          <w:tcPr>
            <w:tcW w:w="0" w:type="dxa"/>
            <w:vAlign w:val="bottom"/>
          </w:tcPr>
          <w:p>
            <w:pPr>
              <w:spacing w:after="0"/>
              <w:rPr>
                <w:sz w:val="1"/>
                <w:szCs w:val="1"/>
                <w:color w:val="auto"/>
              </w:rPr>
            </w:pPr>
          </w:p>
        </w:tc>
      </w:tr>
      <w:tr>
        <w:trPr>
          <w:trHeight w:val="237"/>
        </w:trPr>
        <w:tc>
          <w:tcPr>
            <w:tcW w:w="2000" w:type="dxa"/>
            <w:vAlign w:val="bottom"/>
            <w:tcBorders>
              <w:bottom w:val="single" w:sz="8" w:color="3E5C7C"/>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Gregory J. Sullivan</w:t>
            </w:r>
          </w:p>
        </w:tc>
        <w:tc>
          <w:tcPr>
            <w:tcW w:w="1280" w:type="dxa"/>
            <w:vAlign w:val="bottom"/>
            <w:tcBorders>
              <w:bottom w:val="single" w:sz="8" w:color="3E5C7C"/>
            </w:tcBorders>
          </w:tcPr>
          <w:p>
            <w:pPr>
              <w:jc w:val="center"/>
              <w:ind w:left="88"/>
              <w:spacing w:after="0"/>
              <w:rPr>
                <w:sz w:val="20"/>
                <w:szCs w:val="20"/>
                <w:color w:val="auto"/>
              </w:rPr>
            </w:pPr>
            <w:r>
              <w:rPr>
                <w:rFonts w:ascii="Arial" w:cs="Arial" w:eastAsia="Arial" w:hAnsi="Arial"/>
                <w:sz w:val="14"/>
                <w:szCs w:val="14"/>
                <w:color w:val="032E5C"/>
              </w:rPr>
              <w:t>9/29/2023</w:t>
            </w:r>
          </w:p>
        </w:tc>
        <w:tc>
          <w:tcPr>
            <w:tcW w:w="172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3,663</w:t>
            </w:r>
          </w:p>
        </w:tc>
        <w:tc>
          <w:tcPr>
            <w:tcW w:w="1600" w:type="dxa"/>
            <w:vAlign w:val="bottom"/>
            <w:tcBorders>
              <w:bottom w:val="single" w:sz="8" w:color="3E5C7C"/>
            </w:tcBorders>
          </w:tcPr>
          <w:p>
            <w:pPr>
              <w:jc w:val="right"/>
              <w:ind w:right="108"/>
              <w:spacing w:after="0"/>
              <w:rPr>
                <w:sz w:val="20"/>
                <w:szCs w:val="20"/>
                <w:color w:val="auto"/>
              </w:rPr>
            </w:pPr>
            <w:r>
              <w:rPr>
                <w:rFonts w:ascii="Arial" w:cs="Arial" w:eastAsia="Arial" w:hAnsi="Arial"/>
                <w:sz w:val="14"/>
                <w:szCs w:val="14"/>
                <w:color w:val="032E5C"/>
              </w:rPr>
              <w:t>221.89</w:t>
            </w:r>
          </w:p>
        </w:tc>
        <w:tc>
          <w:tcPr>
            <w:tcW w:w="1220" w:type="dxa"/>
            <w:vAlign w:val="bottom"/>
            <w:tcBorders>
              <w:bottom w:val="single" w:sz="8" w:color="3E5C7C"/>
            </w:tcBorders>
          </w:tcPr>
          <w:p>
            <w:pPr>
              <w:jc w:val="right"/>
              <w:spacing w:after="0"/>
              <w:rPr>
                <w:sz w:val="20"/>
                <w:szCs w:val="20"/>
                <w:color w:val="auto"/>
              </w:rPr>
            </w:pPr>
            <w:r>
              <w:rPr>
                <w:rFonts w:ascii="Arial" w:cs="Arial" w:eastAsia="Arial" w:hAnsi="Arial"/>
                <w:sz w:val="14"/>
                <w:szCs w:val="14"/>
                <w:color w:val="032E5C"/>
              </w:rPr>
              <w:t>225,970</w:t>
            </w:r>
          </w:p>
        </w:tc>
        <w:tc>
          <w:tcPr>
            <w:tcW w:w="342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color w:val="032E5C"/>
              </w:rPr>
              <w:t>(6.0)</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Pension Benefits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29292B"/>
        </w:rPr>
        <w:t>The Company does not provide pension benefits or a defined contribution plan to the NEOs other than the Company’s tax-qualified 401(k) plan.</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Nonqualified Deferred Compensation for Fiscal 2024</w:t>
      </w:r>
    </w:p>
    <w:p>
      <w:pPr>
        <w:spacing w:after="0" w:line="209"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29292B"/>
        </w:rPr>
        <w:t>Although the Company maintains certain deferred compensation arrangements, none of the NEOs participated in such arrangements in fiscal 2024 or otherwise had any earned or awarded benefit under any such deferred compensation arrangement for any prior fiscal year.</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Potential Payments Upon Termination or Change-in-Control</w:t>
      </w:r>
    </w:p>
    <w:p>
      <w:pPr>
        <w:spacing w:after="0" w:line="209"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29292B"/>
        </w:rPr>
        <w:t>The employment agreement with Ms. Lynch and the Company’s executive severance policy, which applies to Messrs. Katz, Rock, and Sullivan and Ms. Korch, require us to provide certain compensation in the event of certain terminations of employment or upon a change in control of the Company. In addition, the forms of equity award agreements used with all of our employees provide for the full acceleration of vesting of outstanding SARs, restricted stock, and RSUs upon a change in control of the Company if (i) the successor corporation does not assume or substitute such award or (ii) the executive’s employment is terminated without Cause within the 12-month period following the change in control of the Company. In accordance with the employment agreement with Ms. Lynch, if she breaches the post-employment non-competition or non-solicitation covenants to which she is subject, then she must promptly reimburse the Company for any severance payments received from, or payable by, the Company.</w:t>
      </w:r>
    </w:p>
    <w:p>
      <w:pPr>
        <w:spacing w:after="0" w:line="105"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29292B"/>
        </w:rPr>
        <w:t>Under the terms of the Company's executive severance policy, the Company may terminate the executive at any time with or without Cause. If the executive’s employment is terminated without Cause or terminated by the executive for Good Reason in connection with or outside of a Change in Control (each, as defined below), then the executive will be entitled, in exchange for a signed release, to receive compensation in the amounts and under the circumstances described below. The amount of severance received under the Company's executive severance policy varies according to the executive’s grade and title. In general, covered executive employees are entitled to receive the following severance amounts under the Company's executive severance policy in the event of termination of employment of the covered executive by the Company without Cause or termination of employment by a covered executive for Good Reason: (i) for qualifying terminations occurring without a change in control, the covered executive is entitled to one year of base salary (two years of base salary in the case of the CEO), (ii) for qualifying terminations following a change in control, (A) the CEO is entitled to receive two years of base salary plus an amount equal to the most recent bonus paid to the CEO, (B) executive vice presidents, senior executive vice presidents, and division presidents are each entitled to receive one year of base salary plus an amount equal to the most recent bonus paid to the executive and (C) vice presidents and senior vice presidents are entitled to receive one year of base salary.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67</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29292B"/>
        </w:rPr>
        <w:t>Under the terms of the Company's executive severance policy and Ms. Lynch’s employment agreement, “Cause” is generally defined as (i) any conduct related to the Company involving gross negligence, gross mismanagement, or the unauthorized disclosure of confidential information or trade secrets; (ii) dishonesty or a violation of the Company’s Code of Ethics and Business Conduct that has or reasonably could be expected to result in a detrimental impact on the reputation, goodwill, or business position of any of the Companies; (iii) gross obstruction of business operations or illegal or disreputable conduct by executive that impairs or reasonably could be expected to impair the reputation, goodwill, or business position of any of the Companies, and any acts that violate any policy of the Company relating to discrimination or harassment; (iv) commission of a felony or a crime involving moral turpitude or the entrance of a plea of guilty or nolo contendere to a felony or a crime involving moral turpitude; or (v) any action involving a material breach of the terms of the employment agreement including material inattention to or material neglect of duties that executive has not have remedied within 30 days after receiving written notice from the Board specifying the details thereof.</w:t>
      </w:r>
    </w:p>
    <w:p>
      <w:pPr>
        <w:spacing w:after="0" w:line="103"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29292B"/>
        </w:rPr>
        <w:t>“Good Reason” is defined under the terms of the Company's executive severance policy as (i) the Company has decreased the executive’s then current base salary, (ii) the executive is directed to relocate their principal office more than 50 miles without their consent, and/or (iii) the Company has effected a material diminution in the executive’s reporting responsibilities, authority, or duties as in effect immediately prior to such change; provided, however, that executive does not have the right to terminate executive’s employment agreement for Good Reason unless: (A) executive has provided notice to the Company of any of the foregoing conditions within 90 days of the initial existence of the condition; (B) the Company has been given at least 30 days after receiving such notice to cure such condition (other than if Good Reason is due to a Change in Control); and (C) executive actually terminates employment within six months following the initial existence of the condition.</w:t>
      </w:r>
    </w:p>
    <w:p>
      <w:pPr>
        <w:spacing w:after="0" w:line="105" w:lineRule="exact"/>
        <w:rPr>
          <w:sz w:val="20"/>
          <w:szCs w:val="20"/>
          <w:color w:val="auto"/>
        </w:rPr>
      </w:pPr>
    </w:p>
    <w:p>
      <w:pPr>
        <w:spacing w:after="0" w:line="302" w:lineRule="auto"/>
        <w:rPr>
          <w:sz w:val="20"/>
          <w:szCs w:val="20"/>
          <w:color w:val="auto"/>
        </w:rPr>
      </w:pPr>
      <w:r>
        <w:rPr>
          <w:rFonts w:ascii="Arial" w:cs="Arial" w:eastAsia="Arial" w:hAnsi="Arial"/>
          <w:sz w:val="16"/>
          <w:szCs w:val="16"/>
          <w:color w:val="29292B"/>
        </w:rPr>
        <w:t>“Good Reason” is defined under the terms of Ms. Lynch’s employment agreement as (i) the Company has breached its obligations under the employment agreement in any material respect, (ii) the Company has decreased executive’s then current base salary, (iii) executive is directed to relocate executive’s principal office more than 30 miles from Interlocken Business Park without consent, and/or (iv) the Company has effected a material diminution in executive’s reporting responsibilities, authority, or duties as in effect immediately prior to such change; provided, however, that executive does not have the right to terminate executive’s employment agreement for Good Reason unless: (A) executive has provided notice to the Company of any of the foregoing conditions within 90 days of the initial existence of the condition; (B) the Company has been given at least 30 days after receiving such notice to cure such condition (other than if Good Reason is due to a Change in Control); and (C) executive actually terminates employment within six months following the initial existence of the condition.</w:t>
      </w:r>
    </w:p>
    <w:p>
      <w:pPr>
        <w:spacing w:after="0" w:line="9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29292B"/>
        </w:rPr>
        <w:t>“Change in Control” is defined under the terms of the Company's executive severance policy and Ms. Lynch's employment agreement as an event or series of events by which: (A)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35% or more of the equity securities of the Company entitled to vote for members of the Board or equivalent governing body of the Company on a fully-diluted basis; or (B) during any period of twenty four consecutive months, a majority of the members of the Board or other equivalent governing body of the Company cease to be composed of individuals (1) who were members of that Board or equivalent governing body on the first day of such period, (2) whose election or nomination to that Board or equivalent governing body was approved by individuals referred to in clause (1) above constituting at the time of such election or nomination at least a majority of that Board or equivalent governing body, or (3) whose election or nomination to that Board or other equivalent governing body was approved by individuals referred to in clauses (1) and (2) above constituting at the time of such election or nomination at least a majority of that Board or equivalent governing body (excluding, in the case of both clause (2) and clause (3),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or</w:t>
      </w:r>
    </w:p>
    <w:p>
      <w:pPr>
        <w:spacing w:after="0" w:line="7" w:lineRule="exact"/>
        <w:rPr>
          <w:sz w:val="20"/>
          <w:szCs w:val="20"/>
          <w:color w:val="auto"/>
        </w:rPr>
      </w:pPr>
    </w:p>
    <w:p>
      <w:pPr>
        <w:ind w:firstLine="8"/>
        <w:spacing w:after="0" w:line="304" w:lineRule="auto"/>
        <w:tabs>
          <w:tab w:leader="none" w:pos="270" w:val="left"/>
        </w:tabs>
        <w:numPr>
          <w:ilvl w:val="0"/>
          <w:numId w:val="61"/>
        </w:numPr>
        <w:rPr>
          <w:rFonts w:ascii="Arial" w:cs="Arial" w:eastAsia="Arial" w:hAnsi="Arial"/>
          <w:sz w:val="16"/>
          <w:szCs w:val="16"/>
          <w:color w:val="29292B"/>
        </w:rPr>
      </w:pPr>
      <w:r>
        <w:rPr>
          <w:rFonts w:ascii="Arial" w:cs="Arial" w:eastAsia="Arial" w:hAnsi="Arial"/>
          <w:sz w:val="16"/>
          <w:szCs w:val="16"/>
          <w:color w:val="29292B"/>
        </w:rPr>
        <w:t>any person or two or more persons acting in concert shall have acquired,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 (D)the Company sells or transfers (other than by mortgage or pledge) all or substantially all of its properties and assets to, another “person” or “group” (as such terms are used in Sections 13(d) and 14(d) of the Exchange Act).</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68</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29292B"/>
        </w:rPr>
        <w:t>The amounts shown in the tables below are estimates of the value of the payments and benefits each of our NEOs.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Kirsten A. Lynch, Chief Executive Officer</w:t>
      </w:r>
    </w:p>
    <w:p>
      <w:pPr>
        <w:spacing w:after="0" w:line="126"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29292B"/>
        </w:rPr>
        <w:t>Ms. Lynch’s employment agreement provides that upon (i) the giving of notice of non-renewal of the agreement by the Company or termination of employment by the Company without Cause or (ii) termination of employment by Ms. Lynch for Good Reason, Ms. Lynch is entitled to receive certain benefits (so long as she has executed a release in connection with her termination). In the event of a termination for Cause, Ms. Lynch will only be entitled to receive her then-current salary though the date of such termination. In the event of a termination without Cause or resignation for Good Reason, Ms. Lynch will be entitled to receive (i) her then current salary through the effective date of the termination, (ii) a pro-rated bonus for the portion of the Company’s fiscal year though the effective date of her termination, which pro-rated bonus is to be based on applying the level of achievement of her and the Company’s performance targets, and (iii) two years of her then current salary, payable in a lump sum. If, within twelve months of the consummation of a Change in Control of the Company, (i) the Company terminates Ms. Lynch without Cause or gives notice of non-renewal of her agreement, or (ii) Ms. Lynch terminates her employment for Good Reason, Ms. Lynch is entitled to receive (so long as she has executed a release in connection with her termination): (a) her then current salary through the effective date of the termination, (b) a pro-rated bonus for the portion of the Company’s fiscal year though the effective date of her termination, which pro-rated bonus is to be based on applying the level of achievement of her and the Company’s performance targets, and (c) two years of her then current salary, payable in a lump sum, plus an amount equal to the cash bonus paid to Ms. Lynch in the prior calendar year, payable no later than two and a half months following the calendar year in which her termination occurs.</w:t>
      </w:r>
    </w:p>
    <w:p>
      <w:pPr>
        <w:spacing w:after="0" w:line="112"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29292B"/>
        </w:rPr>
        <w:t>The following table describes the estimated potential compensation to Ms. Lynch upon a qualifying termination assuming the termination occurred on July 31,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4140" w:type="dxa"/>
            <w:vAlign w:val="bottom"/>
            <w:shd w:val="clear" w:color="auto" w:fill="98BDE2"/>
          </w:tcPr>
          <w:p>
            <w:pPr>
              <w:spacing w:after="0"/>
              <w:rPr>
                <w:sz w:val="16"/>
                <w:szCs w:val="16"/>
                <w:color w:val="auto"/>
              </w:rPr>
            </w:pPr>
          </w:p>
        </w:tc>
        <w:tc>
          <w:tcPr>
            <w:tcW w:w="7020" w:type="dxa"/>
            <w:vAlign w:val="bottom"/>
            <w:gridSpan w:val="2"/>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Termination without Cause or Termination without Cause or Resignation for</w:t>
            </w:r>
          </w:p>
        </w:tc>
        <w:tc>
          <w:tcPr>
            <w:tcW w:w="0" w:type="dxa"/>
            <w:vAlign w:val="bottom"/>
          </w:tcPr>
          <w:p>
            <w:pPr>
              <w:spacing w:after="0"/>
              <w:rPr>
                <w:sz w:val="1"/>
                <w:szCs w:val="1"/>
                <w:color w:val="auto"/>
              </w:rPr>
            </w:pPr>
          </w:p>
        </w:tc>
      </w:tr>
      <w:tr>
        <w:trPr>
          <w:trHeight w:val="173"/>
        </w:trPr>
        <w:tc>
          <w:tcPr>
            <w:tcW w:w="80" w:type="dxa"/>
            <w:vAlign w:val="bottom"/>
            <w:shd w:val="clear" w:color="auto" w:fill="98BDE2"/>
          </w:tcPr>
          <w:p>
            <w:pPr>
              <w:spacing w:after="0"/>
              <w:rPr>
                <w:sz w:val="15"/>
                <w:szCs w:val="15"/>
                <w:color w:val="auto"/>
              </w:rPr>
            </w:pPr>
          </w:p>
        </w:tc>
        <w:tc>
          <w:tcPr>
            <w:tcW w:w="414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9"/>
                <w:szCs w:val="9"/>
                <w:b w:val="1"/>
                <w:bCs w:val="1"/>
                <w:color w:val="032E5C"/>
              </w:rPr>
              <w:t>(1)</w:t>
            </w:r>
          </w:p>
        </w:tc>
        <w:tc>
          <w:tcPr>
            <w:tcW w:w="3880" w:type="dxa"/>
            <w:vAlign w:val="bottom"/>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Resignation for Good Reason</w:t>
            </w:r>
          </w:p>
        </w:tc>
        <w:tc>
          <w:tcPr>
            <w:tcW w:w="31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Good Reason following Change in Control</w:t>
            </w:r>
          </w:p>
        </w:tc>
        <w:tc>
          <w:tcPr>
            <w:tcW w:w="0" w:type="dxa"/>
            <w:vAlign w:val="bottom"/>
          </w:tcPr>
          <w:p>
            <w:pPr>
              <w:spacing w:after="0"/>
              <w:rPr>
                <w:sz w:val="1"/>
                <w:szCs w:val="1"/>
                <w:color w:val="auto"/>
              </w:rPr>
            </w:pPr>
          </w:p>
        </w:tc>
      </w:tr>
      <w:tr>
        <w:trPr>
          <w:trHeight w:val="235"/>
        </w:trPr>
        <w:tc>
          <w:tcPr>
            <w:tcW w:w="80" w:type="dxa"/>
            <w:vAlign w:val="bottom"/>
            <w:tcBorders>
              <w:bottom w:val="single" w:sz="8" w:color="98BDE2"/>
            </w:tcBorders>
            <w:shd w:val="clear" w:color="auto" w:fill="98BDE2"/>
          </w:tcPr>
          <w:p>
            <w:pPr>
              <w:spacing w:after="0"/>
              <w:rPr>
                <w:sz w:val="20"/>
                <w:szCs w:val="20"/>
                <w:color w:val="auto"/>
              </w:rPr>
            </w:pPr>
          </w:p>
        </w:tc>
        <w:tc>
          <w:tcPr>
            <w:tcW w:w="4140" w:type="dxa"/>
            <w:vAlign w:val="bottom"/>
            <w:tcBorders>
              <w:bottom w:val="single" w:sz="8" w:color="98BDE2"/>
            </w:tcBorders>
            <w:vMerge w:val="continue"/>
            <w:shd w:val="clear" w:color="auto" w:fill="98BDE2"/>
          </w:tcPr>
          <w:p>
            <w:pPr>
              <w:spacing w:after="0"/>
              <w:rPr>
                <w:sz w:val="20"/>
                <w:szCs w:val="20"/>
                <w:color w:val="auto"/>
              </w:rPr>
            </w:pPr>
          </w:p>
        </w:tc>
        <w:tc>
          <w:tcPr>
            <w:tcW w:w="3880" w:type="dxa"/>
            <w:vAlign w:val="bottom"/>
            <w:tcBorders>
              <w:bottom w:val="single" w:sz="8" w:color="98BDE2"/>
            </w:tcBorders>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w:t>
            </w:r>
          </w:p>
        </w:tc>
        <w:tc>
          <w:tcPr>
            <w:tcW w:w="3140" w:type="dxa"/>
            <w:vAlign w:val="bottom"/>
            <w:tcBorders>
              <w:bottom w:val="single" w:sz="8" w:color="98BDE2"/>
            </w:tcBorders>
            <w:shd w:val="clear" w:color="auto" w:fill="98BDE2"/>
          </w:tcPr>
          <w:p>
            <w:pPr>
              <w:jc w:val="right"/>
              <w:ind w:right="48"/>
              <w:spacing w:after="0" w:line="201" w:lineRule="exact"/>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Base Salary</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2,183,600</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2,183,600</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SAR/RSU Acceleration</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4,056,093</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4,056,093</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MIP Award</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1,091,800</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1,423,050</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Health Insurance</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36,449</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414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3880" w:type="dxa"/>
            <w:vAlign w:val="bottom"/>
            <w:tcBorders>
              <w:bottom w:val="single" w:sz="8" w:color="3E5C7C"/>
            </w:tcBorders>
          </w:tcPr>
          <w:p>
            <w:pPr>
              <w:jc w:val="right"/>
              <w:ind w:right="68"/>
              <w:spacing w:after="0"/>
              <w:rPr>
                <w:sz w:val="20"/>
                <w:szCs w:val="20"/>
                <w:color w:val="auto"/>
              </w:rPr>
            </w:pPr>
            <w:r>
              <w:rPr>
                <w:rFonts w:ascii="Arial" w:cs="Arial" w:eastAsia="Arial" w:hAnsi="Arial"/>
                <w:sz w:val="14"/>
                <w:szCs w:val="14"/>
                <w:b w:val="1"/>
                <w:bCs w:val="1"/>
                <w:color w:val="032E5C"/>
              </w:rPr>
              <w:t>7,367,942</w:t>
            </w:r>
          </w:p>
        </w:tc>
        <w:tc>
          <w:tcPr>
            <w:tcW w:w="314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7,662,743</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160" w:hanging="332"/>
        <w:spacing w:after="0" w:line="276" w:lineRule="auto"/>
        <w:tabs>
          <w:tab w:leader="none" w:pos="340" w:val="left"/>
        </w:tabs>
        <w:numPr>
          <w:ilvl w:val="0"/>
          <w:numId w:val="62"/>
        </w:numPr>
        <w:rPr>
          <w:rFonts w:ascii="Arial" w:cs="Arial" w:eastAsia="Arial" w:hAnsi="Arial"/>
          <w:sz w:val="14"/>
          <w:szCs w:val="14"/>
          <w:color w:val="29292B"/>
        </w:rPr>
      </w:pPr>
      <w:r>
        <w:rPr>
          <w:rFonts w:ascii="Arial" w:cs="Arial" w:eastAsia="Arial" w:hAnsi="Arial"/>
          <w:sz w:val="14"/>
          <w:szCs w:val="14"/>
          <w:color w:val="29292B"/>
        </w:rPr>
        <w:t>Assumes the following: (a) base salary equal to $1,091,800 is in effect as of the assumed termination or change in control date of July 31, 2024; (b) executive’s unvested RSUs and SARs at July 31,2024 would be subject to accelerated vesting on that date (when the closing price per share of our common stock was $182.01) (see footnote 2); and (c) all Company targets under the MIP are met and executive’s pro rata MIP award payable as of the termination date is the target amount indicated under Non-Equity Incentive Plan Awards in the Grants of Plan-Based Awards Table above.</w:t>
      </w:r>
    </w:p>
    <w:p>
      <w:pPr>
        <w:spacing w:after="0" w:line="42" w:lineRule="exact"/>
        <w:rPr>
          <w:rFonts w:ascii="Arial" w:cs="Arial" w:eastAsia="Arial" w:hAnsi="Arial"/>
          <w:sz w:val="14"/>
          <w:szCs w:val="14"/>
          <w:color w:val="29292B"/>
        </w:rPr>
      </w:pPr>
    </w:p>
    <w:p>
      <w:pPr>
        <w:ind w:left="340" w:right="80" w:hanging="332"/>
        <w:spacing w:after="0" w:line="283" w:lineRule="auto"/>
        <w:tabs>
          <w:tab w:leader="none" w:pos="340" w:val="left"/>
        </w:tabs>
        <w:numPr>
          <w:ilvl w:val="0"/>
          <w:numId w:val="62"/>
        </w:numPr>
        <w:rPr>
          <w:rFonts w:ascii="Arial" w:cs="Arial" w:eastAsia="Arial" w:hAnsi="Arial"/>
          <w:sz w:val="14"/>
          <w:szCs w:val="14"/>
          <w:color w:val="29292B"/>
        </w:rPr>
      </w:pPr>
      <w:r>
        <w:rPr>
          <w:rFonts w:ascii="Arial" w:cs="Arial" w:eastAsia="Arial" w:hAnsi="Arial"/>
          <w:sz w:val="14"/>
          <w:szCs w:val="14"/>
          <w:color w:val="29292B"/>
        </w:rPr>
        <w:t>Benefits triggered upon termination without Cause or resignation for Good Reason would apply in the same manner following a change in control pursuant to the Company’s executive severance policy when the new owners are bound by the terms of the executive severance policy. In the event of a change in control, equity will only have accelerated vesting if an award is not assumed or replaced or in the event of a termination without Cause within 12 months of a change in control event.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69</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Robert A. Katz, Executive Chairperson and Former Chief Executive Officer</w:t>
      </w:r>
    </w:p>
    <w:p>
      <w:pPr>
        <w:spacing w:after="0" w:line="139" w:lineRule="exact"/>
        <w:rPr>
          <w:sz w:val="20"/>
          <w:szCs w:val="20"/>
          <w:color w:val="auto"/>
        </w:rPr>
      </w:pPr>
    </w:p>
    <w:p>
      <w:pPr>
        <w:jc w:val="both"/>
        <w:ind w:right="40"/>
        <w:spacing w:after="0" w:line="321" w:lineRule="auto"/>
        <w:rPr>
          <w:sz w:val="20"/>
          <w:szCs w:val="20"/>
          <w:color w:val="auto"/>
        </w:rPr>
      </w:pPr>
      <w:r>
        <w:rPr>
          <w:rFonts w:ascii="Arial" w:cs="Arial" w:eastAsia="Arial" w:hAnsi="Arial"/>
          <w:sz w:val="16"/>
          <w:szCs w:val="16"/>
          <w:color w:val="29292B"/>
        </w:rPr>
        <w:t>Mr. Katz’s became subject to the Company's executive severance policy when his employment agreement was terminated upon his departure from the Chief Executive Officer position on November 1, 2021.</w:t>
      </w:r>
    </w:p>
    <w:p>
      <w:pPr>
        <w:spacing w:after="0" w:line="88"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29292B"/>
        </w:rPr>
        <w:t>The following table describes the estimated potential compensation to Mr. Katz upon a qualifying termination assuming the termination occurred on July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4140" w:type="dxa"/>
            <w:vAlign w:val="bottom"/>
            <w:shd w:val="clear" w:color="auto" w:fill="98BDE2"/>
          </w:tcPr>
          <w:p>
            <w:pPr>
              <w:spacing w:after="0"/>
              <w:rPr>
                <w:sz w:val="16"/>
                <w:szCs w:val="16"/>
                <w:color w:val="auto"/>
              </w:rPr>
            </w:pPr>
          </w:p>
        </w:tc>
        <w:tc>
          <w:tcPr>
            <w:tcW w:w="7020" w:type="dxa"/>
            <w:vAlign w:val="bottom"/>
            <w:gridSpan w:val="2"/>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Termination without Cause or Termination without Cause or Resignation for</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414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18"/>
                <w:szCs w:val="18"/>
                <w:b w:val="1"/>
                <w:bCs w:val="1"/>
                <w:color w:val="032E5C"/>
                <w:vertAlign w:val="superscript"/>
              </w:rPr>
              <w:t>(1)</w:t>
            </w:r>
          </w:p>
        </w:tc>
        <w:tc>
          <w:tcPr>
            <w:tcW w:w="3880" w:type="dxa"/>
            <w:vAlign w:val="bottom"/>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Resignation for Good Reason</w:t>
            </w:r>
          </w:p>
        </w:tc>
        <w:tc>
          <w:tcPr>
            <w:tcW w:w="31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Good Reason following Change in Control</w:t>
            </w:r>
          </w:p>
        </w:tc>
        <w:tc>
          <w:tcPr>
            <w:tcW w:w="0" w:type="dxa"/>
            <w:vAlign w:val="bottom"/>
          </w:tcPr>
          <w:p>
            <w:pPr>
              <w:spacing w:after="0"/>
              <w:rPr>
                <w:sz w:val="1"/>
                <w:szCs w:val="1"/>
                <w:color w:val="auto"/>
              </w:rPr>
            </w:pPr>
          </w:p>
        </w:tc>
      </w:tr>
      <w:tr>
        <w:trPr>
          <w:trHeight w:val="246"/>
        </w:trPr>
        <w:tc>
          <w:tcPr>
            <w:tcW w:w="80" w:type="dxa"/>
            <w:vAlign w:val="bottom"/>
            <w:tcBorders>
              <w:bottom w:val="single" w:sz="8" w:color="98BDE2"/>
            </w:tcBorders>
            <w:shd w:val="clear" w:color="auto" w:fill="98BDE2"/>
          </w:tcPr>
          <w:p>
            <w:pPr>
              <w:spacing w:after="0"/>
              <w:rPr>
                <w:sz w:val="21"/>
                <w:szCs w:val="21"/>
                <w:color w:val="auto"/>
              </w:rPr>
            </w:pPr>
          </w:p>
        </w:tc>
        <w:tc>
          <w:tcPr>
            <w:tcW w:w="4140" w:type="dxa"/>
            <w:vAlign w:val="bottom"/>
            <w:tcBorders>
              <w:bottom w:val="single" w:sz="8" w:color="98BDE2"/>
            </w:tcBorders>
            <w:vMerge w:val="continue"/>
            <w:shd w:val="clear" w:color="auto" w:fill="98BDE2"/>
          </w:tcPr>
          <w:p>
            <w:pPr>
              <w:spacing w:after="0"/>
              <w:rPr>
                <w:sz w:val="21"/>
                <w:szCs w:val="21"/>
                <w:color w:val="auto"/>
              </w:rPr>
            </w:pPr>
          </w:p>
        </w:tc>
        <w:tc>
          <w:tcPr>
            <w:tcW w:w="3880" w:type="dxa"/>
            <w:vAlign w:val="bottom"/>
            <w:tcBorders>
              <w:bottom w:val="single" w:sz="8" w:color="98BDE2"/>
            </w:tcBorders>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w:t>
            </w:r>
          </w:p>
        </w:tc>
        <w:tc>
          <w:tcPr>
            <w:tcW w:w="314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Base Salary</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1,091,800</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1,091,800</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SAR/RSU Acceleration</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901,314</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MIP Award</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Health Insurance</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414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3880" w:type="dxa"/>
            <w:vAlign w:val="bottom"/>
            <w:tcBorders>
              <w:bottom w:val="single" w:sz="8" w:color="3E5C7C"/>
            </w:tcBorders>
          </w:tcPr>
          <w:p>
            <w:pPr>
              <w:jc w:val="right"/>
              <w:ind w:right="68"/>
              <w:spacing w:after="0"/>
              <w:rPr>
                <w:sz w:val="20"/>
                <w:szCs w:val="20"/>
                <w:color w:val="auto"/>
              </w:rPr>
            </w:pPr>
            <w:r>
              <w:rPr>
                <w:rFonts w:ascii="Arial" w:cs="Arial" w:eastAsia="Arial" w:hAnsi="Arial"/>
                <w:sz w:val="14"/>
                <w:szCs w:val="14"/>
                <w:b w:val="1"/>
                <w:bCs w:val="1"/>
                <w:color w:val="032E5C"/>
              </w:rPr>
              <w:t>1,091,800</w:t>
            </w:r>
          </w:p>
        </w:tc>
        <w:tc>
          <w:tcPr>
            <w:tcW w:w="314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1,993,114</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60" w:hanging="332"/>
        <w:spacing w:after="0" w:line="284" w:lineRule="auto"/>
        <w:tabs>
          <w:tab w:leader="none" w:pos="340" w:val="left"/>
        </w:tabs>
        <w:numPr>
          <w:ilvl w:val="0"/>
          <w:numId w:val="63"/>
        </w:numPr>
        <w:rPr>
          <w:rFonts w:ascii="Arial" w:cs="Arial" w:eastAsia="Arial" w:hAnsi="Arial"/>
          <w:sz w:val="14"/>
          <w:szCs w:val="14"/>
          <w:color w:val="29292B"/>
        </w:rPr>
      </w:pPr>
      <w:r>
        <w:rPr>
          <w:rFonts w:ascii="Arial" w:cs="Arial" w:eastAsia="Arial" w:hAnsi="Arial"/>
          <w:sz w:val="14"/>
          <w:szCs w:val="14"/>
          <w:color w:val="29292B"/>
        </w:rPr>
        <w:t>Assumes the following: (a) base salary equal to $1,091,800 is in effect as of the assumed termination or change in control date of July 31, 2024 and (b) executive’s unvested RSUs and SARs at July 31, 2024 would be subject to accelerated vesting on that date (when the closing price per share of our common stock was $182.01) (see footnote 2).</w:t>
      </w:r>
    </w:p>
    <w:p>
      <w:pPr>
        <w:spacing w:after="0" w:line="226" w:lineRule="exact"/>
        <w:rPr>
          <w:rFonts w:ascii="Arial" w:cs="Arial" w:eastAsia="Arial" w:hAnsi="Arial"/>
          <w:sz w:val="14"/>
          <w:szCs w:val="14"/>
          <w:color w:val="29292B"/>
        </w:rPr>
      </w:pPr>
    </w:p>
    <w:p>
      <w:pPr>
        <w:ind w:left="340" w:right="140" w:hanging="332"/>
        <w:spacing w:after="0" w:line="269" w:lineRule="auto"/>
        <w:tabs>
          <w:tab w:leader="none" w:pos="340" w:val="left"/>
        </w:tabs>
        <w:numPr>
          <w:ilvl w:val="0"/>
          <w:numId w:val="63"/>
        </w:numPr>
        <w:rPr>
          <w:rFonts w:ascii="Arial" w:cs="Arial" w:eastAsia="Arial" w:hAnsi="Arial"/>
          <w:sz w:val="14"/>
          <w:szCs w:val="14"/>
          <w:color w:val="29292B"/>
        </w:rPr>
      </w:pPr>
      <w:r>
        <w:rPr>
          <w:rFonts w:ascii="Arial" w:cs="Arial" w:eastAsia="Arial" w:hAnsi="Arial"/>
          <w:sz w:val="14"/>
          <w:szCs w:val="14"/>
          <w:color w:val="29292B"/>
        </w:rPr>
        <w:t>Benefits triggered upon termination without cause or resignation for Good Reason would apply in the same manner following a change in control pursuant to the Company’s executive severance policy when the new owners are bound by the terms of the executive severance policy. For equity awards granted in fiscal 2021 and beyond, in the event of a change in control, equity will only have accelerated vesting if an award is not assumed or replaced or in the event of a termination without cause within 12 months of a change in control event.</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Angela A. Korch, Executive Vice President and Chief Financial Officer</w:t>
      </w:r>
    </w:p>
    <w:p>
      <w:pPr>
        <w:spacing w:after="0" w:line="126"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29292B"/>
        </w:rPr>
        <w:t>The following table describes the estimated potential compensation to Ms. Korch upon a qualifying termination assuming the termination occurred on July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4140" w:type="dxa"/>
            <w:vAlign w:val="bottom"/>
            <w:shd w:val="clear" w:color="auto" w:fill="98BDE2"/>
          </w:tcPr>
          <w:p>
            <w:pPr>
              <w:spacing w:after="0"/>
              <w:rPr>
                <w:sz w:val="16"/>
                <w:szCs w:val="16"/>
                <w:color w:val="auto"/>
              </w:rPr>
            </w:pPr>
          </w:p>
        </w:tc>
        <w:tc>
          <w:tcPr>
            <w:tcW w:w="7020" w:type="dxa"/>
            <w:vAlign w:val="bottom"/>
            <w:gridSpan w:val="2"/>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Termination without Cause or Termination without Cause or Resignation for</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414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18"/>
                <w:szCs w:val="18"/>
                <w:b w:val="1"/>
                <w:bCs w:val="1"/>
                <w:color w:val="032E5C"/>
                <w:vertAlign w:val="superscript"/>
              </w:rPr>
              <w:t>(1)</w:t>
            </w:r>
          </w:p>
        </w:tc>
        <w:tc>
          <w:tcPr>
            <w:tcW w:w="3880" w:type="dxa"/>
            <w:vAlign w:val="bottom"/>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Resignation for Good Reason</w:t>
            </w:r>
          </w:p>
        </w:tc>
        <w:tc>
          <w:tcPr>
            <w:tcW w:w="31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Good Reason following Change in Control</w:t>
            </w:r>
          </w:p>
        </w:tc>
        <w:tc>
          <w:tcPr>
            <w:tcW w:w="0" w:type="dxa"/>
            <w:vAlign w:val="bottom"/>
          </w:tcPr>
          <w:p>
            <w:pPr>
              <w:spacing w:after="0"/>
              <w:rPr>
                <w:sz w:val="1"/>
                <w:szCs w:val="1"/>
                <w:color w:val="auto"/>
              </w:rPr>
            </w:pPr>
          </w:p>
        </w:tc>
      </w:tr>
      <w:tr>
        <w:trPr>
          <w:trHeight w:val="246"/>
        </w:trPr>
        <w:tc>
          <w:tcPr>
            <w:tcW w:w="80" w:type="dxa"/>
            <w:vAlign w:val="bottom"/>
            <w:tcBorders>
              <w:bottom w:val="single" w:sz="8" w:color="98BDE2"/>
            </w:tcBorders>
            <w:shd w:val="clear" w:color="auto" w:fill="98BDE2"/>
          </w:tcPr>
          <w:p>
            <w:pPr>
              <w:spacing w:after="0"/>
              <w:rPr>
                <w:sz w:val="21"/>
                <w:szCs w:val="21"/>
                <w:color w:val="auto"/>
              </w:rPr>
            </w:pPr>
          </w:p>
        </w:tc>
        <w:tc>
          <w:tcPr>
            <w:tcW w:w="4140" w:type="dxa"/>
            <w:vAlign w:val="bottom"/>
            <w:tcBorders>
              <w:bottom w:val="single" w:sz="8" w:color="98BDE2"/>
            </w:tcBorders>
            <w:vMerge w:val="continue"/>
            <w:shd w:val="clear" w:color="auto" w:fill="98BDE2"/>
          </w:tcPr>
          <w:p>
            <w:pPr>
              <w:spacing w:after="0"/>
              <w:rPr>
                <w:sz w:val="21"/>
                <w:szCs w:val="21"/>
                <w:color w:val="auto"/>
              </w:rPr>
            </w:pPr>
          </w:p>
        </w:tc>
        <w:tc>
          <w:tcPr>
            <w:tcW w:w="3880" w:type="dxa"/>
            <w:vAlign w:val="bottom"/>
            <w:tcBorders>
              <w:bottom w:val="single" w:sz="8" w:color="98BDE2"/>
            </w:tcBorders>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w:t>
            </w:r>
          </w:p>
        </w:tc>
        <w:tc>
          <w:tcPr>
            <w:tcW w:w="314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Base Salary</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590,000</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590,000</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SAR/RSU Acceleration</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973,389</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MIP Award</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105,050</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Health Insurance</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414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3880" w:type="dxa"/>
            <w:vAlign w:val="bottom"/>
            <w:tcBorders>
              <w:bottom w:val="single" w:sz="8" w:color="3E5C7C"/>
            </w:tcBorders>
          </w:tcPr>
          <w:p>
            <w:pPr>
              <w:jc w:val="right"/>
              <w:ind w:right="68"/>
              <w:spacing w:after="0"/>
              <w:rPr>
                <w:sz w:val="20"/>
                <w:szCs w:val="20"/>
                <w:color w:val="auto"/>
              </w:rPr>
            </w:pPr>
            <w:r>
              <w:rPr>
                <w:rFonts w:ascii="Arial" w:cs="Arial" w:eastAsia="Arial" w:hAnsi="Arial"/>
                <w:sz w:val="14"/>
                <w:szCs w:val="14"/>
                <w:b w:val="1"/>
                <w:bCs w:val="1"/>
                <w:color w:val="032E5C"/>
              </w:rPr>
              <w:t>590,000</w:t>
            </w:r>
          </w:p>
        </w:tc>
        <w:tc>
          <w:tcPr>
            <w:tcW w:w="314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1,668,439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0" w:hanging="332"/>
        <w:spacing w:after="0" w:line="284" w:lineRule="auto"/>
        <w:tabs>
          <w:tab w:leader="none" w:pos="340" w:val="left"/>
        </w:tabs>
        <w:numPr>
          <w:ilvl w:val="0"/>
          <w:numId w:val="64"/>
        </w:numPr>
        <w:rPr>
          <w:rFonts w:ascii="Arial" w:cs="Arial" w:eastAsia="Arial" w:hAnsi="Arial"/>
          <w:sz w:val="14"/>
          <w:szCs w:val="14"/>
          <w:color w:val="29292B"/>
        </w:rPr>
      </w:pPr>
      <w:r>
        <w:rPr>
          <w:rFonts w:ascii="Arial" w:cs="Arial" w:eastAsia="Arial" w:hAnsi="Arial"/>
          <w:sz w:val="14"/>
          <w:szCs w:val="14"/>
          <w:color w:val="29292B"/>
        </w:rPr>
        <w:t>Assumes the following: (a) base salary equal to $590,000 is in effect as of the assumed termination or change in control date of July 31, 2024; and (b) executive’s unvested SARs and RSUs at July 31, 2024 would be subject to accelerated vesting on that date (when the closing price per share of our common stock was $182.01) (see footnote 2).</w:t>
      </w:r>
    </w:p>
    <w:p>
      <w:pPr>
        <w:spacing w:after="0" w:line="226" w:lineRule="exact"/>
        <w:rPr>
          <w:rFonts w:ascii="Arial" w:cs="Arial" w:eastAsia="Arial" w:hAnsi="Arial"/>
          <w:sz w:val="14"/>
          <w:szCs w:val="14"/>
          <w:color w:val="29292B"/>
        </w:rPr>
      </w:pPr>
    </w:p>
    <w:p>
      <w:pPr>
        <w:ind w:left="340" w:right="140" w:hanging="332"/>
        <w:spacing w:after="0" w:line="269" w:lineRule="auto"/>
        <w:tabs>
          <w:tab w:leader="none" w:pos="340" w:val="left"/>
        </w:tabs>
        <w:numPr>
          <w:ilvl w:val="0"/>
          <w:numId w:val="64"/>
        </w:numPr>
        <w:rPr>
          <w:rFonts w:ascii="Arial" w:cs="Arial" w:eastAsia="Arial" w:hAnsi="Arial"/>
          <w:sz w:val="14"/>
          <w:szCs w:val="14"/>
          <w:color w:val="29292B"/>
        </w:rPr>
      </w:pPr>
      <w:r>
        <w:rPr>
          <w:rFonts w:ascii="Arial" w:cs="Arial" w:eastAsia="Arial" w:hAnsi="Arial"/>
          <w:sz w:val="14"/>
          <w:szCs w:val="14"/>
          <w:color w:val="29292B"/>
        </w:rPr>
        <w:t>Benefits triggered upon termination without cause or resignation for Good Reason would apply in the same manner following a change in control pursuant to the Company’s executive severance policy when the new owners are bound by the terms of the executive severance policy. For equity awards granted in fiscal 2021 and beyond, in the event of a change in control, equity will only have accelerated vesting if an award is not assumed or replaced or in the event of a termination without cause within 12 months of a change in control event.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70</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-143510</wp:posOffset>
            </wp:positionV>
            <wp:extent cx="925830" cy="857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William C. Rock, President - Mountain Division</w:t>
      </w:r>
    </w:p>
    <w:p>
      <w:pPr>
        <w:spacing w:after="0" w:line="139"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29292B"/>
        </w:rPr>
        <w:t>The following table describes the estimated potential compensation to Mr. Rock upon a qualifying termination assuming the termination occurred on July 31,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4140" w:type="dxa"/>
            <w:vAlign w:val="bottom"/>
            <w:shd w:val="clear" w:color="auto" w:fill="98BDE2"/>
          </w:tcPr>
          <w:p>
            <w:pPr>
              <w:spacing w:after="0"/>
              <w:rPr>
                <w:sz w:val="16"/>
                <w:szCs w:val="16"/>
                <w:color w:val="auto"/>
              </w:rPr>
            </w:pPr>
          </w:p>
        </w:tc>
        <w:tc>
          <w:tcPr>
            <w:tcW w:w="7020" w:type="dxa"/>
            <w:vAlign w:val="bottom"/>
            <w:gridSpan w:val="2"/>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Termination without Cause or Termination without Cause or Resignation for</w:t>
            </w:r>
          </w:p>
        </w:tc>
        <w:tc>
          <w:tcPr>
            <w:tcW w:w="0" w:type="dxa"/>
            <w:vAlign w:val="bottom"/>
          </w:tcPr>
          <w:p>
            <w:pPr>
              <w:spacing w:after="0"/>
              <w:rPr>
                <w:sz w:val="1"/>
                <w:szCs w:val="1"/>
                <w:color w:val="auto"/>
              </w:rPr>
            </w:pPr>
          </w:p>
        </w:tc>
      </w:tr>
      <w:tr>
        <w:trPr>
          <w:trHeight w:val="173"/>
        </w:trPr>
        <w:tc>
          <w:tcPr>
            <w:tcW w:w="80" w:type="dxa"/>
            <w:vAlign w:val="bottom"/>
            <w:shd w:val="clear" w:color="auto" w:fill="98BDE2"/>
          </w:tcPr>
          <w:p>
            <w:pPr>
              <w:spacing w:after="0"/>
              <w:rPr>
                <w:sz w:val="15"/>
                <w:szCs w:val="15"/>
                <w:color w:val="auto"/>
              </w:rPr>
            </w:pPr>
          </w:p>
        </w:tc>
        <w:tc>
          <w:tcPr>
            <w:tcW w:w="414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18"/>
                <w:szCs w:val="18"/>
                <w:b w:val="1"/>
                <w:bCs w:val="1"/>
                <w:color w:val="032E5C"/>
                <w:vertAlign w:val="superscript"/>
              </w:rPr>
              <w:t>(1)</w:t>
            </w:r>
          </w:p>
        </w:tc>
        <w:tc>
          <w:tcPr>
            <w:tcW w:w="3880" w:type="dxa"/>
            <w:vAlign w:val="bottom"/>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Resignation for Good Reason</w:t>
            </w:r>
          </w:p>
        </w:tc>
        <w:tc>
          <w:tcPr>
            <w:tcW w:w="31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Good Reason following Change in Control</w:t>
            </w:r>
          </w:p>
        </w:tc>
        <w:tc>
          <w:tcPr>
            <w:tcW w:w="0" w:type="dxa"/>
            <w:vAlign w:val="bottom"/>
          </w:tcPr>
          <w:p>
            <w:pPr>
              <w:spacing w:after="0"/>
              <w:rPr>
                <w:sz w:val="1"/>
                <w:szCs w:val="1"/>
                <w:color w:val="auto"/>
              </w:rPr>
            </w:pPr>
          </w:p>
        </w:tc>
      </w:tr>
      <w:tr>
        <w:trPr>
          <w:trHeight w:val="235"/>
        </w:trPr>
        <w:tc>
          <w:tcPr>
            <w:tcW w:w="80" w:type="dxa"/>
            <w:vAlign w:val="bottom"/>
            <w:tcBorders>
              <w:bottom w:val="single" w:sz="8" w:color="98BDE2"/>
            </w:tcBorders>
            <w:shd w:val="clear" w:color="auto" w:fill="98BDE2"/>
          </w:tcPr>
          <w:p>
            <w:pPr>
              <w:spacing w:after="0"/>
              <w:rPr>
                <w:sz w:val="20"/>
                <w:szCs w:val="20"/>
                <w:color w:val="auto"/>
              </w:rPr>
            </w:pPr>
          </w:p>
        </w:tc>
        <w:tc>
          <w:tcPr>
            <w:tcW w:w="4140" w:type="dxa"/>
            <w:vAlign w:val="bottom"/>
            <w:tcBorders>
              <w:bottom w:val="single" w:sz="8" w:color="98BDE2"/>
            </w:tcBorders>
            <w:vMerge w:val="continue"/>
            <w:shd w:val="clear" w:color="auto" w:fill="98BDE2"/>
          </w:tcPr>
          <w:p>
            <w:pPr>
              <w:spacing w:after="0"/>
              <w:rPr>
                <w:sz w:val="20"/>
                <w:szCs w:val="20"/>
                <w:color w:val="auto"/>
              </w:rPr>
            </w:pPr>
          </w:p>
        </w:tc>
        <w:tc>
          <w:tcPr>
            <w:tcW w:w="3880" w:type="dxa"/>
            <w:vAlign w:val="bottom"/>
            <w:tcBorders>
              <w:bottom w:val="single" w:sz="8" w:color="98BDE2"/>
            </w:tcBorders>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w:t>
            </w:r>
          </w:p>
        </w:tc>
        <w:tc>
          <w:tcPr>
            <w:tcW w:w="3140" w:type="dxa"/>
            <w:vAlign w:val="bottom"/>
            <w:tcBorders>
              <w:bottom w:val="single" w:sz="8" w:color="98BDE2"/>
            </w:tcBorders>
            <w:shd w:val="clear" w:color="auto" w:fill="98BDE2"/>
          </w:tcPr>
          <w:p>
            <w:pPr>
              <w:jc w:val="right"/>
              <w:ind w:right="48"/>
              <w:spacing w:after="0" w:line="201" w:lineRule="exact"/>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Base Salary</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515,000</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515,000</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SAR/RSU Acceleration</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665,975</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MIP Award</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91,696</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Health Insurance</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414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3880" w:type="dxa"/>
            <w:vAlign w:val="bottom"/>
            <w:tcBorders>
              <w:bottom w:val="single" w:sz="8" w:color="3E5C7C"/>
            </w:tcBorders>
          </w:tcPr>
          <w:p>
            <w:pPr>
              <w:jc w:val="right"/>
              <w:ind w:right="68"/>
              <w:spacing w:after="0"/>
              <w:rPr>
                <w:sz w:val="20"/>
                <w:szCs w:val="20"/>
                <w:color w:val="auto"/>
              </w:rPr>
            </w:pPr>
            <w:r>
              <w:rPr>
                <w:rFonts w:ascii="Arial" w:cs="Arial" w:eastAsia="Arial" w:hAnsi="Arial"/>
                <w:sz w:val="14"/>
                <w:szCs w:val="14"/>
                <w:b w:val="1"/>
                <w:bCs w:val="1"/>
                <w:color w:val="032E5C"/>
              </w:rPr>
              <w:t>515,000</w:t>
            </w:r>
          </w:p>
        </w:tc>
        <w:tc>
          <w:tcPr>
            <w:tcW w:w="314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1,272,671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0" w:hanging="332"/>
        <w:spacing w:after="0" w:line="297" w:lineRule="auto"/>
        <w:tabs>
          <w:tab w:leader="none" w:pos="340" w:val="left"/>
        </w:tabs>
        <w:numPr>
          <w:ilvl w:val="0"/>
          <w:numId w:val="65"/>
        </w:numPr>
        <w:rPr>
          <w:rFonts w:ascii="Arial" w:cs="Arial" w:eastAsia="Arial" w:hAnsi="Arial"/>
          <w:sz w:val="14"/>
          <w:szCs w:val="14"/>
          <w:color w:val="29292B"/>
        </w:rPr>
      </w:pPr>
      <w:r>
        <w:rPr>
          <w:rFonts w:ascii="Arial" w:cs="Arial" w:eastAsia="Arial" w:hAnsi="Arial"/>
          <w:sz w:val="14"/>
          <w:szCs w:val="14"/>
          <w:color w:val="29292B"/>
        </w:rPr>
        <w:t>Assumes the following: (a) base salary equal to $515,000 is in effect as of the assumed termination or change in control date of July 31, 2024; and (b) executive’s unvested SARs and RSUs at July 31, 2024 would be subject to accelerated vesting on that date (when the closing price per share of our common stock was $182.01) (see footnote 2).</w:t>
      </w:r>
    </w:p>
    <w:p>
      <w:pPr>
        <w:spacing w:after="0" w:line="209" w:lineRule="exact"/>
        <w:rPr>
          <w:rFonts w:ascii="Arial" w:cs="Arial" w:eastAsia="Arial" w:hAnsi="Arial"/>
          <w:sz w:val="14"/>
          <w:szCs w:val="14"/>
          <w:color w:val="29292B"/>
        </w:rPr>
      </w:pPr>
    </w:p>
    <w:p>
      <w:pPr>
        <w:ind w:left="340" w:right="140" w:hanging="332"/>
        <w:spacing w:after="0" w:line="276" w:lineRule="auto"/>
        <w:tabs>
          <w:tab w:leader="none" w:pos="340" w:val="left"/>
        </w:tabs>
        <w:numPr>
          <w:ilvl w:val="0"/>
          <w:numId w:val="65"/>
        </w:numPr>
        <w:rPr>
          <w:rFonts w:ascii="Arial" w:cs="Arial" w:eastAsia="Arial" w:hAnsi="Arial"/>
          <w:sz w:val="14"/>
          <w:szCs w:val="14"/>
          <w:color w:val="29292B"/>
        </w:rPr>
      </w:pPr>
      <w:r>
        <w:rPr>
          <w:rFonts w:ascii="Arial" w:cs="Arial" w:eastAsia="Arial" w:hAnsi="Arial"/>
          <w:sz w:val="14"/>
          <w:szCs w:val="14"/>
          <w:color w:val="29292B"/>
        </w:rPr>
        <w:t>Benefits triggered upon termination without cause or resignation for Good Reason would apply in the same manner following a change in control pursuant to the Company’s executive severance policy when the new owners are bound by the terms of the executive severance policy. For equity awards granted in fiscal 2021 and beyond, in the event of a change in control, equity will only have accelerated vesting if an award is not assumed or replaced or in the event of a termination without cause within 12 months of a change in control event.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David T. Shapiro, Former Executive Vice President, General Counsel and Secretary</w:t>
      </w:r>
    </w:p>
    <w:p>
      <w:pPr>
        <w:spacing w:after="0" w:line="139"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29292B"/>
        </w:rPr>
        <w:t>Effective upon Mr. Shapiro’s voluntary resignation from the company on February 23, 2024, he is no longer eligible for a termination payment, as reflected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5200" w:type="dxa"/>
            <w:vAlign w:val="bottom"/>
            <w:shd w:val="clear" w:color="auto" w:fill="98BDE2"/>
          </w:tcPr>
          <w:p>
            <w:pPr>
              <w:spacing w:after="0"/>
              <w:rPr>
                <w:sz w:val="16"/>
                <w:szCs w:val="16"/>
                <w:color w:val="auto"/>
              </w:rPr>
            </w:pPr>
          </w:p>
        </w:tc>
        <w:tc>
          <w:tcPr>
            <w:tcW w:w="5960" w:type="dxa"/>
            <w:vAlign w:val="bottom"/>
            <w:gridSpan w:val="3"/>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Termination without Cause or Termination without Cause or Resignation for</w:t>
            </w:r>
          </w:p>
        </w:tc>
        <w:tc>
          <w:tcPr>
            <w:tcW w:w="0" w:type="dxa"/>
            <w:vAlign w:val="bottom"/>
          </w:tcPr>
          <w:p>
            <w:pPr>
              <w:spacing w:after="0"/>
              <w:rPr>
                <w:sz w:val="1"/>
                <w:szCs w:val="1"/>
                <w:color w:val="auto"/>
              </w:rPr>
            </w:pPr>
          </w:p>
        </w:tc>
      </w:tr>
      <w:tr>
        <w:trPr>
          <w:trHeight w:val="173"/>
        </w:trPr>
        <w:tc>
          <w:tcPr>
            <w:tcW w:w="80" w:type="dxa"/>
            <w:vAlign w:val="bottom"/>
            <w:shd w:val="clear" w:color="auto" w:fill="98BDE2"/>
          </w:tcPr>
          <w:p>
            <w:pPr>
              <w:spacing w:after="0"/>
              <w:rPr>
                <w:sz w:val="15"/>
                <w:szCs w:val="15"/>
                <w:color w:val="auto"/>
              </w:rPr>
            </w:pPr>
          </w:p>
        </w:tc>
        <w:tc>
          <w:tcPr>
            <w:tcW w:w="520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18"/>
                <w:szCs w:val="18"/>
                <w:b w:val="1"/>
                <w:bCs w:val="1"/>
                <w:color w:val="032E5C"/>
                <w:vertAlign w:val="superscript"/>
              </w:rPr>
              <w:t>(1)</w:t>
            </w:r>
          </w:p>
        </w:tc>
        <w:tc>
          <w:tcPr>
            <w:tcW w:w="2820" w:type="dxa"/>
            <w:vAlign w:val="bottom"/>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Resignation for Good Reason</w:t>
            </w:r>
          </w:p>
        </w:tc>
        <w:tc>
          <w:tcPr>
            <w:tcW w:w="3140" w:type="dxa"/>
            <w:vAlign w:val="bottom"/>
            <w:gridSpan w:val="2"/>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Good Reason following Change in Control</w:t>
            </w:r>
          </w:p>
        </w:tc>
        <w:tc>
          <w:tcPr>
            <w:tcW w:w="0" w:type="dxa"/>
            <w:vAlign w:val="bottom"/>
          </w:tcPr>
          <w:p>
            <w:pPr>
              <w:spacing w:after="0"/>
              <w:rPr>
                <w:sz w:val="1"/>
                <w:szCs w:val="1"/>
                <w:color w:val="auto"/>
              </w:rPr>
            </w:pPr>
          </w:p>
        </w:tc>
      </w:tr>
      <w:tr>
        <w:trPr>
          <w:trHeight w:val="255"/>
        </w:trPr>
        <w:tc>
          <w:tcPr>
            <w:tcW w:w="80" w:type="dxa"/>
            <w:vAlign w:val="bottom"/>
            <w:tcBorders>
              <w:bottom w:val="single" w:sz="8" w:color="98BDE2"/>
            </w:tcBorders>
            <w:shd w:val="clear" w:color="auto" w:fill="98BDE2"/>
          </w:tcPr>
          <w:p>
            <w:pPr>
              <w:spacing w:after="0"/>
              <w:rPr>
                <w:sz w:val="22"/>
                <w:szCs w:val="22"/>
                <w:color w:val="auto"/>
              </w:rPr>
            </w:pPr>
          </w:p>
        </w:tc>
        <w:tc>
          <w:tcPr>
            <w:tcW w:w="5200" w:type="dxa"/>
            <w:vAlign w:val="bottom"/>
            <w:tcBorders>
              <w:bottom w:val="single" w:sz="8" w:color="98BDE2"/>
            </w:tcBorders>
            <w:vMerge w:val="continue"/>
            <w:shd w:val="clear" w:color="auto" w:fill="98BDE2"/>
          </w:tcPr>
          <w:p>
            <w:pPr>
              <w:spacing w:after="0"/>
              <w:rPr>
                <w:sz w:val="22"/>
                <w:szCs w:val="22"/>
                <w:color w:val="auto"/>
              </w:rPr>
            </w:pPr>
          </w:p>
        </w:tc>
        <w:tc>
          <w:tcPr>
            <w:tcW w:w="2820" w:type="dxa"/>
            <w:vAlign w:val="bottom"/>
            <w:tcBorders>
              <w:bottom w:val="single" w:sz="8" w:color="98BDE2"/>
            </w:tcBorders>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w:t>
            </w:r>
          </w:p>
        </w:tc>
        <w:tc>
          <w:tcPr>
            <w:tcW w:w="3040" w:type="dxa"/>
            <w:vAlign w:val="bottom"/>
            <w:tcBorders>
              <w:bottom w:val="single" w:sz="8" w:color="98BDE2"/>
            </w:tcBorders>
            <w:shd w:val="clear" w:color="auto" w:fill="98BDE2"/>
          </w:tcPr>
          <w:p>
            <w:pPr>
              <w:jc w:val="right"/>
              <w:spacing w:after="0" w:line="201" w:lineRule="exact"/>
              <w:rPr>
                <w:sz w:val="20"/>
                <w:szCs w:val="20"/>
                <w:color w:val="auto"/>
              </w:rPr>
            </w:pPr>
            <w:r>
              <w:rPr>
                <w:rFonts w:ascii="Arial" w:cs="Arial" w:eastAsia="Arial" w:hAnsi="Arial"/>
                <w:sz w:val="23"/>
                <w:szCs w:val="23"/>
                <w:b w:val="1"/>
                <w:bCs w:val="1"/>
                <w:color w:val="032E5C"/>
                <w:vertAlign w:val="subscript"/>
              </w:rPr>
              <w:t>($)</w:t>
            </w:r>
            <w:r>
              <w:rPr>
                <w:rFonts w:ascii="Arial" w:cs="Arial" w:eastAsia="Arial" w:hAnsi="Arial"/>
                <w:sz w:val="8"/>
                <w:szCs w:val="8"/>
                <w:b w:val="1"/>
                <w:bCs w:val="1"/>
                <w:color w:val="032E5C"/>
              </w:rPr>
              <w:t>(2)</w:t>
            </w:r>
          </w:p>
        </w:tc>
        <w:tc>
          <w:tcPr>
            <w:tcW w:w="100" w:type="dxa"/>
            <w:vAlign w:val="bottom"/>
            <w:tcBorders>
              <w:bottom w:val="single" w:sz="8" w:color="98BDE2"/>
            </w:tcBorders>
            <w:shd w:val="clear" w:color="auto" w:fill="98BDE2"/>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032E5C"/>
              </w:rPr>
              <w:t>Base Salary</w:t>
            </w:r>
          </w:p>
        </w:tc>
        <w:tc>
          <w:tcPr>
            <w:tcW w:w="282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gridSpan w:val="2"/>
          </w:tcPr>
          <w:p>
            <w:pPr>
              <w:jc w:val="right"/>
              <w:ind w:right="120"/>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5200" w:type="dxa"/>
            <w:vAlign w:val="bottom"/>
            <w:tcBorders>
              <w:bottom w:val="single" w:sz="8" w:color="98BDE2"/>
            </w:tcBorders>
          </w:tcPr>
          <w:p>
            <w:pPr>
              <w:spacing w:after="0" w:line="20" w:lineRule="exact"/>
              <w:rPr>
                <w:sz w:val="1"/>
                <w:szCs w:val="1"/>
                <w:color w:val="auto"/>
              </w:rPr>
            </w:pPr>
          </w:p>
        </w:tc>
        <w:tc>
          <w:tcPr>
            <w:tcW w:w="2820" w:type="dxa"/>
            <w:vAlign w:val="bottom"/>
            <w:tcBorders>
              <w:bottom w:val="single" w:sz="8" w:color="98BDE2"/>
            </w:tcBorders>
          </w:tcPr>
          <w:p>
            <w:pPr>
              <w:spacing w:after="0" w:line="20" w:lineRule="exact"/>
              <w:rPr>
                <w:sz w:val="1"/>
                <w:szCs w:val="1"/>
                <w:color w:val="auto"/>
              </w:rPr>
            </w:pPr>
          </w:p>
        </w:tc>
        <w:tc>
          <w:tcPr>
            <w:tcW w:w="3040" w:type="dxa"/>
            <w:vAlign w:val="bottom"/>
            <w:tcBorders>
              <w:bottom w:val="single" w:sz="8" w:color="98BDE2"/>
            </w:tcBorders>
          </w:tcPr>
          <w:p>
            <w:pPr>
              <w:spacing w:after="0" w:line="20" w:lineRule="exact"/>
              <w:rPr>
                <w:sz w:val="1"/>
                <w:szCs w:val="1"/>
                <w:color w:val="auto"/>
              </w:rPr>
            </w:pPr>
          </w:p>
        </w:tc>
        <w:tc>
          <w:tcPr>
            <w:tcW w:w="10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032E5C"/>
              </w:rPr>
              <w:t>SAR/RSU Acceleration</w:t>
            </w:r>
          </w:p>
        </w:tc>
        <w:tc>
          <w:tcPr>
            <w:tcW w:w="282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gridSpan w:val="2"/>
          </w:tcPr>
          <w:p>
            <w:pPr>
              <w:jc w:val="right"/>
              <w:ind w:right="120"/>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5200" w:type="dxa"/>
            <w:vAlign w:val="bottom"/>
            <w:tcBorders>
              <w:bottom w:val="single" w:sz="8" w:color="98BDE2"/>
            </w:tcBorders>
          </w:tcPr>
          <w:p>
            <w:pPr>
              <w:spacing w:after="0" w:line="20" w:lineRule="exact"/>
              <w:rPr>
                <w:sz w:val="1"/>
                <w:szCs w:val="1"/>
                <w:color w:val="auto"/>
              </w:rPr>
            </w:pPr>
          </w:p>
        </w:tc>
        <w:tc>
          <w:tcPr>
            <w:tcW w:w="2820" w:type="dxa"/>
            <w:vAlign w:val="bottom"/>
            <w:tcBorders>
              <w:bottom w:val="single" w:sz="8" w:color="98BDE2"/>
            </w:tcBorders>
          </w:tcPr>
          <w:p>
            <w:pPr>
              <w:spacing w:after="0" w:line="20" w:lineRule="exact"/>
              <w:rPr>
                <w:sz w:val="1"/>
                <w:szCs w:val="1"/>
                <w:color w:val="auto"/>
              </w:rPr>
            </w:pPr>
          </w:p>
        </w:tc>
        <w:tc>
          <w:tcPr>
            <w:tcW w:w="3040" w:type="dxa"/>
            <w:vAlign w:val="bottom"/>
            <w:tcBorders>
              <w:bottom w:val="single" w:sz="8" w:color="98BDE2"/>
            </w:tcBorders>
          </w:tcPr>
          <w:p>
            <w:pPr>
              <w:spacing w:after="0" w:line="20" w:lineRule="exact"/>
              <w:rPr>
                <w:sz w:val="1"/>
                <w:szCs w:val="1"/>
                <w:color w:val="auto"/>
              </w:rPr>
            </w:pPr>
          </w:p>
        </w:tc>
        <w:tc>
          <w:tcPr>
            <w:tcW w:w="10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032E5C"/>
              </w:rPr>
              <w:t>MIP Award</w:t>
            </w:r>
          </w:p>
        </w:tc>
        <w:tc>
          <w:tcPr>
            <w:tcW w:w="282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gridSpan w:val="2"/>
          </w:tcPr>
          <w:p>
            <w:pPr>
              <w:jc w:val="right"/>
              <w:ind w:right="120"/>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5200" w:type="dxa"/>
            <w:vAlign w:val="bottom"/>
            <w:tcBorders>
              <w:bottom w:val="single" w:sz="8" w:color="98BDE2"/>
            </w:tcBorders>
          </w:tcPr>
          <w:p>
            <w:pPr>
              <w:spacing w:after="0" w:line="20" w:lineRule="exact"/>
              <w:rPr>
                <w:sz w:val="1"/>
                <w:szCs w:val="1"/>
                <w:color w:val="auto"/>
              </w:rPr>
            </w:pPr>
          </w:p>
        </w:tc>
        <w:tc>
          <w:tcPr>
            <w:tcW w:w="2820" w:type="dxa"/>
            <w:vAlign w:val="bottom"/>
            <w:tcBorders>
              <w:bottom w:val="single" w:sz="8" w:color="98BDE2"/>
            </w:tcBorders>
          </w:tcPr>
          <w:p>
            <w:pPr>
              <w:spacing w:after="0" w:line="20" w:lineRule="exact"/>
              <w:rPr>
                <w:sz w:val="1"/>
                <w:szCs w:val="1"/>
                <w:color w:val="auto"/>
              </w:rPr>
            </w:pPr>
          </w:p>
        </w:tc>
        <w:tc>
          <w:tcPr>
            <w:tcW w:w="3040" w:type="dxa"/>
            <w:vAlign w:val="bottom"/>
            <w:tcBorders>
              <w:bottom w:val="single" w:sz="8" w:color="98BDE2"/>
            </w:tcBorders>
          </w:tcPr>
          <w:p>
            <w:pPr>
              <w:spacing w:after="0" w:line="20" w:lineRule="exact"/>
              <w:rPr>
                <w:sz w:val="1"/>
                <w:szCs w:val="1"/>
                <w:color w:val="auto"/>
              </w:rPr>
            </w:pPr>
          </w:p>
        </w:tc>
        <w:tc>
          <w:tcPr>
            <w:tcW w:w="10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032E5C"/>
              </w:rPr>
              <w:t>Health Insurance</w:t>
            </w:r>
          </w:p>
        </w:tc>
        <w:tc>
          <w:tcPr>
            <w:tcW w:w="282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gridSpan w:val="2"/>
          </w:tcPr>
          <w:p>
            <w:pPr>
              <w:jc w:val="right"/>
              <w:ind w:right="120"/>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5200" w:type="dxa"/>
            <w:vAlign w:val="bottom"/>
            <w:tcBorders>
              <w:bottom w:val="single" w:sz="8" w:color="98BDE2"/>
            </w:tcBorders>
          </w:tcPr>
          <w:p>
            <w:pPr>
              <w:spacing w:after="0" w:line="20" w:lineRule="exact"/>
              <w:rPr>
                <w:sz w:val="1"/>
                <w:szCs w:val="1"/>
                <w:color w:val="auto"/>
              </w:rPr>
            </w:pPr>
          </w:p>
        </w:tc>
        <w:tc>
          <w:tcPr>
            <w:tcW w:w="2820" w:type="dxa"/>
            <w:vAlign w:val="bottom"/>
            <w:tcBorders>
              <w:bottom w:val="single" w:sz="8" w:color="98BDE2"/>
            </w:tcBorders>
          </w:tcPr>
          <w:p>
            <w:pPr>
              <w:spacing w:after="0" w:line="20" w:lineRule="exact"/>
              <w:rPr>
                <w:sz w:val="1"/>
                <w:szCs w:val="1"/>
                <w:color w:val="auto"/>
              </w:rPr>
            </w:pPr>
          </w:p>
        </w:tc>
        <w:tc>
          <w:tcPr>
            <w:tcW w:w="3040" w:type="dxa"/>
            <w:vAlign w:val="bottom"/>
            <w:tcBorders>
              <w:bottom w:val="single" w:sz="8" w:color="98BDE2"/>
            </w:tcBorders>
          </w:tcPr>
          <w:p>
            <w:pPr>
              <w:spacing w:after="0" w:line="20" w:lineRule="exact"/>
              <w:rPr>
                <w:sz w:val="1"/>
                <w:szCs w:val="1"/>
                <w:color w:val="auto"/>
              </w:rPr>
            </w:pPr>
          </w:p>
        </w:tc>
        <w:tc>
          <w:tcPr>
            <w:tcW w:w="10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520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2820" w:type="dxa"/>
            <w:vAlign w:val="bottom"/>
            <w:tcBorders>
              <w:bottom w:val="single" w:sz="8" w:color="3E5C7C"/>
            </w:tcBorders>
          </w:tcPr>
          <w:p>
            <w:pPr>
              <w:jc w:val="right"/>
              <w:ind w:right="68"/>
              <w:spacing w:after="0"/>
              <w:rPr>
                <w:sz w:val="20"/>
                <w:szCs w:val="20"/>
                <w:color w:val="auto"/>
              </w:rPr>
            </w:pPr>
            <w:r>
              <w:rPr>
                <w:rFonts w:ascii="Arial" w:cs="Arial" w:eastAsia="Arial" w:hAnsi="Arial"/>
                <w:sz w:val="14"/>
                <w:szCs w:val="14"/>
                <w:b w:val="1"/>
                <w:bCs w:val="1"/>
                <w:color w:val="032E5C"/>
              </w:rPr>
              <w:t>—</w:t>
            </w:r>
          </w:p>
        </w:tc>
        <w:tc>
          <w:tcPr>
            <w:tcW w:w="3140" w:type="dxa"/>
            <w:vAlign w:val="bottom"/>
            <w:tcBorders>
              <w:bottom w:val="single" w:sz="8" w:color="3E5C7C"/>
            </w:tcBorders>
            <w:gridSpan w:val="2"/>
          </w:tcPr>
          <w:p>
            <w:pPr>
              <w:jc w:val="right"/>
              <w:ind w:right="120"/>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color w:val="29292B"/>
        </w:rPr>
      </w:pPr>
      <w:r>
        <w:rPr>
          <w:rFonts w:ascii="Arial" w:cs="Arial" w:eastAsia="Arial" w:hAnsi="Arial"/>
          <w:sz w:val="14"/>
          <w:szCs w:val="14"/>
          <w:color w:val="29292B"/>
        </w:rPr>
        <w:t>Effective upon Mr. Shapiro’s voluntary resignation from the company on February 23, 2024, he is no longer eligible for a termination payment.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71</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EXECUTIVE COMPENSATION</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Gregory J. Sullivan, Executive Vice President, Retail/Rental and Hospitality</w:t>
      </w:r>
    </w:p>
    <w:p>
      <w:pPr>
        <w:spacing w:after="0" w:line="139"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29292B"/>
        </w:rPr>
        <w:t>The following table describes the estimated potential compensation to Mr. Sullivan upon a qualifying termination assuming the termination occurred on July 31,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4140" w:type="dxa"/>
            <w:vAlign w:val="bottom"/>
            <w:shd w:val="clear" w:color="auto" w:fill="98BDE2"/>
          </w:tcPr>
          <w:p>
            <w:pPr>
              <w:spacing w:after="0"/>
              <w:rPr>
                <w:sz w:val="16"/>
                <w:szCs w:val="16"/>
                <w:color w:val="auto"/>
              </w:rPr>
            </w:pPr>
          </w:p>
        </w:tc>
        <w:tc>
          <w:tcPr>
            <w:tcW w:w="7020" w:type="dxa"/>
            <w:vAlign w:val="bottom"/>
            <w:gridSpan w:val="2"/>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Termination without Cause or Termination without Cause or Resignation for</w:t>
            </w:r>
          </w:p>
        </w:tc>
        <w:tc>
          <w:tcPr>
            <w:tcW w:w="0" w:type="dxa"/>
            <w:vAlign w:val="bottom"/>
          </w:tcPr>
          <w:p>
            <w:pPr>
              <w:spacing w:after="0"/>
              <w:rPr>
                <w:sz w:val="1"/>
                <w:szCs w:val="1"/>
                <w:color w:val="auto"/>
              </w:rPr>
            </w:pPr>
          </w:p>
        </w:tc>
      </w:tr>
      <w:tr>
        <w:trPr>
          <w:trHeight w:val="173"/>
        </w:trPr>
        <w:tc>
          <w:tcPr>
            <w:tcW w:w="80" w:type="dxa"/>
            <w:vAlign w:val="bottom"/>
            <w:shd w:val="clear" w:color="auto" w:fill="98BDE2"/>
          </w:tcPr>
          <w:p>
            <w:pPr>
              <w:spacing w:after="0"/>
              <w:rPr>
                <w:sz w:val="15"/>
                <w:szCs w:val="15"/>
                <w:color w:val="auto"/>
              </w:rPr>
            </w:pPr>
          </w:p>
        </w:tc>
        <w:tc>
          <w:tcPr>
            <w:tcW w:w="414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18"/>
                <w:szCs w:val="18"/>
                <w:b w:val="1"/>
                <w:bCs w:val="1"/>
                <w:color w:val="032E5C"/>
                <w:vertAlign w:val="superscript"/>
              </w:rPr>
              <w:t>(1)</w:t>
            </w:r>
          </w:p>
        </w:tc>
        <w:tc>
          <w:tcPr>
            <w:tcW w:w="3880" w:type="dxa"/>
            <w:vAlign w:val="bottom"/>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Resignation for Good Reason</w:t>
            </w:r>
          </w:p>
        </w:tc>
        <w:tc>
          <w:tcPr>
            <w:tcW w:w="31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Good Reason following Change in Control</w:t>
            </w:r>
          </w:p>
        </w:tc>
        <w:tc>
          <w:tcPr>
            <w:tcW w:w="0" w:type="dxa"/>
            <w:vAlign w:val="bottom"/>
          </w:tcPr>
          <w:p>
            <w:pPr>
              <w:spacing w:after="0"/>
              <w:rPr>
                <w:sz w:val="1"/>
                <w:szCs w:val="1"/>
                <w:color w:val="auto"/>
              </w:rPr>
            </w:pPr>
          </w:p>
        </w:tc>
      </w:tr>
      <w:tr>
        <w:trPr>
          <w:trHeight w:val="235"/>
        </w:trPr>
        <w:tc>
          <w:tcPr>
            <w:tcW w:w="80" w:type="dxa"/>
            <w:vAlign w:val="bottom"/>
            <w:tcBorders>
              <w:bottom w:val="single" w:sz="8" w:color="98BDE2"/>
            </w:tcBorders>
            <w:shd w:val="clear" w:color="auto" w:fill="98BDE2"/>
          </w:tcPr>
          <w:p>
            <w:pPr>
              <w:spacing w:after="0"/>
              <w:rPr>
                <w:sz w:val="20"/>
                <w:szCs w:val="20"/>
                <w:color w:val="auto"/>
              </w:rPr>
            </w:pPr>
          </w:p>
        </w:tc>
        <w:tc>
          <w:tcPr>
            <w:tcW w:w="4140" w:type="dxa"/>
            <w:vAlign w:val="bottom"/>
            <w:tcBorders>
              <w:bottom w:val="single" w:sz="8" w:color="98BDE2"/>
            </w:tcBorders>
            <w:vMerge w:val="continue"/>
            <w:shd w:val="clear" w:color="auto" w:fill="98BDE2"/>
          </w:tcPr>
          <w:p>
            <w:pPr>
              <w:spacing w:after="0"/>
              <w:rPr>
                <w:sz w:val="20"/>
                <w:szCs w:val="20"/>
                <w:color w:val="auto"/>
              </w:rPr>
            </w:pPr>
          </w:p>
        </w:tc>
        <w:tc>
          <w:tcPr>
            <w:tcW w:w="3880" w:type="dxa"/>
            <w:vAlign w:val="bottom"/>
            <w:tcBorders>
              <w:bottom w:val="single" w:sz="8" w:color="98BDE2"/>
            </w:tcBorders>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w:t>
            </w:r>
          </w:p>
        </w:tc>
        <w:tc>
          <w:tcPr>
            <w:tcW w:w="3140" w:type="dxa"/>
            <w:vAlign w:val="bottom"/>
            <w:tcBorders>
              <w:bottom w:val="single" w:sz="8" w:color="98BDE2"/>
            </w:tcBorders>
            <w:shd w:val="clear" w:color="auto" w:fill="98BDE2"/>
          </w:tcPr>
          <w:p>
            <w:pPr>
              <w:jc w:val="right"/>
              <w:ind w:right="48"/>
              <w:spacing w:after="0" w:line="201" w:lineRule="exact"/>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Base Salary</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440,705</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440,705</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SAR/RSU Acceleration</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369,480</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MIP Award</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52,312</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032E5C"/>
              </w:rPr>
              <w:t>Health Insurance</w:t>
            </w:r>
          </w:p>
        </w:tc>
        <w:tc>
          <w:tcPr>
            <w:tcW w:w="3880" w:type="dxa"/>
            <w:vAlign w:val="bottom"/>
          </w:tcPr>
          <w:p>
            <w:pPr>
              <w:jc w:val="right"/>
              <w:ind w:right="68"/>
              <w:spacing w:after="0"/>
              <w:rPr>
                <w:sz w:val="20"/>
                <w:szCs w:val="20"/>
                <w:color w:val="auto"/>
              </w:rPr>
            </w:pPr>
            <w:r>
              <w:rPr>
                <w:rFonts w:ascii="Arial" w:cs="Arial" w:eastAsia="Arial" w:hAnsi="Arial"/>
                <w:sz w:val="14"/>
                <w:szCs w:val="14"/>
                <w:color w:val="032E5C"/>
              </w:rPr>
              <w:t>—</w:t>
            </w:r>
          </w:p>
        </w:tc>
        <w:tc>
          <w:tcPr>
            <w:tcW w:w="314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98BDE2"/>
            </w:tcBorders>
          </w:tcPr>
          <w:p>
            <w:pPr>
              <w:spacing w:after="0" w:line="20" w:lineRule="exact"/>
              <w:rPr>
                <w:sz w:val="1"/>
                <w:szCs w:val="1"/>
                <w:color w:val="auto"/>
              </w:rPr>
            </w:pPr>
          </w:p>
        </w:tc>
        <w:tc>
          <w:tcPr>
            <w:tcW w:w="4140" w:type="dxa"/>
            <w:vAlign w:val="bottom"/>
            <w:tcBorders>
              <w:bottom w:val="single" w:sz="8" w:color="98BDE2"/>
            </w:tcBorders>
          </w:tcPr>
          <w:p>
            <w:pPr>
              <w:spacing w:after="0" w:line="20" w:lineRule="exact"/>
              <w:rPr>
                <w:sz w:val="1"/>
                <w:szCs w:val="1"/>
                <w:color w:val="auto"/>
              </w:rPr>
            </w:pPr>
          </w:p>
        </w:tc>
        <w:tc>
          <w:tcPr>
            <w:tcW w:w="3880" w:type="dxa"/>
            <w:vAlign w:val="bottom"/>
            <w:tcBorders>
              <w:bottom w:val="single" w:sz="8" w:color="98BDE2"/>
            </w:tcBorders>
          </w:tcPr>
          <w:p>
            <w:pPr>
              <w:spacing w:after="0" w:line="20" w:lineRule="exact"/>
              <w:rPr>
                <w:sz w:val="1"/>
                <w:szCs w:val="1"/>
                <w:color w:val="auto"/>
              </w:rPr>
            </w:pPr>
          </w:p>
        </w:tc>
        <w:tc>
          <w:tcPr>
            <w:tcW w:w="314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414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3880" w:type="dxa"/>
            <w:vAlign w:val="bottom"/>
            <w:tcBorders>
              <w:bottom w:val="single" w:sz="8" w:color="3E5C7C"/>
            </w:tcBorders>
          </w:tcPr>
          <w:p>
            <w:pPr>
              <w:jc w:val="right"/>
              <w:ind w:right="68"/>
              <w:spacing w:after="0"/>
              <w:rPr>
                <w:sz w:val="20"/>
                <w:szCs w:val="20"/>
                <w:color w:val="auto"/>
              </w:rPr>
            </w:pPr>
            <w:r>
              <w:rPr>
                <w:rFonts w:ascii="Arial" w:cs="Arial" w:eastAsia="Arial" w:hAnsi="Arial"/>
                <w:sz w:val="14"/>
                <w:szCs w:val="14"/>
                <w:b w:val="1"/>
                <w:bCs w:val="1"/>
                <w:color w:val="032E5C"/>
              </w:rPr>
              <w:t>440,705</w:t>
            </w:r>
          </w:p>
        </w:tc>
        <w:tc>
          <w:tcPr>
            <w:tcW w:w="314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862,497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0" w:hanging="332"/>
        <w:spacing w:after="0" w:line="297" w:lineRule="auto"/>
        <w:tabs>
          <w:tab w:leader="none" w:pos="340" w:val="left"/>
        </w:tabs>
        <w:numPr>
          <w:ilvl w:val="0"/>
          <w:numId w:val="67"/>
        </w:numPr>
        <w:rPr>
          <w:rFonts w:ascii="Arial" w:cs="Arial" w:eastAsia="Arial" w:hAnsi="Arial"/>
          <w:sz w:val="14"/>
          <w:szCs w:val="14"/>
          <w:color w:val="29292B"/>
        </w:rPr>
      </w:pPr>
      <w:r>
        <w:rPr>
          <w:rFonts w:ascii="Arial" w:cs="Arial" w:eastAsia="Arial" w:hAnsi="Arial"/>
          <w:sz w:val="14"/>
          <w:szCs w:val="14"/>
          <w:color w:val="29292B"/>
        </w:rPr>
        <w:t>Assumes the following: (a) base salary equal to $440,705 is in effect as of the assumed termination or change in control date of July 31, 2024; and (b) executive’s unvested SARs and RSUs at July 31, 2024 would be subject to accelerated vesting on that date (when the closing price per share of our common stock was $182.01) (see footnote 2).</w:t>
      </w:r>
    </w:p>
    <w:p>
      <w:pPr>
        <w:spacing w:after="0" w:line="209" w:lineRule="exact"/>
        <w:rPr>
          <w:rFonts w:ascii="Arial" w:cs="Arial" w:eastAsia="Arial" w:hAnsi="Arial"/>
          <w:sz w:val="14"/>
          <w:szCs w:val="14"/>
          <w:color w:val="29292B"/>
        </w:rPr>
      </w:pPr>
    </w:p>
    <w:p>
      <w:pPr>
        <w:ind w:left="340" w:right="140" w:hanging="332"/>
        <w:spacing w:after="0" w:line="276" w:lineRule="auto"/>
        <w:tabs>
          <w:tab w:leader="none" w:pos="340" w:val="left"/>
        </w:tabs>
        <w:numPr>
          <w:ilvl w:val="0"/>
          <w:numId w:val="67"/>
        </w:numPr>
        <w:rPr>
          <w:rFonts w:ascii="Arial" w:cs="Arial" w:eastAsia="Arial" w:hAnsi="Arial"/>
          <w:sz w:val="14"/>
          <w:szCs w:val="14"/>
          <w:color w:val="29292B"/>
        </w:rPr>
      </w:pPr>
      <w:r>
        <w:rPr>
          <w:rFonts w:ascii="Arial" w:cs="Arial" w:eastAsia="Arial" w:hAnsi="Arial"/>
          <w:sz w:val="14"/>
          <w:szCs w:val="14"/>
          <w:color w:val="29292B"/>
        </w:rPr>
        <w:t>Benefits triggered upon termination without cause or resignation for Good Reason would apply in the same manner following a change in control pursuant to the Company’s executive severance policy when the new owners are bound by the terms of the executive severance policy. For equity awards granted in fiscal 2021 and beyond, in the event of a change in control, equity will only have accelerated vesting if an award is not assumed or replaced or in the event of a termination without cause within 12 months of a change in control event.</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Securities Authorized for Issuance Under Equity Compensation Plans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summarizes the Company’s equity compensation plans as of July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 w:type="dxa"/>
            <w:vAlign w:val="bottom"/>
            <w:shd w:val="clear" w:color="auto" w:fill="98BDE2"/>
          </w:tcPr>
          <w:p>
            <w:pPr>
              <w:spacing w:after="0"/>
              <w:rPr>
                <w:sz w:val="15"/>
                <w:szCs w:val="15"/>
                <w:color w:val="auto"/>
              </w:rPr>
            </w:pPr>
          </w:p>
        </w:tc>
        <w:tc>
          <w:tcPr>
            <w:tcW w:w="2720" w:type="dxa"/>
            <w:vAlign w:val="bottom"/>
            <w:shd w:val="clear" w:color="auto" w:fill="98BDE2"/>
          </w:tcPr>
          <w:p>
            <w:pPr>
              <w:spacing w:after="0"/>
              <w:rPr>
                <w:sz w:val="15"/>
                <w:szCs w:val="15"/>
                <w:color w:val="auto"/>
              </w:rPr>
            </w:pPr>
          </w:p>
        </w:tc>
        <w:tc>
          <w:tcPr>
            <w:tcW w:w="2840" w:type="dxa"/>
            <w:vAlign w:val="bottom"/>
            <w:shd w:val="clear" w:color="auto" w:fill="98BDE2"/>
          </w:tcPr>
          <w:p>
            <w:pPr>
              <w:spacing w:after="0"/>
              <w:rPr>
                <w:sz w:val="15"/>
                <w:szCs w:val="15"/>
                <w:color w:val="auto"/>
              </w:rPr>
            </w:pPr>
          </w:p>
        </w:tc>
        <w:tc>
          <w:tcPr>
            <w:tcW w:w="2360" w:type="dxa"/>
            <w:vAlign w:val="bottom"/>
            <w:shd w:val="clear" w:color="auto" w:fill="98BDE2"/>
          </w:tcPr>
          <w:p>
            <w:pPr>
              <w:spacing w:after="0"/>
              <w:rPr>
                <w:sz w:val="15"/>
                <w:szCs w:val="15"/>
                <w:color w:val="auto"/>
              </w:rPr>
            </w:pPr>
          </w:p>
        </w:tc>
        <w:tc>
          <w:tcPr>
            <w:tcW w:w="32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Number of securities remaining available for</w:t>
            </w: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2720" w:type="dxa"/>
            <w:vAlign w:val="bottom"/>
            <w:shd w:val="clear" w:color="auto" w:fill="98BDE2"/>
          </w:tcPr>
          <w:p>
            <w:pPr>
              <w:spacing w:after="0"/>
              <w:rPr>
                <w:sz w:val="15"/>
                <w:szCs w:val="15"/>
                <w:color w:val="auto"/>
              </w:rPr>
            </w:pPr>
          </w:p>
        </w:tc>
        <w:tc>
          <w:tcPr>
            <w:tcW w:w="28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 securities to be issued upon</w:t>
            </w:r>
          </w:p>
        </w:tc>
        <w:tc>
          <w:tcPr>
            <w:tcW w:w="236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Weighted average exercise price</w:t>
            </w:r>
          </w:p>
        </w:tc>
        <w:tc>
          <w:tcPr>
            <w:tcW w:w="32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future issuance under equity compensation</w:t>
            </w:r>
          </w:p>
        </w:tc>
        <w:tc>
          <w:tcPr>
            <w:tcW w:w="0" w:type="dxa"/>
            <w:vAlign w:val="bottom"/>
          </w:tcPr>
          <w:p>
            <w:pPr>
              <w:spacing w:after="0"/>
              <w:rPr>
                <w:sz w:val="1"/>
                <w:szCs w:val="1"/>
                <w:color w:val="auto"/>
              </w:rPr>
            </w:pPr>
          </w:p>
        </w:tc>
      </w:tr>
      <w:tr>
        <w:trPr>
          <w:trHeight w:val="173"/>
        </w:trPr>
        <w:tc>
          <w:tcPr>
            <w:tcW w:w="80" w:type="dxa"/>
            <w:vAlign w:val="bottom"/>
            <w:shd w:val="clear" w:color="auto" w:fill="98BDE2"/>
          </w:tcPr>
          <w:p>
            <w:pPr>
              <w:spacing w:after="0"/>
              <w:rPr>
                <w:sz w:val="15"/>
                <w:szCs w:val="15"/>
                <w:color w:val="auto"/>
              </w:rPr>
            </w:pPr>
          </w:p>
        </w:tc>
        <w:tc>
          <w:tcPr>
            <w:tcW w:w="2720" w:type="dxa"/>
            <w:vAlign w:val="bottom"/>
            <w:shd w:val="clear" w:color="auto" w:fill="98BDE2"/>
          </w:tcPr>
          <w:p>
            <w:pPr>
              <w:spacing w:after="0"/>
              <w:rPr>
                <w:sz w:val="15"/>
                <w:szCs w:val="15"/>
                <w:color w:val="auto"/>
              </w:rPr>
            </w:pPr>
          </w:p>
        </w:tc>
        <w:tc>
          <w:tcPr>
            <w:tcW w:w="28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exercise of outstanding options,</w:t>
            </w:r>
          </w:p>
        </w:tc>
        <w:tc>
          <w:tcPr>
            <w:tcW w:w="236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of outstanding options, warrants</w:t>
            </w:r>
          </w:p>
        </w:tc>
        <w:tc>
          <w:tcPr>
            <w:tcW w:w="32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plans (excluding securities reflected in</w:t>
            </w:r>
          </w:p>
        </w:tc>
        <w:tc>
          <w:tcPr>
            <w:tcW w:w="0" w:type="dxa"/>
            <w:vAlign w:val="bottom"/>
          </w:tcPr>
          <w:p>
            <w:pPr>
              <w:spacing w:after="0"/>
              <w:rPr>
                <w:sz w:val="1"/>
                <w:szCs w:val="1"/>
                <w:color w:val="auto"/>
              </w:rPr>
            </w:pPr>
          </w:p>
        </w:tc>
      </w:tr>
      <w:tr>
        <w:trPr>
          <w:trHeight w:val="178"/>
        </w:trPr>
        <w:tc>
          <w:tcPr>
            <w:tcW w:w="80" w:type="dxa"/>
            <w:vAlign w:val="bottom"/>
            <w:shd w:val="clear" w:color="auto" w:fill="98BDE2"/>
          </w:tcPr>
          <w:p>
            <w:pPr>
              <w:spacing w:after="0"/>
              <w:rPr>
                <w:sz w:val="15"/>
                <w:szCs w:val="15"/>
                <w:color w:val="auto"/>
              </w:rPr>
            </w:pPr>
          </w:p>
        </w:tc>
        <w:tc>
          <w:tcPr>
            <w:tcW w:w="2720" w:type="dxa"/>
            <w:vAlign w:val="bottom"/>
            <w:shd w:val="clear" w:color="auto" w:fill="98BDE2"/>
          </w:tcPr>
          <w:p>
            <w:pPr>
              <w:spacing w:after="0"/>
              <w:rPr>
                <w:sz w:val="15"/>
                <w:szCs w:val="15"/>
                <w:color w:val="auto"/>
              </w:rPr>
            </w:pPr>
          </w:p>
        </w:tc>
        <w:tc>
          <w:tcPr>
            <w:tcW w:w="2840" w:type="dxa"/>
            <w:vAlign w:val="bottom"/>
            <w:shd w:val="clear" w:color="auto" w:fill="98BDE2"/>
          </w:tcPr>
          <w:p>
            <w:pPr>
              <w:jc w:val="right"/>
              <w:spacing w:after="0" w:line="178" w:lineRule="exact"/>
              <w:rPr>
                <w:sz w:val="20"/>
                <w:szCs w:val="20"/>
                <w:color w:val="auto"/>
              </w:rPr>
            </w:pPr>
            <w:r>
              <w:rPr>
                <w:rFonts w:ascii="Arial" w:cs="Arial" w:eastAsia="Arial" w:hAnsi="Arial"/>
                <w:sz w:val="14"/>
                <w:szCs w:val="14"/>
                <w:b w:val="1"/>
                <w:bCs w:val="1"/>
                <w:color w:val="032E5C"/>
              </w:rPr>
              <w:t>warrants and rights</w:t>
            </w:r>
            <w:r>
              <w:rPr>
                <w:rFonts w:ascii="Arial" w:cs="Arial" w:eastAsia="Arial" w:hAnsi="Arial"/>
                <w:sz w:val="18"/>
                <w:szCs w:val="18"/>
                <w:b w:val="1"/>
                <w:bCs w:val="1"/>
                <w:color w:val="032E5C"/>
                <w:vertAlign w:val="superscript"/>
              </w:rPr>
              <w:t>(1)(2)</w:t>
            </w:r>
          </w:p>
        </w:tc>
        <w:tc>
          <w:tcPr>
            <w:tcW w:w="236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and rights</w:t>
            </w:r>
          </w:p>
        </w:tc>
        <w:tc>
          <w:tcPr>
            <w:tcW w:w="32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column (a))</w:t>
            </w:r>
          </w:p>
        </w:tc>
        <w:tc>
          <w:tcPr>
            <w:tcW w:w="0" w:type="dxa"/>
            <w:vAlign w:val="bottom"/>
          </w:tcPr>
          <w:p>
            <w:pPr>
              <w:spacing w:after="0"/>
              <w:rPr>
                <w:sz w:val="1"/>
                <w:szCs w:val="1"/>
                <w:color w:val="auto"/>
              </w:rPr>
            </w:pPr>
          </w:p>
        </w:tc>
      </w:tr>
      <w:tr>
        <w:trPr>
          <w:trHeight w:val="196"/>
        </w:trPr>
        <w:tc>
          <w:tcPr>
            <w:tcW w:w="80" w:type="dxa"/>
            <w:vAlign w:val="bottom"/>
            <w:shd w:val="clear" w:color="auto" w:fill="98BDE2"/>
          </w:tcPr>
          <w:p>
            <w:pPr>
              <w:spacing w:after="0"/>
              <w:rPr>
                <w:sz w:val="17"/>
                <w:szCs w:val="17"/>
                <w:color w:val="auto"/>
              </w:rPr>
            </w:pPr>
          </w:p>
        </w:tc>
        <w:tc>
          <w:tcPr>
            <w:tcW w:w="272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Plan Category</w:t>
            </w:r>
          </w:p>
        </w:tc>
        <w:tc>
          <w:tcPr>
            <w:tcW w:w="28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 in thousands)</w:t>
            </w:r>
          </w:p>
        </w:tc>
        <w:tc>
          <w:tcPr>
            <w:tcW w:w="236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32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 in thousands)</w:t>
            </w:r>
          </w:p>
        </w:tc>
        <w:tc>
          <w:tcPr>
            <w:tcW w:w="0" w:type="dxa"/>
            <w:vAlign w:val="bottom"/>
          </w:tcPr>
          <w:p>
            <w:pPr>
              <w:spacing w:after="0"/>
              <w:rPr>
                <w:sz w:val="1"/>
                <w:szCs w:val="1"/>
                <w:color w:val="auto"/>
              </w:rPr>
            </w:pPr>
          </w:p>
        </w:tc>
      </w:tr>
      <w:tr>
        <w:trPr>
          <w:trHeight w:val="69"/>
        </w:trPr>
        <w:tc>
          <w:tcPr>
            <w:tcW w:w="80" w:type="dxa"/>
            <w:vAlign w:val="bottom"/>
            <w:shd w:val="clear" w:color="auto" w:fill="98BDE2"/>
          </w:tcPr>
          <w:p>
            <w:pPr>
              <w:spacing w:after="0"/>
              <w:rPr>
                <w:sz w:val="6"/>
                <w:szCs w:val="6"/>
                <w:color w:val="auto"/>
              </w:rPr>
            </w:pPr>
          </w:p>
        </w:tc>
        <w:tc>
          <w:tcPr>
            <w:tcW w:w="2720" w:type="dxa"/>
            <w:vAlign w:val="bottom"/>
            <w:shd w:val="clear" w:color="auto" w:fill="98BDE2"/>
          </w:tcPr>
          <w:p>
            <w:pPr>
              <w:spacing w:after="0"/>
              <w:rPr>
                <w:sz w:val="6"/>
                <w:szCs w:val="6"/>
                <w:color w:val="auto"/>
              </w:rPr>
            </w:pPr>
          </w:p>
        </w:tc>
        <w:tc>
          <w:tcPr>
            <w:tcW w:w="2840" w:type="dxa"/>
            <w:vAlign w:val="bottom"/>
            <w:shd w:val="clear" w:color="auto" w:fill="98BDE2"/>
          </w:tcPr>
          <w:p>
            <w:pPr>
              <w:spacing w:after="0"/>
              <w:rPr>
                <w:sz w:val="6"/>
                <w:szCs w:val="6"/>
                <w:color w:val="auto"/>
              </w:rPr>
            </w:pPr>
          </w:p>
        </w:tc>
        <w:tc>
          <w:tcPr>
            <w:tcW w:w="2360" w:type="dxa"/>
            <w:vAlign w:val="bottom"/>
            <w:shd w:val="clear" w:color="auto" w:fill="98BDE2"/>
          </w:tcPr>
          <w:p>
            <w:pPr>
              <w:spacing w:after="0"/>
              <w:rPr>
                <w:sz w:val="6"/>
                <w:szCs w:val="6"/>
                <w:color w:val="auto"/>
              </w:rPr>
            </w:pPr>
          </w:p>
        </w:tc>
        <w:tc>
          <w:tcPr>
            <w:tcW w:w="324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3E5C7C"/>
            </w:tcBorders>
          </w:tcPr>
          <w:p>
            <w:pPr>
              <w:spacing w:after="0"/>
              <w:rPr>
                <w:sz w:val="19"/>
                <w:szCs w:val="19"/>
                <w:color w:val="auto"/>
              </w:rPr>
            </w:pPr>
          </w:p>
        </w:tc>
        <w:tc>
          <w:tcPr>
            <w:tcW w:w="2720" w:type="dxa"/>
            <w:vAlign w:val="bottom"/>
            <w:tcBorders>
              <w:bottom w:val="single" w:sz="8" w:color="3E5C7C"/>
            </w:tcBorders>
          </w:tcPr>
          <w:p>
            <w:pPr>
              <w:spacing w:after="0"/>
              <w:rPr>
                <w:sz w:val="19"/>
                <w:szCs w:val="19"/>
                <w:color w:val="auto"/>
              </w:rPr>
            </w:pPr>
          </w:p>
        </w:tc>
        <w:tc>
          <w:tcPr>
            <w:tcW w:w="284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(a)</w:t>
            </w:r>
          </w:p>
        </w:tc>
        <w:tc>
          <w:tcPr>
            <w:tcW w:w="2360" w:type="dxa"/>
            <w:vAlign w:val="bottom"/>
            <w:tcBorders>
              <w:bottom w:val="single" w:sz="8" w:color="3E5C7C"/>
            </w:tcBorders>
          </w:tcPr>
          <w:p>
            <w:pPr>
              <w:jc w:val="right"/>
              <w:ind w:right="8"/>
              <w:spacing w:after="0"/>
              <w:rPr>
                <w:sz w:val="20"/>
                <w:szCs w:val="20"/>
                <w:color w:val="auto"/>
              </w:rPr>
            </w:pPr>
            <w:r>
              <w:rPr>
                <w:rFonts w:ascii="Arial" w:cs="Arial" w:eastAsia="Arial" w:hAnsi="Arial"/>
                <w:sz w:val="14"/>
                <w:szCs w:val="14"/>
                <w:b w:val="1"/>
                <w:bCs w:val="1"/>
                <w:color w:val="032E5C"/>
              </w:rPr>
              <w:t>(b)</w:t>
            </w:r>
          </w:p>
        </w:tc>
        <w:tc>
          <w:tcPr>
            <w:tcW w:w="324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(c)</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032E5C"/>
              </w:rPr>
              <w:t>Equity compensation plans approved by</w:t>
            </w:r>
          </w:p>
        </w:tc>
        <w:tc>
          <w:tcPr>
            <w:tcW w:w="2840" w:type="dxa"/>
            <w:vAlign w:val="bottom"/>
            <w:vMerge w:val="restart"/>
          </w:tcPr>
          <w:p>
            <w:pPr>
              <w:jc w:val="right"/>
              <w:spacing w:after="0"/>
              <w:rPr>
                <w:sz w:val="20"/>
                <w:szCs w:val="20"/>
                <w:color w:val="auto"/>
              </w:rPr>
            </w:pPr>
            <w:r>
              <w:rPr>
                <w:rFonts w:ascii="Arial" w:cs="Arial" w:eastAsia="Arial" w:hAnsi="Arial"/>
                <w:sz w:val="14"/>
                <w:szCs w:val="14"/>
                <w:color w:val="032E5C"/>
              </w:rPr>
              <w:t>945</w:t>
            </w:r>
          </w:p>
        </w:tc>
        <w:tc>
          <w:tcPr>
            <w:tcW w:w="2360" w:type="dxa"/>
            <w:vAlign w:val="bottom"/>
            <w:vMerge w:val="restart"/>
          </w:tcPr>
          <w:p>
            <w:pPr>
              <w:jc w:val="right"/>
              <w:ind w:right="8"/>
              <w:spacing w:after="0"/>
              <w:rPr>
                <w:sz w:val="20"/>
                <w:szCs w:val="20"/>
                <w:color w:val="auto"/>
              </w:rPr>
            </w:pPr>
            <w:r>
              <w:rPr>
                <w:rFonts w:ascii="Arial" w:cs="Arial" w:eastAsia="Arial" w:hAnsi="Arial"/>
                <w:sz w:val="14"/>
                <w:szCs w:val="14"/>
                <w:color w:val="032E5C"/>
              </w:rPr>
              <w:t>232.81</w:t>
            </w:r>
          </w:p>
        </w:tc>
        <w:tc>
          <w:tcPr>
            <w:tcW w:w="3240" w:type="dxa"/>
            <w:vAlign w:val="bottom"/>
            <w:vMerge w:val="restart"/>
          </w:tcPr>
          <w:p>
            <w:pPr>
              <w:jc w:val="right"/>
              <w:ind w:right="48"/>
              <w:spacing w:after="0"/>
              <w:rPr>
                <w:sz w:val="20"/>
                <w:szCs w:val="20"/>
                <w:color w:val="auto"/>
              </w:rPr>
            </w:pPr>
            <w:r>
              <w:rPr>
                <w:rFonts w:ascii="Arial" w:cs="Arial" w:eastAsia="Arial" w:hAnsi="Arial"/>
                <w:sz w:val="14"/>
                <w:szCs w:val="14"/>
                <w:color w:val="032E5C"/>
              </w:rPr>
              <w:t>1,767</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032E5C"/>
              </w:rPr>
              <w:t>security holders</w:t>
            </w:r>
          </w:p>
        </w:tc>
        <w:tc>
          <w:tcPr>
            <w:tcW w:w="2840" w:type="dxa"/>
            <w:vAlign w:val="bottom"/>
            <w:vMerge w:val="continue"/>
          </w:tcPr>
          <w:p>
            <w:pPr>
              <w:spacing w:after="0"/>
              <w:rPr>
                <w:sz w:val="9"/>
                <w:szCs w:val="9"/>
                <w:color w:val="auto"/>
              </w:rPr>
            </w:pPr>
          </w:p>
        </w:tc>
        <w:tc>
          <w:tcPr>
            <w:tcW w:w="236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2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80" w:type="dxa"/>
            <w:vAlign w:val="bottom"/>
            <w:tcBorders>
              <w:bottom w:val="single" w:sz="8" w:color="98BDE2"/>
            </w:tcBorders>
          </w:tcPr>
          <w:p>
            <w:pPr>
              <w:spacing w:after="0"/>
              <w:rPr>
                <w:sz w:val="3"/>
                <w:szCs w:val="3"/>
                <w:color w:val="auto"/>
              </w:rPr>
            </w:pPr>
          </w:p>
        </w:tc>
        <w:tc>
          <w:tcPr>
            <w:tcW w:w="2720" w:type="dxa"/>
            <w:vAlign w:val="bottom"/>
            <w:tcBorders>
              <w:bottom w:val="single" w:sz="8" w:color="98BDE2"/>
            </w:tcBorders>
          </w:tcPr>
          <w:p>
            <w:pPr>
              <w:spacing w:after="0"/>
              <w:rPr>
                <w:sz w:val="3"/>
                <w:szCs w:val="3"/>
                <w:color w:val="auto"/>
              </w:rPr>
            </w:pPr>
          </w:p>
        </w:tc>
        <w:tc>
          <w:tcPr>
            <w:tcW w:w="2840" w:type="dxa"/>
            <w:vAlign w:val="bottom"/>
            <w:tcBorders>
              <w:bottom w:val="single" w:sz="8" w:color="98BDE2"/>
            </w:tcBorders>
          </w:tcPr>
          <w:p>
            <w:pPr>
              <w:spacing w:after="0"/>
              <w:rPr>
                <w:sz w:val="3"/>
                <w:szCs w:val="3"/>
                <w:color w:val="auto"/>
              </w:rPr>
            </w:pPr>
          </w:p>
        </w:tc>
        <w:tc>
          <w:tcPr>
            <w:tcW w:w="2360" w:type="dxa"/>
            <w:vAlign w:val="bottom"/>
            <w:tcBorders>
              <w:bottom w:val="single" w:sz="8" w:color="98BDE2"/>
            </w:tcBorders>
          </w:tcPr>
          <w:p>
            <w:pPr>
              <w:spacing w:after="0"/>
              <w:rPr>
                <w:sz w:val="3"/>
                <w:szCs w:val="3"/>
                <w:color w:val="auto"/>
              </w:rPr>
            </w:pPr>
          </w:p>
        </w:tc>
        <w:tc>
          <w:tcPr>
            <w:tcW w:w="3240" w:type="dxa"/>
            <w:vAlign w:val="bottom"/>
            <w:tcBorders>
              <w:bottom w:val="single" w:sz="8" w:color="98BDE2"/>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032E5C"/>
              </w:rPr>
              <w:t>Equity compensation plans not approved</w:t>
            </w:r>
          </w:p>
        </w:tc>
        <w:tc>
          <w:tcPr>
            <w:tcW w:w="2840" w:type="dxa"/>
            <w:vAlign w:val="bottom"/>
            <w:vMerge w:val="restart"/>
          </w:tcPr>
          <w:p>
            <w:pPr>
              <w:jc w:val="right"/>
              <w:spacing w:after="0"/>
              <w:rPr>
                <w:sz w:val="20"/>
                <w:szCs w:val="20"/>
                <w:color w:val="auto"/>
              </w:rPr>
            </w:pPr>
            <w:r>
              <w:rPr>
                <w:rFonts w:ascii="Arial" w:cs="Arial" w:eastAsia="Arial" w:hAnsi="Arial"/>
                <w:sz w:val="14"/>
                <w:szCs w:val="14"/>
                <w:color w:val="032E5C"/>
              </w:rPr>
              <w:t>—</w:t>
            </w:r>
          </w:p>
        </w:tc>
        <w:tc>
          <w:tcPr>
            <w:tcW w:w="2360" w:type="dxa"/>
            <w:vAlign w:val="bottom"/>
            <w:vMerge w:val="restart"/>
          </w:tcPr>
          <w:p>
            <w:pPr>
              <w:jc w:val="right"/>
              <w:ind w:right="8"/>
              <w:spacing w:after="0"/>
              <w:rPr>
                <w:sz w:val="20"/>
                <w:szCs w:val="20"/>
                <w:color w:val="auto"/>
              </w:rPr>
            </w:pPr>
            <w:r>
              <w:rPr>
                <w:rFonts w:ascii="Arial" w:cs="Arial" w:eastAsia="Arial" w:hAnsi="Arial"/>
                <w:sz w:val="14"/>
                <w:szCs w:val="14"/>
                <w:color w:val="032E5C"/>
              </w:rPr>
              <w:t>—</w:t>
            </w:r>
          </w:p>
        </w:tc>
        <w:tc>
          <w:tcPr>
            <w:tcW w:w="3240" w:type="dxa"/>
            <w:vAlign w:val="bottom"/>
            <w:vMerge w:val="restart"/>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720" w:type="dxa"/>
            <w:vAlign w:val="bottom"/>
            <w:vMerge w:val="restart"/>
          </w:tcPr>
          <w:p>
            <w:pPr>
              <w:ind w:left="20"/>
              <w:spacing w:after="0"/>
              <w:rPr>
                <w:sz w:val="20"/>
                <w:szCs w:val="20"/>
                <w:color w:val="auto"/>
              </w:rPr>
            </w:pPr>
            <w:r>
              <w:rPr>
                <w:rFonts w:ascii="Arial" w:cs="Arial" w:eastAsia="Arial" w:hAnsi="Arial"/>
                <w:sz w:val="14"/>
                <w:szCs w:val="14"/>
                <w:color w:val="032E5C"/>
              </w:rPr>
              <w:t>by security holders</w:t>
            </w:r>
          </w:p>
        </w:tc>
        <w:tc>
          <w:tcPr>
            <w:tcW w:w="284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3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2720" w:type="dxa"/>
            <w:vAlign w:val="bottom"/>
            <w:vMerge w:val="continue"/>
          </w:tcPr>
          <w:p>
            <w:pPr>
              <w:spacing w:after="0"/>
              <w:rPr>
                <w:sz w:val="4"/>
                <w:szCs w:val="4"/>
                <w:color w:val="auto"/>
              </w:rPr>
            </w:pPr>
          </w:p>
        </w:tc>
        <w:tc>
          <w:tcPr>
            <w:tcW w:w="28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98BDE2"/>
            </w:tcBorders>
          </w:tcPr>
          <w:p>
            <w:pPr>
              <w:spacing w:after="0"/>
              <w:rPr>
                <w:sz w:val="7"/>
                <w:szCs w:val="7"/>
                <w:color w:val="auto"/>
              </w:rPr>
            </w:pPr>
          </w:p>
        </w:tc>
        <w:tc>
          <w:tcPr>
            <w:tcW w:w="2720" w:type="dxa"/>
            <w:vAlign w:val="bottom"/>
            <w:tcBorders>
              <w:bottom w:val="single" w:sz="8" w:color="98BDE2"/>
            </w:tcBorders>
          </w:tcPr>
          <w:p>
            <w:pPr>
              <w:spacing w:after="0"/>
              <w:rPr>
                <w:sz w:val="7"/>
                <w:szCs w:val="7"/>
                <w:color w:val="auto"/>
              </w:rPr>
            </w:pPr>
          </w:p>
        </w:tc>
        <w:tc>
          <w:tcPr>
            <w:tcW w:w="2840" w:type="dxa"/>
            <w:vAlign w:val="bottom"/>
            <w:tcBorders>
              <w:bottom w:val="single" w:sz="8" w:color="98BDE2"/>
            </w:tcBorders>
          </w:tcPr>
          <w:p>
            <w:pPr>
              <w:spacing w:after="0"/>
              <w:rPr>
                <w:sz w:val="7"/>
                <w:szCs w:val="7"/>
                <w:color w:val="auto"/>
              </w:rPr>
            </w:pPr>
          </w:p>
        </w:tc>
        <w:tc>
          <w:tcPr>
            <w:tcW w:w="2360" w:type="dxa"/>
            <w:vAlign w:val="bottom"/>
            <w:tcBorders>
              <w:bottom w:val="single" w:sz="8" w:color="98BDE2"/>
            </w:tcBorders>
          </w:tcPr>
          <w:p>
            <w:pPr>
              <w:spacing w:after="0"/>
              <w:rPr>
                <w:sz w:val="7"/>
                <w:szCs w:val="7"/>
                <w:color w:val="auto"/>
              </w:rPr>
            </w:pPr>
          </w:p>
        </w:tc>
        <w:tc>
          <w:tcPr>
            <w:tcW w:w="324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272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284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945</w:t>
            </w:r>
          </w:p>
        </w:tc>
        <w:tc>
          <w:tcPr>
            <w:tcW w:w="2360" w:type="dxa"/>
            <w:vAlign w:val="bottom"/>
            <w:tcBorders>
              <w:bottom w:val="single" w:sz="8" w:color="3E5C7C"/>
            </w:tcBorders>
          </w:tcPr>
          <w:p>
            <w:pPr>
              <w:jc w:val="right"/>
              <w:ind w:right="8"/>
              <w:spacing w:after="0"/>
              <w:rPr>
                <w:sz w:val="20"/>
                <w:szCs w:val="20"/>
                <w:color w:val="auto"/>
              </w:rPr>
            </w:pPr>
            <w:r>
              <w:rPr>
                <w:rFonts w:ascii="Arial" w:cs="Arial" w:eastAsia="Arial" w:hAnsi="Arial"/>
                <w:sz w:val="14"/>
                <w:szCs w:val="14"/>
                <w:b w:val="1"/>
                <w:bCs w:val="1"/>
                <w:color w:val="032E5C"/>
              </w:rPr>
              <w:t>232.81</w:t>
            </w:r>
          </w:p>
        </w:tc>
        <w:tc>
          <w:tcPr>
            <w:tcW w:w="324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1,767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29292B"/>
        </w:rPr>
      </w:pPr>
      <w:r>
        <w:rPr>
          <w:rFonts w:ascii="Arial" w:cs="Arial" w:eastAsia="Arial" w:hAnsi="Arial"/>
          <w:sz w:val="14"/>
          <w:szCs w:val="14"/>
          <w:color w:val="29292B"/>
        </w:rPr>
        <w:t>Includes 194,000 RSUs that are not included in the calculation of the Weighted-Average Exercise Price in column (b).</w:t>
      </w:r>
    </w:p>
    <w:p>
      <w:pPr>
        <w:spacing w:after="0" w:line="95" w:lineRule="exact"/>
        <w:rPr>
          <w:rFonts w:ascii="Arial" w:cs="Arial" w:eastAsia="Arial" w:hAnsi="Arial"/>
          <w:sz w:val="14"/>
          <w:szCs w:val="14"/>
          <w:color w:val="29292B"/>
        </w:rPr>
      </w:pPr>
    </w:p>
    <w:p>
      <w:pPr>
        <w:ind w:left="340" w:right="240" w:hanging="332"/>
        <w:spacing w:after="0" w:line="269" w:lineRule="auto"/>
        <w:tabs>
          <w:tab w:leader="none" w:pos="340" w:val="left"/>
        </w:tabs>
        <w:numPr>
          <w:ilvl w:val="0"/>
          <w:numId w:val="68"/>
        </w:numPr>
        <w:rPr>
          <w:rFonts w:ascii="Arial" w:cs="Arial" w:eastAsia="Arial" w:hAnsi="Arial"/>
          <w:sz w:val="14"/>
          <w:szCs w:val="14"/>
          <w:color w:val="29292B"/>
        </w:rPr>
      </w:pPr>
      <w:r>
        <w:rPr>
          <w:rFonts w:ascii="Arial" w:cs="Arial" w:eastAsia="Arial" w:hAnsi="Arial"/>
          <w:sz w:val="14"/>
          <w:szCs w:val="14"/>
          <w:color w:val="29292B"/>
        </w:rPr>
        <w:t>Includes the gross number of shares underlying outstanding SARs. Upon the exercise of a SAR, the actual number of shares we will issue to the participant is equal the quotient of (i) the product of (x) the excess of the per share fair market value of our common stock on the date of exercise over the exercise price, multiplied by (y) the number of SARs exercised, divided by (ii) the per share fair market value of our common stock on the date of exercise, less any shares withheld to cover payment of applicable tax withholding obligations.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72</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20" w:type="dxa"/>
            <w:vAlign w:val="bottom"/>
            <w:vMerge w:val="restart"/>
          </w:tcPr>
          <w:p>
            <w:pPr>
              <w:ind w:left="4040"/>
              <w:spacing w:after="0"/>
              <w:rPr>
                <w:sz w:val="20"/>
                <w:szCs w:val="20"/>
                <w:color w:val="auto"/>
              </w:rPr>
            </w:pPr>
            <w:r>
              <w:rPr>
                <w:rFonts w:ascii="Arial" w:cs="Arial" w:eastAsia="Arial" w:hAnsi="Arial"/>
                <w:sz w:val="13"/>
                <w:szCs w:val="13"/>
                <w:b w:val="1"/>
                <w:bCs w:val="1"/>
                <w:color w:val="032E5C"/>
                <w:w w:val="95"/>
              </w:rPr>
              <w:t>EXECUTIVE COMPENSATION</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Pay Ratio Disclosure</w:t>
      </w:r>
    </w:p>
    <w:p>
      <w:pPr>
        <w:spacing w:after="0" w:line="209" w:lineRule="exact"/>
        <w:rPr>
          <w:sz w:val="20"/>
          <w:szCs w:val="20"/>
          <w:color w:val="auto"/>
        </w:rPr>
      </w:pPr>
    </w:p>
    <w:p>
      <w:pPr>
        <w:spacing w:after="0" w:line="315" w:lineRule="auto"/>
        <w:rPr>
          <w:sz w:val="20"/>
          <w:szCs w:val="20"/>
          <w:color w:val="auto"/>
        </w:rPr>
      </w:pPr>
      <w:r>
        <w:rPr>
          <w:rFonts w:ascii="Arial" w:cs="Arial" w:eastAsia="Arial" w:hAnsi="Arial"/>
          <w:sz w:val="16"/>
          <w:szCs w:val="16"/>
          <w:color w:val="29292B"/>
        </w:rPr>
        <w:t>As required by Section 953(b) of the Dodd-Frank Wall Street Reform and Consumer Protection Act and Item 402(u) of Regulation S-K (we refer to the statute and the regulation collectively as the “pay ratio rule”), we are providing the ratio of the annual total compensation of our CEO, to the annual total compensation of our median employee. The pay ratio included in this information is a reasonable estimate calculated in a manner consistent with the pay ratio rule.</w:t>
      </w:r>
    </w:p>
    <w:p>
      <w:pPr>
        <w:spacing w:after="0" w:line="315" w:lineRule="exact"/>
        <w:rPr>
          <w:sz w:val="20"/>
          <w:szCs w:val="20"/>
          <w:color w:val="auto"/>
        </w:rPr>
      </w:pPr>
    </w:p>
    <w:p>
      <w:pPr>
        <w:ind w:right="960"/>
        <w:spacing w:after="0" w:line="339" w:lineRule="auto"/>
        <w:rPr>
          <w:sz w:val="20"/>
          <w:szCs w:val="20"/>
          <w:color w:val="auto"/>
        </w:rPr>
      </w:pPr>
      <w:r>
        <w:rPr>
          <w:rFonts w:ascii="Arial" w:cs="Arial" w:eastAsia="Arial" w:hAnsi="Arial"/>
          <w:sz w:val="16"/>
          <w:szCs w:val="16"/>
          <w:color w:val="29292B"/>
        </w:rPr>
        <w:t>We determined our median employee as of July 31, 2024, which is the last day of our fiscal 2024. On July 31, 2024, we had 16,021 employees, approximately 7,600 of which were year-round employees and 8,300 of which were seasonal employees.</w:t>
      </w:r>
    </w:p>
    <w:p>
      <w:pPr>
        <w:spacing w:after="0" w:line="74" w:lineRule="exact"/>
        <w:rPr>
          <w:sz w:val="20"/>
          <w:szCs w:val="20"/>
          <w:color w:val="auto"/>
        </w:rPr>
      </w:pPr>
    </w:p>
    <w:p>
      <w:pPr>
        <w:spacing w:after="0" w:line="300" w:lineRule="auto"/>
        <w:rPr>
          <w:sz w:val="20"/>
          <w:szCs w:val="20"/>
          <w:color w:val="auto"/>
        </w:rPr>
      </w:pPr>
      <w:r>
        <w:rPr>
          <w:rFonts w:ascii="Arial" w:cs="Arial" w:eastAsia="Arial" w:hAnsi="Arial"/>
          <w:sz w:val="16"/>
          <w:szCs w:val="16"/>
          <w:color w:val="29292B"/>
        </w:rPr>
        <w:t>To identify the “median employee” for the purposes of this disclosure, we analyzed the compensation that we paid to each of those individuals for the 12-month period ending on July 31, 2024. We considered each employee’s “compensation” to consist of (i) the employee’s total gross earnings for a 12-month period ending on July 31, 2024 or June 30, 2024 in the case of Australian employees, plus (ii) the estimated amount of the Company’s contributions for that period to the retirement plans in which the employee participates based upon the employee’s deferral elections on the date identified. For our Canadian employees, the rate of pay was converted using the conversion rate CAD$1.0000 to USD$0.7243 as of July 31, 2024. For our Australian employees, the rate of pay was converted using the conversion rate of AUD$1.0000 to USD$0.6540 as of July 31, 2024. For our Swiss employees, the rate of pay was converted using the conversion rate CHF$1.0000 to USD$1.1392 as of July 31, 2024. No cost-of-living adjustments were made.</w:t>
      </w:r>
    </w:p>
    <w:p>
      <w:pPr>
        <w:spacing w:after="0" w:line="105"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29292B"/>
        </w:rPr>
        <w:t>Total Annual Compensation of our CEO in fiscal 2024 was $6,288,586 and was based on the compensation reportable in the Summary Compensation Table according to applicable instructions and interpretations. When compared to the total annual compensation for our median employee of $29,019, this results in a pay ratio of 217:1.</w:t>
      </w:r>
    </w:p>
    <w:p>
      <w:pPr>
        <w:spacing w:after="0" w:line="90"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29292B"/>
        </w:rPr>
        <w:t>The nature of our operations requires the use of many seasonal and part-time employees who do not work year-round, and accordingly, we are providing a supplemental disclosure annualizing the compensation of such employees. To identify the “median employee” for purposes of this supplemental disclosure, we analyzed the compensation that we paid to each of those individuals for the 12-month period ending on July 31, 2024. We considered each employee’s “compensation” to consist of (i) the employee’s total gross earnings for the 12-month period ending July 31, 2024 or June 30, 2024 in the case of Australian employees, plus (ii) the estimated amount of the Company’s contributions for that period to the retirement plans in which the employee participates. The compensation for seasonal or part-time employees who were not employed by us for the entire 12-month period was annualized to reflect compensation for a comparable period (or 2,080 hours worked during the year). The same Canadian dollar, Australian dollar and Swiss franc currency conversion rates as stated above were used for this supplemental disclosure. No cost of living adjustments were made.</w:t>
      </w:r>
    </w:p>
    <w:p>
      <w:pPr>
        <w:spacing w:after="0" w:line="104"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29292B"/>
        </w:rPr>
        <w:t>Using the total annual compensation of our CEO in fiscal 2024 of $6,288,586 when compared to the total annualized compensation for the median employee selected for this supplemental disclosure as of July 31, 2024 of $56,109, results in a pay ratio of 112:1.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73</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8" w:name="page79"/>
    <w:bookmarkEnd w:id="78"/>
    <w:p>
      <w:pPr>
        <w:spacing w:after="0"/>
        <w:rPr>
          <w:sz w:val="20"/>
          <w:szCs w:val="20"/>
          <w:color w:val="auto"/>
        </w:rPr>
      </w:pPr>
      <w:r>
        <w:rPr>
          <w:rFonts w:ascii="Arial" w:cs="Arial" w:eastAsia="Arial" w:hAnsi="Arial"/>
          <w:sz w:val="50"/>
          <w:szCs w:val="50"/>
          <w:b w:val="1"/>
          <w:bCs w:val="1"/>
          <w:color w:val="032E5C"/>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As required by Section 953(a) of the Dodd-Frank Wall Street Reform and Consumer Protection Act of 2010 and Item 402(v) of Regulation S-K, we are providing the following disclosure regarding the relationship between executive compensation actually paid (as defined by SEC rule) for each person serving as our principal executive officer (“PEO”) and our other NEOs on an average basis (Non-PEO NEOs) and certain Company financial performance metrics for the fiscal years listed below. The Compensation Committee did not consider the pay versus performance disclosure below in making its pay decisions for any of the years shown. For further information concerning the Company’s variable pay-for-performance philosophy and how the Company aligns executive compensation with the Company’s performance, please see “Compensation Discussion and Analysis” beginning on page 43.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gridSpan w:val="2"/>
            <w:shd w:val="clear" w:color="auto" w:fill="3E5C7C"/>
          </w:tcPr>
          <w:p>
            <w:pPr>
              <w:jc w:val="center"/>
              <w:spacing w:after="0"/>
              <w:rPr>
                <w:sz w:val="20"/>
                <w:szCs w:val="20"/>
                <w:color w:val="auto"/>
              </w:rPr>
            </w:pPr>
            <w:r>
              <w:rPr>
                <w:rFonts w:ascii="Arial" w:cs="Arial" w:eastAsia="Arial" w:hAnsi="Arial"/>
                <w:sz w:val="13"/>
                <w:szCs w:val="13"/>
                <w:b w:val="1"/>
                <w:bCs w:val="1"/>
                <w:color w:val="FFFFFF"/>
              </w:rPr>
              <w:t>Value of Initial Fixed</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gridSpan w:val="2"/>
            <w:shd w:val="clear" w:color="auto" w:fill="3E5C7C"/>
          </w:tcPr>
          <w:p>
            <w:pPr>
              <w:jc w:val="center"/>
              <w:spacing w:after="0"/>
              <w:rPr>
                <w:sz w:val="20"/>
                <w:szCs w:val="20"/>
                <w:color w:val="auto"/>
              </w:rPr>
            </w:pPr>
            <w:r>
              <w:rPr>
                <w:rFonts w:ascii="Arial" w:cs="Arial" w:eastAsia="Arial" w:hAnsi="Arial"/>
                <w:sz w:val="13"/>
                <w:szCs w:val="13"/>
                <w:b w:val="1"/>
                <w:bCs w:val="1"/>
                <w:color w:val="FFFFFF"/>
              </w:rPr>
              <w:t>$100 Investment</w:t>
            </w: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Borders>
              <w:bottom w:val="single" w:sz="8" w:color="3E5C7C"/>
            </w:tcBorders>
            <w:gridSpan w:val="2"/>
            <w:shd w:val="clear" w:color="auto" w:fill="3E5C7C"/>
          </w:tcPr>
          <w:p>
            <w:pPr>
              <w:jc w:val="center"/>
              <w:spacing w:after="0"/>
              <w:rPr>
                <w:sz w:val="20"/>
                <w:szCs w:val="20"/>
                <w:color w:val="auto"/>
              </w:rPr>
            </w:pPr>
            <w:r>
              <w:rPr>
                <w:rFonts w:ascii="Arial" w:cs="Arial" w:eastAsia="Arial" w:hAnsi="Arial"/>
                <w:sz w:val="13"/>
                <w:szCs w:val="13"/>
                <w:b w:val="1"/>
                <w:bCs w:val="1"/>
                <w:color w:val="FFFFFF"/>
                <w:w w:val="96"/>
              </w:rPr>
              <w:t>based on:</w:t>
            </w:r>
            <w:r>
              <w:rPr>
                <w:rFonts w:ascii="Arial" w:cs="Arial" w:eastAsia="Arial" w:hAnsi="Arial"/>
                <w:sz w:val="16"/>
                <w:szCs w:val="16"/>
                <w:b w:val="1"/>
                <w:bCs w:val="1"/>
                <w:color w:val="FFFFFF"/>
                <w:w w:val="96"/>
                <w:vertAlign w:val="superscript"/>
              </w:rPr>
              <w:t>(4)</w:t>
            </w: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0" w:type="dxa"/>
            <w:vAlign w:val="bottom"/>
            <w:shd w:val="clear" w:color="auto" w:fill="98BDE2"/>
          </w:tcPr>
          <w:p>
            <w:pPr>
              <w:spacing w:after="0"/>
              <w:rPr>
                <w:sz w:val="14"/>
                <w:szCs w:val="14"/>
                <w:color w:val="auto"/>
              </w:rPr>
            </w:pPr>
          </w:p>
        </w:tc>
        <w:tc>
          <w:tcPr>
            <w:tcW w:w="620" w:type="dxa"/>
            <w:vAlign w:val="bottom"/>
            <w:shd w:val="clear" w:color="auto" w:fill="98BDE2"/>
          </w:tcPr>
          <w:p>
            <w:pPr>
              <w:spacing w:after="0"/>
              <w:rPr>
                <w:sz w:val="14"/>
                <w:szCs w:val="14"/>
                <w:color w:val="auto"/>
              </w:rPr>
            </w:pPr>
          </w:p>
        </w:tc>
        <w:tc>
          <w:tcPr>
            <w:tcW w:w="1220" w:type="dxa"/>
            <w:vAlign w:val="bottom"/>
            <w:shd w:val="clear" w:color="auto" w:fill="98BDE2"/>
          </w:tcPr>
          <w:p>
            <w:pPr>
              <w:jc w:val="right"/>
              <w:ind w:right="31"/>
              <w:spacing w:after="0"/>
              <w:rPr>
                <w:sz w:val="20"/>
                <w:szCs w:val="20"/>
                <w:color w:val="auto"/>
              </w:rPr>
            </w:pPr>
            <w:r>
              <w:rPr>
                <w:rFonts w:ascii="Arial" w:cs="Arial" w:eastAsia="Arial" w:hAnsi="Arial"/>
                <w:sz w:val="13"/>
                <w:szCs w:val="13"/>
                <w:b w:val="1"/>
                <w:bCs w:val="1"/>
                <w:color w:val="032E5C"/>
              </w:rPr>
              <w:t>Summary</w:t>
            </w:r>
          </w:p>
        </w:tc>
        <w:tc>
          <w:tcPr>
            <w:tcW w:w="1240" w:type="dxa"/>
            <w:vAlign w:val="bottom"/>
            <w:shd w:val="clear" w:color="auto" w:fill="98BDE2"/>
          </w:tcPr>
          <w:p>
            <w:pPr>
              <w:jc w:val="right"/>
              <w:ind w:right="51"/>
              <w:spacing w:after="0"/>
              <w:rPr>
                <w:sz w:val="20"/>
                <w:szCs w:val="20"/>
                <w:color w:val="auto"/>
              </w:rPr>
            </w:pPr>
            <w:r>
              <w:rPr>
                <w:rFonts w:ascii="Arial" w:cs="Arial" w:eastAsia="Arial" w:hAnsi="Arial"/>
                <w:sz w:val="13"/>
                <w:szCs w:val="13"/>
                <w:b w:val="1"/>
                <w:bCs w:val="1"/>
                <w:color w:val="032E5C"/>
              </w:rPr>
              <w:t>Summary</w:t>
            </w:r>
          </w:p>
        </w:tc>
        <w:tc>
          <w:tcPr>
            <w:tcW w:w="1200" w:type="dxa"/>
            <w:vAlign w:val="bottom"/>
            <w:shd w:val="clear" w:color="auto" w:fill="98BDE2"/>
          </w:tcPr>
          <w:p>
            <w:pPr>
              <w:spacing w:after="0"/>
              <w:rPr>
                <w:sz w:val="14"/>
                <w:szCs w:val="14"/>
                <w:color w:val="auto"/>
              </w:rPr>
            </w:pPr>
          </w:p>
        </w:tc>
        <w:tc>
          <w:tcPr>
            <w:tcW w:w="1200" w:type="dxa"/>
            <w:vAlign w:val="bottom"/>
            <w:shd w:val="clear" w:color="auto" w:fill="98BDE2"/>
          </w:tcPr>
          <w:p>
            <w:pPr>
              <w:spacing w:after="0"/>
              <w:rPr>
                <w:sz w:val="14"/>
                <w:szCs w:val="14"/>
                <w:color w:val="auto"/>
              </w:rPr>
            </w:pPr>
          </w:p>
        </w:tc>
        <w:tc>
          <w:tcPr>
            <w:tcW w:w="1340" w:type="dxa"/>
            <w:vAlign w:val="bottom"/>
            <w:shd w:val="clear" w:color="auto" w:fill="98BDE2"/>
          </w:tcPr>
          <w:p>
            <w:pPr>
              <w:jc w:val="right"/>
              <w:ind w:right="71"/>
              <w:spacing w:after="0"/>
              <w:rPr>
                <w:sz w:val="20"/>
                <w:szCs w:val="20"/>
                <w:color w:val="auto"/>
              </w:rPr>
            </w:pPr>
            <w:r>
              <w:rPr>
                <w:rFonts w:ascii="Arial" w:cs="Arial" w:eastAsia="Arial" w:hAnsi="Arial"/>
                <w:sz w:val="13"/>
                <w:szCs w:val="13"/>
                <w:b w:val="1"/>
                <w:bCs w:val="1"/>
                <w:color w:val="032E5C"/>
              </w:rPr>
              <w:t>Average Summary</w:t>
            </w:r>
          </w:p>
        </w:tc>
        <w:tc>
          <w:tcPr>
            <w:tcW w:w="1120" w:type="dxa"/>
            <w:vAlign w:val="bottom"/>
            <w:shd w:val="clear" w:color="auto" w:fill="98BDE2"/>
          </w:tcPr>
          <w:p>
            <w:pPr>
              <w:jc w:val="right"/>
              <w:spacing w:after="0"/>
              <w:rPr>
                <w:sz w:val="20"/>
                <w:szCs w:val="20"/>
                <w:color w:val="auto"/>
              </w:rPr>
            </w:pPr>
            <w:r>
              <w:rPr>
                <w:rFonts w:ascii="Arial" w:cs="Arial" w:eastAsia="Arial" w:hAnsi="Arial"/>
                <w:sz w:val="13"/>
                <w:szCs w:val="13"/>
                <w:b w:val="1"/>
                <w:bCs w:val="1"/>
                <w:color w:val="032E5C"/>
              </w:rPr>
              <w:t>Average</w:t>
            </w:r>
          </w:p>
        </w:tc>
        <w:tc>
          <w:tcPr>
            <w:tcW w:w="820" w:type="dxa"/>
            <w:vAlign w:val="bottom"/>
            <w:shd w:val="clear" w:color="auto" w:fill="98BDE2"/>
          </w:tcPr>
          <w:p>
            <w:pPr>
              <w:spacing w:after="0"/>
              <w:rPr>
                <w:sz w:val="14"/>
                <w:szCs w:val="14"/>
                <w:color w:val="auto"/>
              </w:rPr>
            </w:pPr>
          </w:p>
        </w:tc>
        <w:tc>
          <w:tcPr>
            <w:tcW w:w="600" w:type="dxa"/>
            <w:vAlign w:val="bottom"/>
            <w:shd w:val="clear" w:color="auto" w:fill="98BDE2"/>
          </w:tcPr>
          <w:p>
            <w:pPr>
              <w:spacing w:after="0"/>
              <w:rPr>
                <w:sz w:val="14"/>
                <w:szCs w:val="14"/>
                <w:color w:val="auto"/>
              </w:rPr>
            </w:pPr>
          </w:p>
        </w:tc>
        <w:tc>
          <w:tcPr>
            <w:tcW w:w="800" w:type="dxa"/>
            <w:vAlign w:val="bottom"/>
            <w:shd w:val="clear" w:color="auto" w:fill="98BDE2"/>
          </w:tcPr>
          <w:p>
            <w:pPr>
              <w:spacing w:after="0"/>
              <w:rPr>
                <w:sz w:val="14"/>
                <w:szCs w:val="14"/>
                <w:color w:val="auto"/>
              </w:rPr>
            </w:pPr>
          </w:p>
        </w:tc>
        <w:tc>
          <w:tcPr>
            <w:tcW w:w="1000" w:type="dxa"/>
            <w:vAlign w:val="bottom"/>
            <w:vMerge w:val="restart"/>
            <w:shd w:val="clear" w:color="auto" w:fill="98BDE2"/>
          </w:tcPr>
          <w:p>
            <w:pPr>
              <w:jc w:val="right"/>
              <w:ind w:right="54"/>
              <w:spacing w:after="0"/>
              <w:rPr>
                <w:sz w:val="20"/>
                <w:szCs w:val="20"/>
                <w:color w:val="auto"/>
              </w:rPr>
            </w:pPr>
            <w:r>
              <w:rPr>
                <w:rFonts w:ascii="Arial" w:cs="Arial" w:eastAsia="Arial" w:hAnsi="Arial"/>
                <w:sz w:val="13"/>
                <w:szCs w:val="13"/>
                <w:b w:val="1"/>
                <w:bCs w:val="1"/>
                <w:color w:val="032E5C"/>
              </w:rPr>
              <w:t>Resort</w:t>
            </w:r>
          </w:p>
        </w:tc>
        <w:tc>
          <w:tcPr>
            <w:tcW w:w="0" w:type="dxa"/>
            <w:vAlign w:val="bottom"/>
          </w:tcPr>
          <w:p>
            <w:pPr>
              <w:spacing w:after="0"/>
              <w:rPr>
                <w:sz w:val="1"/>
                <w:szCs w:val="1"/>
                <w:color w:val="auto"/>
              </w:rPr>
            </w:pPr>
          </w:p>
        </w:tc>
      </w:tr>
      <w:tr>
        <w:trPr>
          <w:trHeight w:val="54"/>
        </w:trPr>
        <w:tc>
          <w:tcPr>
            <w:tcW w:w="80" w:type="dxa"/>
            <w:vAlign w:val="bottom"/>
            <w:shd w:val="clear" w:color="auto" w:fill="98BDE2"/>
          </w:tcPr>
          <w:p>
            <w:pPr>
              <w:spacing w:after="0"/>
              <w:rPr>
                <w:sz w:val="4"/>
                <w:szCs w:val="4"/>
                <w:color w:val="auto"/>
              </w:rPr>
            </w:pPr>
          </w:p>
        </w:tc>
        <w:tc>
          <w:tcPr>
            <w:tcW w:w="620" w:type="dxa"/>
            <w:vAlign w:val="bottom"/>
            <w:shd w:val="clear" w:color="auto" w:fill="98BDE2"/>
          </w:tcPr>
          <w:p>
            <w:pPr>
              <w:spacing w:after="0"/>
              <w:rPr>
                <w:sz w:val="4"/>
                <w:szCs w:val="4"/>
                <w:color w:val="auto"/>
              </w:rPr>
            </w:pPr>
          </w:p>
        </w:tc>
        <w:tc>
          <w:tcPr>
            <w:tcW w:w="1220" w:type="dxa"/>
            <w:vAlign w:val="bottom"/>
            <w:vMerge w:val="restart"/>
            <w:shd w:val="clear" w:color="auto" w:fill="98BDE2"/>
          </w:tcPr>
          <w:p>
            <w:pPr>
              <w:jc w:val="right"/>
              <w:ind w:right="31"/>
              <w:spacing w:after="0"/>
              <w:rPr>
                <w:sz w:val="20"/>
                <w:szCs w:val="20"/>
                <w:color w:val="auto"/>
              </w:rPr>
            </w:pPr>
            <w:r>
              <w:rPr>
                <w:rFonts w:ascii="Arial" w:cs="Arial" w:eastAsia="Arial" w:hAnsi="Arial"/>
                <w:sz w:val="13"/>
                <w:szCs w:val="13"/>
                <w:b w:val="1"/>
                <w:bCs w:val="1"/>
                <w:color w:val="032E5C"/>
              </w:rPr>
              <w:t>Compensation</w:t>
            </w:r>
          </w:p>
        </w:tc>
        <w:tc>
          <w:tcPr>
            <w:tcW w:w="1240" w:type="dxa"/>
            <w:vAlign w:val="bottom"/>
            <w:vMerge w:val="restart"/>
            <w:shd w:val="clear" w:color="auto" w:fill="98BDE2"/>
          </w:tcPr>
          <w:p>
            <w:pPr>
              <w:jc w:val="right"/>
              <w:ind w:right="51"/>
              <w:spacing w:after="0"/>
              <w:rPr>
                <w:sz w:val="20"/>
                <w:szCs w:val="20"/>
                <w:color w:val="auto"/>
              </w:rPr>
            </w:pPr>
            <w:r>
              <w:rPr>
                <w:rFonts w:ascii="Arial" w:cs="Arial" w:eastAsia="Arial" w:hAnsi="Arial"/>
                <w:sz w:val="13"/>
                <w:szCs w:val="13"/>
                <w:b w:val="1"/>
                <w:bCs w:val="1"/>
                <w:color w:val="032E5C"/>
              </w:rPr>
              <w:t>Compensation</w:t>
            </w:r>
          </w:p>
        </w:tc>
        <w:tc>
          <w:tcPr>
            <w:tcW w:w="1200" w:type="dxa"/>
            <w:vAlign w:val="bottom"/>
            <w:vMerge w:val="restart"/>
            <w:shd w:val="clear" w:color="auto" w:fill="98BDE2"/>
          </w:tcPr>
          <w:p>
            <w:pPr>
              <w:jc w:val="right"/>
              <w:ind w:right="34"/>
              <w:spacing w:after="0"/>
              <w:rPr>
                <w:sz w:val="20"/>
                <w:szCs w:val="20"/>
                <w:color w:val="auto"/>
              </w:rPr>
            </w:pPr>
            <w:r>
              <w:rPr>
                <w:rFonts w:ascii="Arial" w:cs="Arial" w:eastAsia="Arial" w:hAnsi="Arial"/>
                <w:sz w:val="13"/>
                <w:szCs w:val="13"/>
                <w:b w:val="1"/>
                <w:bCs w:val="1"/>
                <w:color w:val="032E5C"/>
              </w:rPr>
              <w:t>Compensation</w:t>
            </w:r>
          </w:p>
        </w:tc>
        <w:tc>
          <w:tcPr>
            <w:tcW w:w="120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Compensation</w:t>
            </w:r>
          </w:p>
        </w:tc>
        <w:tc>
          <w:tcPr>
            <w:tcW w:w="1340" w:type="dxa"/>
            <w:vAlign w:val="bottom"/>
            <w:vMerge w:val="restart"/>
            <w:shd w:val="clear" w:color="auto" w:fill="98BDE2"/>
          </w:tcPr>
          <w:p>
            <w:pPr>
              <w:jc w:val="right"/>
              <w:ind w:right="71"/>
              <w:spacing w:after="0"/>
              <w:rPr>
                <w:sz w:val="20"/>
                <w:szCs w:val="20"/>
                <w:color w:val="auto"/>
              </w:rPr>
            </w:pPr>
            <w:r>
              <w:rPr>
                <w:rFonts w:ascii="Arial" w:cs="Arial" w:eastAsia="Arial" w:hAnsi="Arial"/>
                <w:sz w:val="13"/>
                <w:szCs w:val="13"/>
                <w:b w:val="1"/>
                <w:bCs w:val="1"/>
                <w:color w:val="032E5C"/>
              </w:rPr>
              <w:t>Compensation</w:t>
            </w:r>
          </w:p>
        </w:tc>
        <w:tc>
          <w:tcPr>
            <w:tcW w:w="112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Compensation</w:t>
            </w:r>
          </w:p>
        </w:tc>
        <w:tc>
          <w:tcPr>
            <w:tcW w:w="820" w:type="dxa"/>
            <w:vAlign w:val="bottom"/>
            <w:shd w:val="clear" w:color="auto" w:fill="98BDE2"/>
          </w:tcPr>
          <w:p>
            <w:pPr>
              <w:spacing w:after="0"/>
              <w:rPr>
                <w:sz w:val="4"/>
                <w:szCs w:val="4"/>
                <w:color w:val="auto"/>
              </w:rPr>
            </w:pPr>
          </w:p>
        </w:tc>
        <w:tc>
          <w:tcPr>
            <w:tcW w:w="60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Peer</w:t>
            </w:r>
          </w:p>
        </w:tc>
        <w:tc>
          <w:tcPr>
            <w:tcW w:w="800" w:type="dxa"/>
            <w:vAlign w:val="bottom"/>
            <w:shd w:val="clear" w:color="auto" w:fill="98BDE2"/>
          </w:tcPr>
          <w:p>
            <w:pPr>
              <w:spacing w:after="0"/>
              <w:rPr>
                <w:sz w:val="4"/>
                <w:szCs w:val="4"/>
                <w:color w:val="auto"/>
              </w:rPr>
            </w:pPr>
          </w:p>
        </w:tc>
        <w:tc>
          <w:tcPr>
            <w:tcW w:w="1000" w:type="dxa"/>
            <w:vAlign w:val="bottom"/>
            <w:vMerge w:val="continue"/>
            <w:shd w:val="clear" w:color="auto" w:fill="98BDE2"/>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80" w:type="dxa"/>
            <w:vAlign w:val="bottom"/>
            <w:shd w:val="clear" w:color="auto" w:fill="98BDE2"/>
          </w:tcPr>
          <w:p>
            <w:pPr>
              <w:spacing w:after="0"/>
              <w:rPr>
                <w:sz w:val="10"/>
                <w:szCs w:val="10"/>
                <w:color w:val="auto"/>
              </w:rPr>
            </w:pPr>
          </w:p>
        </w:tc>
        <w:tc>
          <w:tcPr>
            <w:tcW w:w="620" w:type="dxa"/>
            <w:vAlign w:val="bottom"/>
            <w:shd w:val="clear" w:color="auto" w:fill="98BDE2"/>
          </w:tcPr>
          <w:p>
            <w:pPr>
              <w:spacing w:after="0"/>
              <w:rPr>
                <w:sz w:val="10"/>
                <w:szCs w:val="10"/>
                <w:color w:val="auto"/>
              </w:rPr>
            </w:pPr>
          </w:p>
        </w:tc>
        <w:tc>
          <w:tcPr>
            <w:tcW w:w="1220" w:type="dxa"/>
            <w:vAlign w:val="bottom"/>
            <w:vMerge w:val="continue"/>
            <w:shd w:val="clear" w:color="auto" w:fill="98BDE2"/>
          </w:tcPr>
          <w:p>
            <w:pPr>
              <w:spacing w:after="0"/>
              <w:rPr>
                <w:sz w:val="10"/>
                <w:szCs w:val="10"/>
                <w:color w:val="auto"/>
              </w:rPr>
            </w:pPr>
          </w:p>
        </w:tc>
        <w:tc>
          <w:tcPr>
            <w:tcW w:w="1240" w:type="dxa"/>
            <w:vAlign w:val="bottom"/>
            <w:vMerge w:val="continue"/>
            <w:shd w:val="clear" w:color="auto" w:fill="98BDE2"/>
          </w:tcPr>
          <w:p>
            <w:pPr>
              <w:spacing w:after="0"/>
              <w:rPr>
                <w:sz w:val="10"/>
                <w:szCs w:val="10"/>
                <w:color w:val="auto"/>
              </w:rPr>
            </w:pPr>
          </w:p>
        </w:tc>
        <w:tc>
          <w:tcPr>
            <w:tcW w:w="1200" w:type="dxa"/>
            <w:vAlign w:val="bottom"/>
            <w:vMerge w:val="continue"/>
            <w:shd w:val="clear" w:color="auto" w:fill="98BDE2"/>
          </w:tcPr>
          <w:p>
            <w:pPr>
              <w:spacing w:after="0"/>
              <w:rPr>
                <w:sz w:val="10"/>
                <w:szCs w:val="10"/>
                <w:color w:val="auto"/>
              </w:rPr>
            </w:pPr>
          </w:p>
        </w:tc>
        <w:tc>
          <w:tcPr>
            <w:tcW w:w="1200" w:type="dxa"/>
            <w:vAlign w:val="bottom"/>
            <w:vMerge w:val="continue"/>
            <w:shd w:val="clear" w:color="auto" w:fill="98BDE2"/>
          </w:tcPr>
          <w:p>
            <w:pPr>
              <w:spacing w:after="0"/>
              <w:rPr>
                <w:sz w:val="10"/>
                <w:szCs w:val="10"/>
                <w:color w:val="auto"/>
              </w:rPr>
            </w:pPr>
          </w:p>
        </w:tc>
        <w:tc>
          <w:tcPr>
            <w:tcW w:w="1340" w:type="dxa"/>
            <w:vAlign w:val="bottom"/>
            <w:vMerge w:val="continue"/>
            <w:shd w:val="clear" w:color="auto" w:fill="98BDE2"/>
          </w:tcPr>
          <w:p>
            <w:pPr>
              <w:spacing w:after="0"/>
              <w:rPr>
                <w:sz w:val="10"/>
                <w:szCs w:val="10"/>
                <w:color w:val="auto"/>
              </w:rPr>
            </w:pPr>
          </w:p>
        </w:tc>
        <w:tc>
          <w:tcPr>
            <w:tcW w:w="1120" w:type="dxa"/>
            <w:vAlign w:val="bottom"/>
            <w:vMerge w:val="continue"/>
            <w:shd w:val="clear" w:color="auto" w:fill="98BDE2"/>
          </w:tcPr>
          <w:p>
            <w:pPr>
              <w:spacing w:after="0"/>
              <w:rPr>
                <w:sz w:val="10"/>
                <w:szCs w:val="10"/>
                <w:color w:val="auto"/>
              </w:rPr>
            </w:pPr>
          </w:p>
        </w:tc>
        <w:tc>
          <w:tcPr>
            <w:tcW w:w="820" w:type="dxa"/>
            <w:vAlign w:val="bottom"/>
            <w:shd w:val="clear" w:color="auto" w:fill="98BDE2"/>
          </w:tcPr>
          <w:p>
            <w:pPr>
              <w:spacing w:after="0"/>
              <w:rPr>
                <w:sz w:val="10"/>
                <w:szCs w:val="10"/>
                <w:color w:val="auto"/>
              </w:rPr>
            </w:pPr>
          </w:p>
        </w:tc>
        <w:tc>
          <w:tcPr>
            <w:tcW w:w="600" w:type="dxa"/>
            <w:vAlign w:val="bottom"/>
            <w:vMerge w:val="continue"/>
            <w:shd w:val="clear" w:color="auto" w:fill="98BDE2"/>
          </w:tcPr>
          <w:p>
            <w:pPr>
              <w:spacing w:after="0"/>
              <w:rPr>
                <w:sz w:val="10"/>
                <w:szCs w:val="10"/>
                <w:color w:val="auto"/>
              </w:rPr>
            </w:pPr>
          </w:p>
        </w:tc>
        <w:tc>
          <w:tcPr>
            <w:tcW w:w="80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Net Income</w:t>
            </w:r>
          </w:p>
        </w:tc>
        <w:tc>
          <w:tcPr>
            <w:tcW w:w="1000" w:type="dxa"/>
            <w:vAlign w:val="bottom"/>
            <w:shd w:val="clear" w:color="auto" w:fill="98BDE2"/>
          </w:tcPr>
          <w:p>
            <w:pPr>
              <w:jc w:val="right"/>
              <w:ind w:right="54"/>
              <w:spacing w:after="0" w:line="120" w:lineRule="exact"/>
              <w:rPr>
                <w:sz w:val="20"/>
                <w:szCs w:val="20"/>
                <w:color w:val="auto"/>
              </w:rPr>
            </w:pPr>
            <w:r>
              <w:rPr>
                <w:rFonts w:ascii="Arial" w:cs="Arial" w:eastAsia="Arial" w:hAnsi="Arial"/>
                <w:sz w:val="13"/>
                <w:szCs w:val="13"/>
                <w:b w:val="1"/>
                <w:bCs w:val="1"/>
                <w:color w:val="032E5C"/>
              </w:rPr>
              <w:t>Reported</w:t>
            </w:r>
          </w:p>
        </w:tc>
        <w:tc>
          <w:tcPr>
            <w:tcW w:w="0" w:type="dxa"/>
            <w:vAlign w:val="bottom"/>
          </w:tcPr>
          <w:p>
            <w:pPr>
              <w:spacing w:after="0"/>
              <w:rPr>
                <w:sz w:val="1"/>
                <w:szCs w:val="1"/>
                <w:color w:val="auto"/>
              </w:rPr>
            </w:pPr>
          </w:p>
        </w:tc>
      </w:tr>
      <w:tr>
        <w:trPr>
          <w:trHeight w:val="137"/>
        </w:trPr>
        <w:tc>
          <w:tcPr>
            <w:tcW w:w="80" w:type="dxa"/>
            <w:vAlign w:val="bottom"/>
            <w:shd w:val="clear" w:color="auto" w:fill="98BDE2"/>
          </w:tcPr>
          <w:p>
            <w:pPr>
              <w:spacing w:after="0"/>
              <w:rPr>
                <w:sz w:val="11"/>
                <w:szCs w:val="11"/>
                <w:color w:val="auto"/>
              </w:rPr>
            </w:pPr>
          </w:p>
        </w:tc>
        <w:tc>
          <w:tcPr>
            <w:tcW w:w="620" w:type="dxa"/>
            <w:vAlign w:val="bottom"/>
            <w:shd w:val="clear" w:color="auto" w:fill="98BDE2"/>
          </w:tcPr>
          <w:p>
            <w:pPr>
              <w:spacing w:after="0"/>
              <w:rPr>
                <w:sz w:val="11"/>
                <w:szCs w:val="11"/>
                <w:color w:val="auto"/>
              </w:rPr>
            </w:pPr>
          </w:p>
        </w:tc>
        <w:tc>
          <w:tcPr>
            <w:tcW w:w="1220" w:type="dxa"/>
            <w:vAlign w:val="bottom"/>
            <w:shd w:val="clear" w:color="auto" w:fill="98BDE2"/>
          </w:tcPr>
          <w:p>
            <w:pPr>
              <w:jc w:val="right"/>
              <w:ind w:right="31"/>
              <w:spacing w:after="0" w:line="137" w:lineRule="exact"/>
              <w:rPr>
                <w:sz w:val="20"/>
                <w:szCs w:val="20"/>
                <w:color w:val="auto"/>
              </w:rPr>
            </w:pPr>
            <w:r>
              <w:rPr>
                <w:rFonts w:ascii="Arial" w:cs="Arial" w:eastAsia="Arial" w:hAnsi="Arial"/>
                <w:sz w:val="13"/>
                <w:szCs w:val="13"/>
                <w:b w:val="1"/>
                <w:bCs w:val="1"/>
                <w:color w:val="032E5C"/>
              </w:rPr>
              <w:t>Table Total for</w:t>
            </w:r>
          </w:p>
        </w:tc>
        <w:tc>
          <w:tcPr>
            <w:tcW w:w="1240" w:type="dxa"/>
            <w:vAlign w:val="bottom"/>
            <w:shd w:val="clear" w:color="auto" w:fill="98BDE2"/>
          </w:tcPr>
          <w:p>
            <w:pPr>
              <w:jc w:val="right"/>
              <w:ind w:right="51"/>
              <w:spacing w:after="0" w:line="137" w:lineRule="exact"/>
              <w:rPr>
                <w:sz w:val="20"/>
                <w:szCs w:val="20"/>
                <w:color w:val="auto"/>
              </w:rPr>
            </w:pPr>
            <w:r>
              <w:rPr>
                <w:rFonts w:ascii="Arial" w:cs="Arial" w:eastAsia="Arial" w:hAnsi="Arial"/>
                <w:sz w:val="13"/>
                <w:szCs w:val="13"/>
                <w:b w:val="1"/>
                <w:bCs w:val="1"/>
                <w:color w:val="032E5C"/>
              </w:rPr>
              <w:t>Table Total for</w:t>
            </w:r>
          </w:p>
        </w:tc>
        <w:tc>
          <w:tcPr>
            <w:tcW w:w="1200" w:type="dxa"/>
            <w:vAlign w:val="bottom"/>
            <w:shd w:val="clear" w:color="auto" w:fill="98BDE2"/>
          </w:tcPr>
          <w:p>
            <w:pPr>
              <w:jc w:val="right"/>
              <w:ind w:right="34"/>
              <w:spacing w:after="0" w:line="137" w:lineRule="exact"/>
              <w:rPr>
                <w:sz w:val="20"/>
                <w:szCs w:val="20"/>
                <w:color w:val="auto"/>
              </w:rPr>
            </w:pPr>
            <w:r>
              <w:rPr>
                <w:rFonts w:ascii="Arial" w:cs="Arial" w:eastAsia="Arial" w:hAnsi="Arial"/>
                <w:sz w:val="13"/>
                <w:szCs w:val="13"/>
                <w:b w:val="1"/>
                <w:bCs w:val="1"/>
                <w:color w:val="032E5C"/>
              </w:rPr>
              <w:t>Actually Paid to</w:t>
            </w:r>
          </w:p>
        </w:tc>
        <w:tc>
          <w:tcPr>
            <w:tcW w:w="2540" w:type="dxa"/>
            <w:vAlign w:val="bottom"/>
            <w:gridSpan w:val="2"/>
            <w:shd w:val="clear" w:color="auto" w:fill="98BDE2"/>
          </w:tcPr>
          <w:p>
            <w:pPr>
              <w:jc w:val="right"/>
              <w:ind w:right="71"/>
              <w:spacing w:after="0" w:line="137" w:lineRule="exact"/>
              <w:rPr>
                <w:sz w:val="20"/>
                <w:szCs w:val="20"/>
                <w:color w:val="auto"/>
              </w:rPr>
            </w:pPr>
            <w:r>
              <w:rPr>
                <w:rFonts w:ascii="Arial" w:cs="Arial" w:eastAsia="Arial" w:hAnsi="Arial"/>
                <w:sz w:val="13"/>
                <w:szCs w:val="13"/>
                <w:b w:val="1"/>
                <w:bCs w:val="1"/>
                <w:color w:val="032E5C"/>
              </w:rPr>
              <w:t>Actually Paid to Table Total for Non-</w:t>
            </w:r>
          </w:p>
        </w:tc>
        <w:tc>
          <w:tcPr>
            <w:tcW w:w="1120" w:type="dxa"/>
            <w:vAlign w:val="bottom"/>
            <w:shd w:val="clear" w:color="auto" w:fill="98BDE2"/>
          </w:tcPr>
          <w:p>
            <w:pPr>
              <w:jc w:val="right"/>
              <w:spacing w:after="0" w:line="137" w:lineRule="exact"/>
              <w:rPr>
                <w:sz w:val="20"/>
                <w:szCs w:val="20"/>
                <w:color w:val="auto"/>
              </w:rPr>
            </w:pPr>
            <w:r>
              <w:rPr>
                <w:rFonts w:ascii="Arial" w:cs="Arial" w:eastAsia="Arial" w:hAnsi="Arial"/>
                <w:sz w:val="13"/>
                <w:szCs w:val="13"/>
                <w:b w:val="1"/>
                <w:bCs w:val="1"/>
                <w:color w:val="032E5C"/>
              </w:rPr>
              <w:t>Actually Paid to</w:t>
            </w:r>
          </w:p>
        </w:tc>
        <w:tc>
          <w:tcPr>
            <w:tcW w:w="820" w:type="dxa"/>
            <w:vAlign w:val="bottom"/>
            <w:shd w:val="clear" w:color="auto" w:fill="98BDE2"/>
          </w:tcPr>
          <w:p>
            <w:pPr>
              <w:spacing w:after="0"/>
              <w:rPr>
                <w:sz w:val="11"/>
                <w:szCs w:val="11"/>
                <w:color w:val="auto"/>
              </w:rPr>
            </w:pPr>
          </w:p>
        </w:tc>
        <w:tc>
          <w:tcPr>
            <w:tcW w:w="600" w:type="dxa"/>
            <w:vAlign w:val="bottom"/>
            <w:shd w:val="clear" w:color="auto" w:fill="98BDE2"/>
          </w:tcPr>
          <w:p>
            <w:pPr>
              <w:jc w:val="right"/>
              <w:spacing w:after="0" w:line="137" w:lineRule="exact"/>
              <w:rPr>
                <w:sz w:val="20"/>
                <w:szCs w:val="20"/>
                <w:color w:val="auto"/>
              </w:rPr>
            </w:pPr>
            <w:r>
              <w:rPr>
                <w:rFonts w:ascii="Arial" w:cs="Arial" w:eastAsia="Arial" w:hAnsi="Arial"/>
                <w:sz w:val="13"/>
                <w:szCs w:val="13"/>
                <w:b w:val="1"/>
                <w:bCs w:val="1"/>
                <w:color w:val="032E5C"/>
              </w:rPr>
              <w:t>Group</w:t>
            </w:r>
          </w:p>
        </w:tc>
        <w:tc>
          <w:tcPr>
            <w:tcW w:w="800" w:type="dxa"/>
            <w:vAlign w:val="bottom"/>
            <w:vMerge w:val="continue"/>
            <w:shd w:val="clear" w:color="auto" w:fill="98BDE2"/>
          </w:tcPr>
          <w:p>
            <w:pPr>
              <w:spacing w:after="0"/>
              <w:rPr>
                <w:sz w:val="11"/>
                <w:szCs w:val="11"/>
                <w:color w:val="auto"/>
              </w:rPr>
            </w:pPr>
          </w:p>
        </w:tc>
        <w:tc>
          <w:tcPr>
            <w:tcW w:w="1000" w:type="dxa"/>
            <w:vAlign w:val="bottom"/>
            <w:vMerge w:val="restart"/>
            <w:shd w:val="clear" w:color="auto" w:fill="98BDE2"/>
          </w:tcPr>
          <w:p>
            <w:pPr>
              <w:jc w:val="right"/>
              <w:ind w:right="54"/>
              <w:spacing w:after="0"/>
              <w:rPr>
                <w:sz w:val="20"/>
                <w:szCs w:val="20"/>
                <w:color w:val="auto"/>
              </w:rPr>
            </w:pPr>
            <w:r>
              <w:rPr>
                <w:rFonts w:ascii="Arial" w:cs="Arial" w:eastAsia="Arial" w:hAnsi="Arial"/>
                <w:sz w:val="13"/>
                <w:szCs w:val="13"/>
                <w:b w:val="1"/>
                <w:bCs w:val="1"/>
                <w:color w:val="032E5C"/>
              </w:rPr>
              <w:t>EBITDA</w:t>
            </w:r>
          </w:p>
        </w:tc>
        <w:tc>
          <w:tcPr>
            <w:tcW w:w="0" w:type="dxa"/>
            <w:vAlign w:val="bottom"/>
          </w:tcPr>
          <w:p>
            <w:pPr>
              <w:spacing w:after="0"/>
              <w:rPr>
                <w:sz w:val="1"/>
                <w:szCs w:val="1"/>
                <w:color w:val="auto"/>
              </w:rPr>
            </w:pPr>
          </w:p>
        </w:tc>
      </w:tr>
      <w:tr>
        <w:trPr>
          <w:trHeight w:val="54"/>
        </w:trPr>
        <w:tc>
          <w:tcPr>
            <w:tcW w:w="80" w:type="dxa"/>
            <w:vAlign w:val="bottom"/>
            <w:shd w:val="clear" w:color="auto" w:fill="98BDE2"/>
          </w:tcPr>
          <w:p>
            <w:pPr>
              <w:spacing w:after="0"/>
              <w:rPr>
                <w:sz w:val="4"/>
                <w:szCs w:val="4"/>
                <w:color w:val="auto"/>
              </w:rPr>
            </w:pPr>
          </w:p>
        </w:tc>
        <w:tc>
          <w:tcPr>
            <w:tcW w:w="620" w:type="dxa"/>
            <w:vAlign w:val="bottom"/>
            <w:shd w:val="clear" w:color="auto" w:fill="98BDE2"/>
          </w:tcPr>
          <w:p>
            <w:pPr>
              <w:spacing w:after="0"/>
              <w:rPr>
                <w:sz w:val="4"/>
                <w:szCs w:val="4"/>
                <w:color w:val="auto"/>
              </w:rPr>
            </w:pPr>
          </w:p>
        </w:tc>
        <w:tc>
          <w:tcPr>
            <w:tcW w:w="1220" w:type="dxa"/>
            <w:vAlign w:val="bottom"/>
            <w:vMerge w:val="restart"/>
            <w:shd w:val="clear" w:color="auto" w:fill="98BDE2"/>
          </w:tcPr>
          <w:p>
            <w:pPr>
              <w:jc w:val="right"/>
              <w:ind w:right="31"/>
              <w:spacing w:after="0"/>
              <w:rPr>
                <w:sz w:val="20"/>
                <w:szCs w:val="20"/>
                <w:color w:val="auto"/>
              </w:rPr>
            </w:pPr>
            <w:r>
              <w:rPr>
                <w:rFonts w:ascii="Arial" w:cs="Arial" w:eastAsia="Arial" w:hAnsi="Arial"/>
                <w:sz w:val="13"/>
                <w:szCs w:val="13"/>
                <w:b w:val="1"/>
                <w:bCs w:val="1"/>
                <w:color w:val="032E5C"/>
              </w:rPr>
              <w:t>Robert A. Katz</w:t>
            </w:r>
          </w:p>
        </w:tc>
        <w:tc>
          <w:tcPr>
            <w:tcW w:w="1240" w:type="dxa"/>
            <w:vAlign w:val="bottom"/>
            <w:vMerge w:val="restart"/>
            <w:shd w:val="clear" w:color="auto" w:fill="98BDE2"/>
          </w:tcPr>
          <w:p>
            <w:pPr>
              <w:jc w:val="right"/>
              <w:ind w:right="51"/>
              <w:spacing w:after="0"/>
              <w:rPr>
                <w:sz w:val="20"/>
                <w:szCs w:val="20"/>
                <w:color w:val="auto"/>
              </w:rPr>
            </w:pPr>
            <w:r>
              <w:rPr>
                <w:rFonts w:ascii="Arial" w:cs="Arial" w:eastAsia="Arial" w:hAnsi="Arial"/>
                <w:sz w:val="13"/>
                <w:szCs w:val="13"/>
                <w:b w:val="1"/>
                <w:bCs w:val="1"/>
                <w:color w:val="032E5C"/>
              </w:rPr>
              <w:t>Kirsten A. Lynch</w:t>
            </w:r>
          </w:p>
        </w:tc>
        <w:tc>
          <w:tcPr>
            <w:tcW w:w="1200" w:type="dxa"/>
            <w:vAlign w:val="bottom"/>
            <w:vMerge w:val="restart"/>
            <w:shd w:val="clear" w:color="auto" w:fill="98BDE2"/>
          </w:tcPr>
          <w:p>
            <w:pPr>
              <w:jc w:val="right"/>
              <w:ind w:right="34"/>
              <w:spacing w:after="0"/>
              <w:rPr>
                <w:sz w:val="20"/>
                <w:szCs w:val="20"/>
                <w:color w:val="auto"/>
              </w:rPr>
            </w:pPr>
            <w:r>
              <w:rPr>
                <w:rFonts w:ascii="Arial" w:cs="Arial" w:eastAsia="Arial" w:hAnsi="Arial"/>
                <w:sz w:val="13"/>
                <w:szCs w:val="13"/>
                <w:b w:val="1"/>
                <w:bCs w:val="1"/>
                <w:color w:val="032E5C"/>
              </w:rPr>
              <w:t>Robert A. Katz</w:t>
            </w:r>
          </w:p>
        </w:tc>
        <w:tc>
          <w:tcPr>
            <w:tcW w:w="120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Kirsten A. Lynch</w:t>
            </w:r>
          </w:p>
        </w:tc>
        <w:tc>
          <w:tcPr>
            <w:tcW w:w="1340" w:type="dxa"/>
            <w:vAlign w:val="bottom"/>
            <w:vMerge w:val="restart"/>
            <w:shd w:val="clear" w:color="auto" w:fill="98BDE2"/>
          </w:tcPr>
          <w:p>
            <w:pPr>
              <w:jc w:val="right"/>
              <w:ind w:right="71"/>
              <w:spacing w:after="0"/>
              <w:rPr>
                <w:sz w:val="20"/>
                <w:szCs w:val="20"/>
                <w:color w:val="auto"/>
              </w:rPr>
            </w:pPr>
            <w:r>
              <w:rPr>
                <w:rFonts w:ascii="Arial" w:cs="Arial" w:eastAsia="Arial" w:hAnsi="Arial"/>
                <w:sz w:val="13"/>
                <w:szCs w:val="13"/>
                <w:b w:val="1"/>
                <w:bCs w:val="1"/>
                <w:color w:val="032E5C"/>
              </w:rPr>
              <w:t>PEO NEOs</w:t>
            </w:r>
          </w:p>
        </w:tc>
        <w:tc>
          <w:tcPr>
            <w:tcW w:w="112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Non-PEO NEOs</w:t>
            </w:r>
          </w:p>
        </w:tc>
        <w:tc>
          <w:tcPr>
            <w:tcW w:w="820" w:type="dxa"/>
            <w:vAlign w:val="bottom"/>
            <w:vMerge w:val="restart"/>
            <w:shd w:val="clear" w:color="auto" w:fill="98BDE2"/>
          </w:tcPr>
          <w:p>
            <w:pPr>
              <w:jc w:val="right"/>
              <w:ind w:right="51"/>
              <w:spacing w:after="0"/>
              <w:rPr>
                <w:sz w:val="20"/>
                <w:szCs w:val="20"/>
                <w:color w:val="auto"/>
              </w:rPr>
            </w:pPr>
            <w:r>
              <w:rPr>
                <w:rFonts w:ascii="Arial" w:cs="Arial" w:eastAsia="Arial" w:hAnsi="Arial"/>
                <w:sz w:val="13"/>
                <w:szCs w:val="13"/>
                <w:b w:val="1"/>
                <w:bCs w:val="1"/>
                <w:color w:val="032E5C"/>
              </w:rPr>
              <w:t>TSR</w:t>
            </w:r>
          </w:p>
        </w:tc>
        <w:tc>
          <w:tcPr>
            <w:tcW w:w="60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TSR</w:t>
            </w:r>
          </w:p>
        </w:tc>
        <w:tc>
          <w:tcPr>
            <w:tcW w:w="80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 in</w:t>
            </w:r>
          </w:p>
        </w:tc>
        <w:tc>
          <w:tcPr>
            <w:tcW w:w="1000" w:type="dxa"/>
            <w:vAlign w:val="bottom"/>
            <w:vMerge w:val="continue"/>
            <w:shd w:val="clear" w:color="auto" w:fill="98BDE2"/>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0" w:type="dxa"/>
            <w:vAlign w:val="bottom"/>
            <w:shd w:val="clear" w:color="auto" w:fill="98BDE2"/>
          </w:tcPr>
          <w:p>
            <w:pPr>
              <w:spacing w:after="0"/>
              <w:rPr>
                <w:sz w:val="11"/>
                <w:szCs w:val="11"/>
                <w:color w:val="auto"/>
              </w:rPr>
            </w:pPr>
          </w:p>
        </w:tc>
        <w:tc>
          <w:tcPr>
            <w:tcW w:w="620" w:type="dxa"/>
            <w:vAlign w:val="bottom"/>
            <w:vMerge w:val="restart"/>
            <w:shd w:val="clear" w:color="auto" w:fill="98BDE2"/>
          </w:tcPr>
          <w:p>
            <w:pPr>
              <w:jc w:val="center"/>
              <w:ind w:right="31"/>
              <w:spacing w:after="0"/>
              <w:rPr>
                <w:sz w:val="20"/>
                <w:szCs w:val="20"/>
                <w:color w:val="auto"/>
              </w:rPr>
            </w:pPr>
            <w:r>
              <w:rPr>
                <w:rFonts w:ascii="Arial" w:cs="Arial" w:eastAsia="Arial" w:hAnsi="Arial"/>
                <w:sz w:val="13"/>
                <w:szCs w:val="13"/>
                <w:b w:val="1"/>
                <w:bCs w:val="1"/>
                <w:color w:val="032E5C"/>
                <w:w w:val="99"/>
              </w:rPr>
              <w:t>Year</w:t>
            </w:r>
          </w:p>
        </w:tc>
        <w:tc>
          <w:tcPr>
            <w:tcW w:w="1220" w:type="dxa"/>
            <w:vAlign w:val="bottom"/>
            <w:vMerge w:val="continue"/>
            <w:shd w:val="clear" w:color="auto" w:fill="98BDE2"/>
          </w:tcPr>
          <w:p>
            <w:pPr>
              <w:spacing w:after="0"/>
              <w:rPr>
                <w:sz w:val="11"/>
                <w:szCs w:val="11"/>
                <w:color w:val="auto"/>
              </w:rPr>
            </w:pPr>
          </w:p>
        </w:tc>
        <w:tc>
          <w:tcPr>
            <w:tcW w:w="1240" w:type="dxa"/>
            <w:vAlign w:val="bottom"/>
            <w:vMerge w:val="continue"/>
            <w:shd w:val="clear" w:color="auto" w:fill="98BDE2"/>
          </w:tcPr>
          <w:p>
            <w:pPr>
              <w:spacing w:after="0"/>
              <w:rPr>
                <w:sz w:val="11"/>
                <w:szCs w:val="11"/>
                <w:color w:val="auto"/>
              </w:rPr>
            </w:pPr>
          </w:p>
        </w:tc>
        <w:tc>
          <w:tcPr>
            <w:tcW w:w="1200" w:type="dxa"/>
            <w:vAlign w:val="bottom"/>
            <w:vMerge w:val="continue"/>
            <w:shd w:val="clear" w:color="auto" w:fill="98BDE2"/>
          </w:tcPr>
          <w:p>
            <w:pPr>
              <w:spacing w:after="0"/>
              <w:rPr>
                <w:sz w:val="11"/>
                <w:szCs w:val="11"/>
                <w:color w:val="auto"/>
              </w:rPr>
            </w:pPr>
          </w:p>
        </w:tc>
        <w:tc>
          <w:tcPr>
            <w:tcW w:w="1200" w:type="dxa"/>
            <w:vAlign w:val="bottom"/>
            <w:vMerge w:val="continue"/>
            <w:shd w:val="clear" w:color="auto" w:fill="98BDE2"/>
          </w:tcPr>
          <w:p>
            <w:pPr>
              <w:spacing w:after="0"/>
              <w:rPr>
                <w:sz w:val="11"/>
                <w:szCs w:val="11"/>
                <w:color w:val="auto"/>
              </w:rPr>
            </w:pPr>
          </w:p>
        </w:tc>
        <w:tc>
          <w:tcPr>
            <w:tcW w:w="1340" w:type="dxa"/>
            <w:vAlign w:val="bottom"/>
            <w:vMerge w:val="continue"/>
            <w:shd w:val="clear" w:color="auto" w:fill="98BDE2"/>
          </w:tcPr>
          <w:p>
            <w:pPr>
              <w:spacing w:after="0"/>
              <w:rPr>
                <w:sz w:val="11"/>
                <w:szCs w:val="11"/>
                <w:color w:val="auto"/>
              </w:rPr>
            </w:pPr>
          </w:p>
        </w:tc>
        <w:tc>
          <w:tcPr>
            <w:tcW w:w="1120" w:type="dxa"/>
            <w:vAlign w:val="bottom"/>
            <w:vMerge w:val="continue"/>
            <w:shd w:val="clear" w:color="auto" w:fill="98BDE2"/>
          </w:tcPr>
          <w:p>
            <w:pPr>
              <w:spacing w:after="0"/>
              <w:rPr>
                <w:sz w:val="11"/>
                <w:szCs w:val="11"/>
                <w:color w:val="auto"/>
              </w:rPr>
            </w:pPr>
          </w:p>
        </w:tc>
        <w:tc>
          <w:tcPr>
            <w:tcW w:w="820" w:type="dxa"/>
            <w:vAlign w:val="bottom"/>
            <w:vMerge w:val="continue"/>
            <w:shd w:val="clear" w:color="auto" w:fill="98BDE2"/>
          </w:tcPr>
          <w:p>
            <w:pPr>
              <w:spacing w:after="0"/>
              <w:rPr>
                <w:sz w:val="11"/>
                <w:szCs w:val="11"/>
                <w:color w:val="auto"/>
              </w:rPr>
            </w:pPr>
          </w:p>
        </w:tc>
        <w:tc>
          <w:tcPr>
            <w:tcW w:w="600" w:type="dxa"/>
            <w:vAlign w:val="bottom"/>
            <w:vMerge w:val="continue"/>
            <w:shd w:val="clear" w:color="auto" w:fill="98BDE2"/>
          </w:tcPr>
          <w:p>
            <w:pPr>
              <w:spacing w:after="0"/>
              <w:rPr>
                <w:sz w:val="11"/>
                <w:szCs w:val="11"/>
                <w:color w:val="auto"/>
              </w:rPr>
            </w:pPr>
          </w:p>
        </w:tc>
        <w:tc>
          <w:tcPr>
            <w:tcW w:w="800" w:type="dxa"/>
            <w:vAlign w:val="bottom"/>
            <w:vMerge w:val="continue"/>
            <w:shd w:val="clear" w:color="auto" w:fill="98BDE2"/>
          </w:tcPr>
          <w:p>
            <w:pPr>
              <w:spacing w:after="0"/>
              <w:rPr>
                <w:sz w:val="11"/>
                <w:szCs w:val="11"/>
                <w:color w:val="auto"/>
              </w:rPr>
            </w:pPr>
          </w:p>
        </w:tc>
        <w:tc>
          <w:tcPr>
            <w:tcW w:w="1000" w:type="dxa"/>
            <w:vAlign w:val="bottom"/>
            <w:shd w:val="clear" w:color="auto" w:fill="98BDE2"/>
          </w:tcPr>
          <w:p>
            <w:pPr>
              <w:jc w:val="right"/>
              <w:ind w:right="54"/>
              <w:spacing w:after="0" w:line="130" w:lineRule="exact"/>
              <w:rPr>
                <w:sz w:val="20"/>
                <w:szCs w:val="20"/>
                <w:color w:val="auto"/>
              </w:rPr>
            </w:pPr>
            <w:r>
              <w:rPr>
                <w:rFonts w:ascii="Arial" w:cs="Arial" w:eastAsia="Arial" w:hAnsi="Arial"/>
                <w:sz w:val="13"/>
                <w:szCs w:val="13"/>
                <w:b w:val="1"/>
                <w:bCs w:val="1"/>
                <w:color w:val="032E5C"/>
              </w:rPr>
              <w:t>($ in millions)</w:t>
            </w:r>
          </w:p>
        </w:tc>
        <w:tc>
          <w:tcPr>
            <w:tcW w:w="0" w:type="dxa"/>
            <w:vAlign w:val="bottom"/>
          </w:tcPr>
          <w:p>
            <w:pPr>
              <w:spacing w:after="0"/>
              <w:rPr>
                <w:sz w:val="1"/>
                <w:szCs w:val="1"/>
                <w:color w:val="auto"/>
              </w:rPr>
            </w:pPr>
          </w:p>
        </w:tc>
      </w:tr>
      <w:tr>
        <w:trPr>
          <w:trHeight w:val="209"/>
        </w:trPr>
        <w:tc>
          <w:tcPr>
            <w:tcW w:w="80" w:type="dxa"/>
            <w:vAlign w:val="bottom"/>
            <w:tcBorders>
              <w:bottom w:val="single" w:sz="8" w:color="98BDE2"/>
            </w:tcBorders>
            <w:shd w:val="clear" w:color="auto" w:fill="98BDE2"/>
          </w:tcPr>
          <w:p>
            <w:pPr>
              <w:spacing w:after="0"/>
              <w:rPr>
                <w:sz w:val="18"/>
                <w:szCs w:val="18"/>
                <w:color w:val="auto"/>
              </w:rPr>
            </w:pPr>
          </w:p>
        </w:tc>
        <w:tc>
          <w:tcPr>
            <w:tcW w:w="620" w:type="dxa"/>
            <w:vAlign w:val="bottom"/>
            <w:tcBorders>
              <w:bottom w:val="single" w:sz="8" w:color="98BDE2"/>
            </w:tcBorders>
            <w:vMerge w:val="continue"/>
            <w:shd w:val="clear" w:color="auto" w:fill="98BDE2"/>
          </w:tcPr>
          <w:p>
            <w:pPr>
              <w:spacing w:after="0"/>
              <w:rPr>
                <w:sz w:val="18"/>
                <w:szCs w:val="18"/>
                <w:color w:val="auto"/>
              </w:rPr>
            </w:pPr>
          </w:p>
        </w:tc>
        <w:tc>
          <w:tcPr>
            <w:tcW w:w="1220" w:type="dxa"/>
            <w:vAlign w:val="bottom"/>
            <w:tcBorders>
              <w:bottom w:val="single" w:sz="8" w:color="98BDE2"/>
            </w:tcBorders>
            <w:shd w:val="clear" w:color="auto" w:fill="98BDE2"/>
          </w:tcPr>
          <w:p>
            <w:pPr>
              <w:jc w:val="right"/>
              <w:ind w:right="31"/>
              <w:spacing w:after="0" w:line="175" w:lineRule="exact"/>
              <w:rPr>
                <w:sz w:val="20"/>
                <w:szCs w:val="20"/>
                <w:color w:val="auto"/>
              </w:rPr>
            </w:pPr>
            <w:r>
              <w:rPr>
                <w:rFonts w:ascii="Arial" w:cs="Arial" w:eastAsia="Arial" w:hAnsi="Arial"/>
                <w:sz w:val="13"/>
                <w:szCs w:val="13"/>
                <w:b w:val="1"/>
                <w:bCs w:val="1"/>
                <w:color w:val="032E5C"/>
              </w:rPr>
              <w:t>($)</w:t>
            </w:r>
            <w:r>
              <w:rPr>
                <w:rFonts w:ascii="Arial" w:cs="Arial" w:eastAsia="Arial" w:hAnsi="Arial"/>
                <w:sz w:val="16"/>
                <w:szCs w:val="16"/>
                <w:b w:val="1"/>
                <w:bCs w:val="1"/>
                <w:color w:val="032E5C"/>
                <w:vertAlign w:val="superscript"/>
              </w:rPr>
              <w:t>(1)</w:t>
            </w:r>
          </w:p>
        </w:tc>
        <w:tc>
          <w:tcPr>
            <w:tcW w:w="1240" w:type="dxa"/>
            <w:vAlign w:val="bottom"/>
            <w:tcBorders>
              <w:bottom w:val="single" w:sz="8" w:color="98BDE2"/>
            </w:tcBorders>
            <w:shd w:val="clear" w:color="auto" w:fill="98BDE2"/>
          </w:tcPr>
          <w:p>
            <w:pPr>
              <w:jc w:val="right"/>
              <w:ind w:right="51"/>
              <w:spacing w:after="0" w:line="175" w:lineRule="exact"/>
              <w:rPr>
                <w:sz w:val="20"/>
                <w:szCs w:val="20"/>
                <w:color w:val="auto"/>
              </w:rPr>
            </w:pPr>
            <w:r>
              <w:rPr>
                <w:rFonts w:ascii="Arial" w:cs="Arial" w:eastAsia="Arial" w:hAnsi="Arial"/>
                <w:sz w:val="13"/>
                <w:szCs w:val="13"/>
                <w:b w:val="1"/>
                <w:bCs w:val="1"/>
                <w:color w:val="032E5C"/>
              </w:rPr>
              <w:t>($)</w:t>
            </w:r>
            <w:r>
              <w:rPr>
                <w:rFonts w:ascii="Arial" w:cs="Arial" w:eastAsia="Arial" w:hAnsi="Arial"/>
                <w:sz w:val="16"/>
                <w:szCs w:val="16"/>
                <w:b w:val="1"/>
                <w:bCs w:val="1"/>
                <w:color w:val="032E5C"/>
                <w:vertAlign w:val="superscript"/>
              </w:rPr>
              <w:t>(1)</w:t>
            </w:r>
          </w:p>
        </w:tc>
        <w:tc>
          <w:tcPr>
            <w:tcW w:w="1200" w:type="dxa"/>
            <w:vAlign w:val="bottom"/>
            <w:tcBorders>
              <w:bottom w:val="single" w:sz="8" w:color="98BDE2"/>
            </w:tcBorders>
            <w:shd w:val="clear" w:color="auto" w:fill="98BDE2"/>
          </w:tcPr>
          <w:p>
            <w:pPr>
              <w:jc w:val="right"/>
              <w:ind w:right="34"/>
              <w:spacing w:after="0" w:line="176" w:lineRule="exact"/>
              <w:rPr>
                <w:sz w:val="20"/>
                <w:szCs w:val="20"/>
                <w:color w:val="auto"/>
              </w:rPr>
            </w:pPr>
            <w:r>
              <w:rPr>
                <w:rFonts w:ascii="Arial" w:cs="Arial" w:eastAsia="Arial" w:hAnsi="Arial"/>
                <w:sz w:val="20"/>
                <w:szCs w:val="20"/>
                <w:b w:val="1"/>
                <w:bCs w:val="1"/>
                <w:color w:val="032E5C"/>
                <w:vertAlign w:val="subscript"/>
              </w:rPr>
              <w:t>($)</w:t>
            </w:r>
            <w:r>
              <w:rPr>
                <w:rFonts w:ascii="Arial" w:cs="Arial" w:eastAsia="Arial" w:hAnsi="Arial"/>
                <w:sz w:val="7"/>
                <w:szCs w:val="7"/>
                <w:b w:val="1"/>
                <w:bCs w:val="1"/>
                <w:color w:val="032E5C"/>
              </w:rPr>
              <w:t>(1),(2),(3)</w:t>
            </w:r>
          </w:p>
        </w:tc>
        <w:tc>
          <w:tcPr>
            <w:tcW w:w="1200" w:type="dxa"/>
            <w:vAlign w:val="bottom"/>
            <w:tcBorders>
              <w:bottom w:val="single" w:sz="8" w:color="98BDE2"/>
            </w:tcBorders>
            <w:shd w:val="clear" w:color="auto" w:fill="98BDE2"/>
          </w:tcPr>
          <w:p>
            <w:pPr>
              <w:jc w:val="right"/>
              <w:spacing w:after="0" w:line="176" w:lineRule="exact"/>
              <w:rPr>
                <w:sz w:val="20"/>
                <w:szCs w:val="20"/>
                <w:color w:val="auto"/>
              </w:rPr>
            </w:pPr>
            <w:r>
              <w:rPr>
                <w:rFonts w:ascii="Arial" w:cs="Arial" w:eastAsia="Arial" w:hAnsi="Arial"/>
                <w:sz w:val="20"/>
                <w:szCs w:val="20"/>
                <w:b w:val="1"/>
                <w:bCs w:val="1"/>
                <w:color w:val="032E5C"/>
                <w:vertAlign w:val="subscript"/>
              </w:rPr>
              <w:t>($)</w:t>
            </w:r>
            <w:r>
              <w:rPr>
                <w:rFonts w:ascii="Arial" w:cs="Arial" w:eastAsia="Arial" w:hAnsi="Arial"/>
                <w:sz w:val="7"/>
                <w:szCs w:val="7"/>
                <w:b w:val="1"/>
                <w:bCs w:val="1"/>
                <w:color w:val="032E5C"/>
              </w:rPr>
              <w:t>(1),(2),(3)</w:t>
            </w:r>
          </w:p>
        </w:tc>
        <w:tc>
          <w:tcPr>
            <w:tcW w:w="1340" w:type="dxa"/>
            <w:vAlign w:val="bottom"/>
            <w:tcBorders>
              <w:bottom w:val="single" w:sz="8" w:color="98BDE2"/>
            </w:tcBorders>
            <w:shd w:val="clear" w:color="auto" w:fill="98BDE2"/>
          </w:tcPr>
          <w:p>
            <w:pPr>
              <w:jc w:val="right"/>
              <w:ind w:right="71"/>
              <w:spacing w:after="0" w:line="175" w:lineRule="exact"/>
              <w:rPr>
                <w:sz w:val="20"/>
                <w:szCs w:val="20"/>
                <w:color w:val="auto"/>
              </w:rPr>
            </w:pPr>
            <w:r>
              <w:rPr>
                <w:rFonts w:ascii="Arial" w:cs="Arial" w:eastAsia="Arial" w:hAnsi="Arial"/>
                <w:sz w:val="13"/>
                <w:szCs w:val="13"/>
                <w:b w:val="1"/>
                <w:bCs w:val="1"/>
                <w:color w:val="032E5C"/>
              </w:rPr>
              <w:t>($)</w:t>
            </w:r>
            <w:r>
              <w:rPr>
                <w:rFonts w:ascii="Arial" w:cs="Arial" w:eastAsia="Arial" w:hAnsi="Arial"/>
                <w:sz w:val="16"/>
                <w:szCs w:val="16"/>
                <w:b w:val="1"/>
                <w:bCs w:val="1"/>
                <w:color w:val="032E5C"/>
                <w:vertAlign w:val="superscript"/>
              </w:rPr>
              <w:t>(1)</w:t>
            </w:r>
          </w:p>
        </w:tc>
        <w:tc>
          <w:tcPr>
            <w:tcW w:w="1120" w:type="dxa"/>
            <w:vAlign w:val="bottom"/>
            <w:tcBorders>
              <w:bottom w:val="single" w:sz="8" w:color="98BDE2"/>
            </w:tcBorders>
            <w:shd w:val="clear" w:color="auto" w:fill="98BDE2"/>
          </w:tcPr>
          <w:p>
            <w:pPr>
              <w:jc w:val="right"/>
              <w:spacing w:after="0" w:line="176" w:lineRule="exact"/>
              <w:rPr>
                <w:sz w:val="20"/>
                <w:szCs w:val="20"/>
                <w:color w:val="auto"/>
              </w:rPr>
            </w:pPr>
            <w:r>
              <w:rPr>
                <w:rFonts w:ascii="Arial" w:cs="Arial" w:eastAsia="Arial" w:hAnsi="Arial"/>
                <w:sz w:val="20"/>
                <w:szCs w:val="20"/>
                <w:b w:val="1"/>
                <w:bCs w:val="1"/>
                <w:color w:val="032E5C"/>
                <w:vertAlign w:val="subscript"/>
              </w:rPr>
              <w:t>($)</w:t>
            </w:r>
            <w:r>
              <w:rPr>
                <w:rFonts w:ascii="Arial" w:cs="Arial" w:eastAsia="Arial" w:hAnsi="Arial"/>
                <w:sz w:val="7"/>
                <w:szCs w:val="7"/>
                <w:b w:val="1"/>
                <w:bCs w:val="1"/>
                <w:color w:val="032E5C"/>
              </w:rPr>
              <w:t>(1),(2),(3)</w:t>
            </w:r>
          </w:p>
        </w:tc>
        <w:tc>
          <w:tcPr>
            <w:tcW w:w="820" w:type="dxa"/>
            <w:vAlign w:val="bottom"/>
            <w:tcBorders>
              <w:bottom w:val="single" w:sz="8" w:color="98BDE2"/>
            </w:tcBorders>
            <w:shd w:val="clear" w:color="auto" w:fill="98BDE2"/>
          </w:tcPr>
          <w:p>
            <w:pPr>
              <w:jc w:val="right"/>
              <w:ind w:right="51"/>
              <w:spacing w:after="0"/>
              <w:rPr>
                <w:sz w:val="20"/>
                <w:szCs w:val="20"/>
                <w:color w:val="auto"/>
              </w:rPr>
            </w:pPr>
            <w:r>
              <w:rPr>
                <w:rFonts w:ascii="Arial" w:cs="Arial" w:eastAsia="Arial" w:hAnsi="Arial"/>
                <w:sz w:val="13"/>
                <w:szCs w:val="13"/>
                <w:b w:val="1"/>
                <w:bCs w:val="1"/>
                <w:color w:val="032E5C"/>
              </w:rPr>
              <w:t>($)</w:t>
            </w:r>
          </w:p>
        </w:tc>
        <w:tc>
          <w:tcPr>
            <w:tcW w:w="60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3"/>
                <w:szCs w:val="13"/>
                <w:b w:val="1"/>
                <w:bCs w:val="1"/>
                <w:color w:val="032E5C"/>
              </w:rPr>
              <w:t>($)</w:t>
            </w:r>
          </w:p>
        </w:tc>
        <w:tc>
          <w:tcPr>
            <w:tcW w:w="80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3"/>
                <w:szCs w:val="13"/>
                <w:b w:val="1"/>
                <w:bCs w:val="1"/>
                <w:color w:val="032E5C"/>
              </w:rPr>
              <w:t>millions)</w:t>
            </w:r>
          </w:p>
        </w:tc>
        <w:tc>
          <w:tcPr>
            <w:tcW w:w="1000" w:type="dxa"/>
            <w:vAlign w:val="bottom"/>
            <w:tcBorders>
              <w:bottom w:val="single" w:sz="8" w:color="98BDE2"/>
            </w:tcBorders>
            <w:shd w:val="clear" w:color="auto" w:fill="98BDE2"/>
          </w:tcPr>
          <w:p>
            <w:pPr>
              <w:jc w:val="right"/>
              <w:ind w:right="54"/>
              <w:spacing w:after="0"/>
              <w:rPr>
                <w:sz w:val="20"/>
                <w:szCs w:val="20"/>
                <w:color w:val="auto"/>
              </w:rPr>
            </w:pPr>
            <w:r>
              <w:rPr>
                <w:rFonts w:ascii="Arial" w:cs="Arial" w:eastAsia="Arial" w:hAnsi="Arial"/>
                <w:sz w:val="8"/>
                <w:szCs w:val="8"/>
                <w:b w:val="1"/>
                <w:bCs w:val="1"/>
                <w:color w:val="032E5C"/>
              </w:rPr>
              <w:t>(5)</w:t>
            </w:r>
          </w:p>
        </w:tc>
        <w:tc>
          <w:tcPr>
            <w:tcW w:w="0" w:type="dxa"/>
            <w:vAlign w:val="bottom"/>
          </w:tcPr>
          <w:p>
            <w:pPr>
              <w:spacing w:after="0"/>
              <w:rPr>
                <w:sz w:val="1"/>
                <w:szCs w:val="1"/>
                <w:color w:val="auto"/>
              </w:rPr>
            </w:pPr>
          </w:p>
        </w:tc>
      </w:tr>
      <w:tr>
        <w:trPr>
          <w:trHeight w:val="223"/>
        </w:trPr>
        <w:tc>
          <w:tcPr>
            <w:tcW w:w="80" w:type="dxa"/>
            <w:vAlign w:val="bottom"/>
            <w:tcBorders>
              <w:bottom w:val="single" w:sz="8" w:color="3E5C7C"/>
            </w:tcBorders>
          </w:tcPr>
          <w:p>
            <w:pPr>
              <w:spacing w:after="0"/>
              <w:rPr>
                <w:sz w:val="19"/>
                <w:szCs w:val="19"/>
                <w:color w:val="auto"/>
              </w:rPr>
            </w:pPr>
          </w:p>
        </w:tc>
        <w:tc>
          <w:tcPr>
            <w:tcW w:w="620" w:type="dxa"/>
            <w:vAlign w:val="bottom"/>
            <w:tcBorders>
              <w:bottom w:val="single" w:sz="8" w:color="3E5C7C"/>
            </w:tcBorders>
          </w:tcPr>
          <w:p>
            <w:pPr>
              <w:jc w:val="center"/>
              <w:ind w:right="11"/>
              <w:spacing w:after="0"/>
              <w:rPr>
                <w:sz w:val="20"/>
                <w:szCs w:val="20"/>
                <w:color w:val="auto"/>
              </w:rPr>
            </w:pPr>
            <w:r>
              <w:rPr>
                <w:rFonts w:ascii="Arial" w:cs="Arial" w:eastAsia="Arial" w:hAnsi="Arial"/>
                <w:sz w:val="14"/>
                <w:szCs w:val="14"/>
                <w:b w:val="1"/>
                <w:bCs w:val="1"/>
                <w:color w:val="032E5C"/>
              </w:rPr>
              <w:t>(a)</w:t>
            </w:r>
          </w:p>
        </w:tc>
        <w:tc>
          <w:tcPr>
            <w:tcW w:w="1220" w:type="dxa"/>
            <w:vAlign w:val="bottom"/>
            <w:tcBorders>
              <w:bottom w:val="single" w:sz="8" w:color="3E5C7C"/>
            </w:tcBorders>
          </w:tcPr>
          <w:p>
            <w:pPr>
              <w:jc w:val="right"/>
              <w:ind w:right="31"/>
              <w:spacing w:after="0"/>
              <w:rPr>
                <w:sz w:val="20"/>
                <w:szCs w:val="20"/>
                <w:color w:val="auto"/>
              </w:rPr>
            </w:pPr>
            <w:r>
              <w:rPr>
                <w:rFonts w:ascii="Arial" w:cs="Arial" w:eastAsia="Arial" w:hAnsi="Arial"/>
                <w:sz w:val="14"/>
                <w:szCs w:val="14"/>
                <w:b w:val="1"/>
                <w:bCs w:val="1"/>
                <w:color w:val="032E5C"/>
              </w:rPr>
              <w:t>(b)</w:t>
            </w:r>
          </w:p>
        </w:tc>
        <w:tc>
          <w:tcPr>
            <w:tcW w:w="1240" w:type="dxa"/>
            <w:vAlign w:val="bottom"/>
            <w:tcBorders>
              <w:bottom w:val="single" w:sz="8" w:color="3E5C7C"/>
            </w:tcBorders>
          </w:tcPr>
          <w:p>
            <w:pPr>
              <w:jc w:val="right"/>
              <w:ind w:right="51"/>
              <w:spacing w:after="0"/>
              <w:rPr>
                <w:sz w:val="20"/>
                <w:szCs w:val="20"/>
                <w:color w:val="auto"/>
              </w:rPr>
            </w:pPr>
            <w:r>
              <w:rPr>
                <w:rFonts w:ascii="Arial" w:cs="Arial" w:eastAsia="Arial" w:hAnsi="Arial"/>
                <w:sz w:val="14"/>
                <w:szCs w:val="14"/>
                <w:b w:val="1"/>
                <w:bCs w:val="1"/>
                <w:color w:val="032E5C"/>
              </w:rPr>
              <w:t>(c)</w:t>
            </w:r>
          </w:p>
        </w:tc>
        <w:tc>
          <w:tcPr>
            <w:tcW w:w="1200" w:type="dxa"/>
            <w:vAlign w:val="bottom"/>
            <w:tcBorders>
              <w:bottom w:val="single" w:sz="8" w:color="3E5C7C"/>
            </w:tcBorders>
          </w:tcPr>
          <w:p>
            <w:pPr>
              <w:jc w:val="right"/>
              <w:ind w:right="34"/>
              <w:spacing w:after="0"/>
              <w:rPr>
                <w:sz w:val="20"/>
                <w:szCs w:val="20"/>
                <w:color w:val="auto"/>
              </w:rPr>
            </w:pPr>
            <w:r>
              <w:rPr>
                <w:rFonts w:ascii="Arial" w:cs="Arial" w:eastAsia="Arial" w:hAnsi="Arial"/>
                <w:sz w:val="14"/>
                <w:szCs w:val="14"/>
                <w:b w:val="1"/>
                <w:bCs w:val="1"/>
                <w:color w:val="032E5C"/>
              </w:rPr>
              <w:t>(d)</w:t>
            </w:r>
          </w:p>
        </w:tc>
        <w:tc>
          <w:tcPr>
            <w:tcW w:w="120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(e)</w:t>
            </w:r>
          </w:p>
        </w:tc>
        <w:tc>
          <w:tcPr>
            <w:tcW w:w="1340" w:type="dxa"/>
            <w:vAlign w:val="bottom"/>
            <w:tcBorders>
              <w:bottom w:val="single" w:sz="8" w:color="3E5C7C"/>
            </w:tcBorders>
          </w:tcPr>
          <w:p>
            <w:pPr>
              <w:jc w:val="right"/>
              <w:ind w:right="71"/>
              <w:spacing w:after="0"/>
              <w:rPr>
                <w:sz w:val="20"/>
                <w:szCs w:val="20"/>
                <w:color w:val="auto"/>
              </w:rPr>
            </w:pPr>
            <w:r>
              <w:rPr>
                <w:rFonts w:ascii="Arial" w:cs="Arial" w:eastAsia="Arial" w:hAnsi="Arial"/>
                <w:sz w:val="14"/>
                <w:szCs w:val="14"/>
                <w:b w:val="1"/>
                <w:bCs w:val="1"/>
                <w:color w:val="032E5C"/>
              </w:rPr>
              <w:t>(f)</w:t>
            </w:r>
          </w:p>
        </w:tc>
        <w:tc>
          <w:tcPr>
            <w:tcW w:w="112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(g)</w:t>
            </w:r>
          </w:p>
        </w:tc>
        <w:tc>
          <w:tcPr>
            <w:tcW w:w="820" w:type="dxa"/>
            <w:vAlign w:val="bottom"/>
            <w:tcBorders>
              <w:bottom w:val="single" w:sz="8" w:color="3E5C7C"/>
            </w:tcBorders>
          </w:tcPr>
          <w:p>
            <w:pPr>
              <w:jc w:val="right"/>
              <w:ind w:right="51"/>
              <w:spacing w:after="0"/>
              <w:rPr>
                <w:sz w:val="20"/>
                <w:szCs w:val="20"/>
                <w:color w:val="auto"/>
              </w:rPr>
            </w:pPr>
            <w:r>
              <w:rPr>
                <w:rFonts w:ascii="Arial" w:cs="Arial" w:eastAsia="Arial" w:hAnsi="Arial"/>
                <w:sz w:val="14"/>
                <w:szCs w:val="14"/>
                <w:b w:val="1"/>
                <w:bCs w:val="1"/>
                <w:color w:val="032E5C"/>
              </w:rPr>
              <w:t>(h)</w:t>
            </w:r>
          </w:p>
        </w:tc>
        <w:tc>
          <w:tcPr>
            <w:tcW w:w="60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(i)</w:t>
            </w:r>
          </w:p>
        </w:tc>
        <w:tc>
          <w:tcPr>
            <w:tcW w:w="80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(j)</w:t>
            </w:r>
          </w:p>
        </w:tc>
        <w:tc>
          <w:tcPr>
            <w:tcW w:w="1000" w:type="dxa"/>
            <w:vAlign w:val="bottom"/>
            <w:tcBorders>
              <w:bottom w:val="single" w:sz="8" w:color="3E5C7C"/>
            </w:tcBorders>
          </w:tcPr>
          <w:p>
            <w:pPr>
              <w:jc w:val="right"/>
              <w:ind w:right="54"/>
              <w:spacing w:after="0"/>
              <w:rPr>
                <w:sz w:val="20"/>
                <w:szCs w:val="20"/>
                <w:color w:val="auto"/>
              </w:rPr>
            </w:pPr>
            <w:r>
              <w:rPr>
                <w:rFonts w:ascii="Arial" w:cs="Arial" w:eastAsia="Arial" w:hAnsi="Arial"/>
                <w:sz w:val="14"/>
                <w:szCs w:val="14"/>
                <w:b w:val="1"/>
                <w:bCs w:val="1"/>
                <w:color w:val="032E5C"/>
              </w:rPr>
              <w:t>(k)</w:t>
            </w:r>
          </w:p>
        </w:tc>
        <w:tc>
          <w:tcPr>
            <w:tcW w:w="0" w:type="dxa"/>
            <w:vAlign w:val="bottom"/>
          </w:tcPr>
          <w:p>
            <w:pPr>
              <w:spacing w:after="0"/>
              <w:rPr>
                <w:sz w:val="1"/>
                <w:szCs w:val="1"/>
                <w:color w:val="auto"/>
              </w:rPr>
            </w:pPr>
          </w:p>
        </w:tc>
      </w:tr>
      <w:tr>
        <w:trPr>
          <w:trHeight w:val="208"/>
        </w:trPr>
        <w:tc>
          <w:tcPr>
            <w:tcW w:w="700" w:type="dxa"/>
            <w:vAlign w:val="bottom"/>
            <w:gridSpan w:val="2"/>
          </w:tcPr>
          <w:p>
            <w:pPr>
              <w:jc w:val="center"/>
              <w:spacing w:after="0"/>
              <w:rPr>
                <w:sz w:val="20"/>
                <w:szCs w:val="20"/>
                <w:color w:val="auto"/>
              </w:rPr>
            </w:pPr>
            <w:r>
              <w:rPr>
                <w:rFonts w:ascii="Arial" w:cs="Arial" w:eastAsia="Arial" w:hAnsi="Arial"/>
                <w:sz w:val="14"/>
                <w:szCs w:val="14"/>
                <w:color w:val="032E5C"/>
              </w:rPr>
              <w:t>2024</w:t>
            </w:r>
          </w:p>
        </w:tc>
        <w:tc>
          <w:tcPr>
            <w:tcW w:w="1220" w:type="dxa"/>
            <w:vAlign w:val="bottom"/>
          </w:tcPr>
          <w:p>
            <w:pPr>
              <w:jc w:val="right"/>
              <w:ind w:right="91"/>
              <w:spacing w:after="0"/>
              <w:rPr>
                <w:sz w:val="20"/>
                <w:szCs w:val="20"/>
                <w:color w:val="auto"/>
              </w:rPr>
            </w:pPr>
            <w:r>
              <w:rPr>
                <w:rFonts w:ascii="Arial" w:cs="Arial" w:eastAsia="Arial" w:hAnsi="Arial"/>
                <w:sz w:val="14"/>
                <w:szCs w:val="14"/>
                <w:color w:val="032E5C"/>
              </w:rPr>
              <w:t>—</w:t>
            </w:r>
          </w:p>
        </w:tc>
        <w:tc>
          <w:tcPr>
            <w:tcW w:w="1240" w:type="dxa"/>
            <w:vAlign w:val="bottom"/>
          </w:tcPr>
          <w:p>
            <w:pPr>
              <w:jc w:val="right"/>
              <w:ind w:right="91"/>
              <w:spacing w:after="0"/>
              <w:rPr>
                <w:sz w:val="20"/>
                <w:szCs w:val="20"/>
                <w:color w:val="auto"/>
              </w:rPr>
            </w:pPr>
            <w:r>
              <w:rPr>
                <w:rFonts w:ascii="Arial" w:cs="Arial" w:eastAsia="Arial" w:hAnsi="Arial"/>
                <w:sz w:val="14"/>
                <w:szCs w:val="14"/>
                <w:color w:val="032E5C"/>
              </w:rPr>
              <w:t>6,288,586</w:t>
            </w:r>
          </w:p>
        </w:tc>
        <w:tc>
          <w:tcPr>
            <w:tcW w:w="1200" w:type="dxa"/>
            <w:vAlign w:val="bottom"/>
          </w:tcPr>
          <w:p>
            <w:pPr>
              <w:jc w:val="right"/>
              <w:ind w:right="74"/>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54"/>
              <w:spacing w:after="0"/>
              <w:rPr>
                <w:sz w:val="20"/>
                <w:szCs w:val="20"/>
                <w:color w:val="auto"/>
              </w:rPr>
            </w:pPr>
            <w:r>
              <w:rPr>
                <w:rFonts w:ascii="Arial" w:cs="Arial" w:eastAsia="Arial" w:hAnsi="Arial"/>
                <w:sz w:val="14"/>
                <w:szCs w:val="14"/>
                <w:color w:val="032E5C"/>
              </w:rPr>
              <w:t>1,736,532</w:t>
            </w:r>
          </w:p>
        </w:tc>
        <w:tc>
          <w:tcPr>
            <w:tcW w:w="1340" w:type="dxa"/>
            <w:vAlign w:val="bottom"/>
          </w:tcPr>
          <w:p>
            <w:pPr>
              <w:jc w:val="right"/>
              <w:ind w:right="111"/>
              <w:spacing w:after="0"/>
              <w:rPr>
                <w:sz w:val="20"/>
                <w:szCs w:val="20"/>
                <w:color w:val="auto"/>
              </w:rPr>
            </w:pPr>
            <w:r>
              <w:rPr>
                <w:rFonts w:ascii="Arial" w:cs="Arial" w:eastAsia="Arial" w:hAnsi="Arial"/>
                <w:sz w:val="14"/>
                <w:szCs w:val="14"/>
                <w:color w:val="032E5C"/>
              </w:rPr>
              <w:t>1,835,292</w:t>
            </w:r>
          </w:p>
        </w:tc>
        <w:tc>
          <w:tcPr>
            <w:tcW w:w="1120" w:type="dxa"/>
            <w:vAlign w:val="bottom"/>
          </w:tcPr>
          <w:p>
            <w:pPr>
              <w:jc w:val="right"/>
              <w:spacing w:after="0"/>
              <w:rPr>
                <w:sz w:val="20"/>
                <w:szCs w:val="20"/>
                <w:color w:val="auto"/>
              </w:rPr>
            </w:pPr>
            <w:r>
              <w:rPr>
                <w:rFonts w:ascii="Arial" w:cs="Arial" w:eastAsia="Arial" w:hAnsi="Arial"/>
                <w:sz w:val="14"/>
                <w:szCs w:val="14"/>
                <w:color w:val="032E5C"/>
              </w:rPr>
              <w:t>516,440</w:t>
            </w:r>
          </w:p>
        </w:tc>
        <w:tc>
          <w:tcPr>
            <w:tcW w:w="820" w:type="dxa"/>
            <w:vAlign w:val="bottom"/>
          </w:tcPr>
          <w:p>
            <w:pPr>
              <w:jc w:val="right"/>
              <w:ind w:right="51"/>
              <w:spacing w:after="0"/>
              <w:rPr>
                <w:sz w:val="20"/>
                <w:szCs w:val="20"/>
                <w:color w:val="auto"/>
              </w:rPr>
            </w:pPr>
            <w:r>
              <w:rPr>
                <w:rFonts w:ascii="Arial" w:cs="Arial" w:eastAsia="Arial" w:hAnsi="Arial"/>
                <w:sz w:val="14"/>
                <w:szCs w:val="14"/>
                <w:color w:val="032E5C"/>
              </w:rPr>
              <w:t>104.32</w:t>
            </w:r>
          </w:p>
        </w:tc>
        <w:tc>
          <w:tcPr>
            <w:tcW w:w="600" w:type="dxa"/>
            <w:vAlign w:val="bottom"/>
          </w:tcPr>
          <w:p>
            <w:pPr>
              <w:jc w:val="right"/>
              <w:spacing w:after="0"/>
              <w:rPr>
                <w:sz w:val="20"/>
                <w:szCs w:val="20"/>
                <w:color w:val="auto"/>
              </w:rPr>
            </w:pPr>
            <w:r>
              <w:rPr>
                <w:rFonts w:ascii="Arial" w:cs="Arial" w:eastAsia="Arial" w:hAnsi="Arial"/>
                <w:sz w:val="14"/>
                <w:szCs w:val="14"/>
                <w:color w:val="032E5C"/>
              </w:rPr>
              <w:t>163.63</w:t>
            </w:r>
          </w:p>
        </w:tc>
        <w:tc>
          <w:tcPr>
            <w:tcW w:w="800" w:type="dxa"/>
            <w:vAlign w:val="bottom"/>
          </w:tcPr>
          <w:p>
            <w:pPr>
              <w:jc w:val="right"/>
              <w:spacing w:after="0"/>
              <w:rPr>
                <w:sz w:val="20"/>
                <w:szCs w:val="20"/>
                <w:color w:val="auto"/>
              </w:rPr>
            </w:pPr>
            <w:r>
              <w:rPr>
                <w:rFonts w:ascii="Arial" w:cs="Arial" w:eastAsia="Arial" w:hAnsi="Arial"/>
                <w:sz w:val="14"/>
                <w:szCs w:val="14"/>
                <w:color w:val="032E5C"/>
              </w:rPr>
              <w:t>246.3</w:t>
            </w:r>
          </w:p>
        </w:tc>
        <w:tc>
          <w:tcPr>
            <w:tcW w:w="1000" w:type="dxa"/>
            <w:vAlign w:val="bottom"/>
          </w:tcPr>
          <w:p>
            <w:pPr>
              <w:jc w:val="right"/>
              <w:ind w:right="54"/>
              <w:spacing w:after="0"/>
              <w:rPr>
                <w:sz w:val="20"/>
                <w:szCs w:val="20"/>
                <w:color w:val="auto"/>
              </w:rPr>
            </w:pPr>
            <w:r>
              <w:rPr>
                <w:rFonts w:ascii="Arial" w:cs="Arial" w:eastAsia="Arial" w:hAnsi="Arial"/>
                <w:sz w:val="14"/>
                <w:szCs w:val="14"/>
                <w:color w:val="032E5C"/>
              </w:rPr>
              <w:t>825.1</w:t>
            </w:r>
          </w:p>
        </w:tc>
        <w:tc>
          <w:tcPr>
            <w:tcW w:w="0" w:type="dxa"/>
            <w:vAlign w:val="bottom"/>
          </w:tcPr>
          <w:p>
            <w:pPr>
              <w:spacing w:after="0"/>
              <w:rPr>
                <w:sz w:val="1"/>
                <w:szCs w:val="1"/>
                <w:color w:val="auto"/>
              </w:rPr>
            </w:pPr>
          </w:p>
        </w:tc>
      </w:tr>
      <w:tr>
        <w:trPr>
          <w:trHeight w:val="22"/>
        </w:trPr>
        <w:tc>
          <w:tcPr>
            <w:tcW w:w="700" w:type="dxa"/>
            <w:vAlign w:val="bottom"/>
            <w:tcBorders>
              <w:bottom w:val="single" w:sz="8" w:color="98BDE2"/>
            </w:tcBorders>
            <w:gridSpan w:val="2"/>
          </w:tcPr>
          <w:p>
            <w:pPr>
              <w:spacing w:after="0" w:line="20" w:lineRule="exact"/>
              <w:rPr>
                <w:sz w:val="1"/>
                <w:szCs w:val="1"/>
                <w:color w:val="auto"/>
              </w:rPr>
            </w:pPr>
          </w:p>
        </w:tc>
        <w:tc>
          <w:tcPr>
            <w:tcW w:w="1220" w:type="dxa"/>
            <w:vAlign w:val="bottom"/>
            <w:tcBorders>
              <w:bottom w:val="single" w:sz="8" w:color="98BDE2"/>
            </w:tcBorders>
          </w:tcPr>
          <w:p>
            <w:pPr>
              <w:spacing w:after="0" w:line="20" w:lineRule="exact"/>
              <w:rPr>
                <w:sz w:val="1"/>
                <w:szCs w:val="1"/>
                <w:color w:val="auto"/>
              </w:rPr>
            </w:pPr>
          </w:p>
        </w:tc>
        <w:tc>
          <w:tcPr>
            <w:tcW w:w="1240" w:type="dxa"/>
            <w:vAlign w:val="bottom"/>
            <w:tcBorders>
              <w:bottom w:val="single" w:sz="8" w:color="98BDE2"/>
            </w:tcBorders>
          </w:tcPr>
          <w:p>
            <w:pPr>
              <w:spacing w:after="0" w:line="20" w:lineRule="exact"/>
              <w:rPr>
                <w:sz w:val="1"/>
                <w:szCs w:val="1"/>
                <w:color w:val="auto"/>
              </w:rPr>
            </w:pPr>
          </w:p>
        </w:tc>
        <w:tc>
          <w:tcPr>
            <w:tcW w:w="1200" w:type="dxa"/>
            <w:vAlign w:val="bottom"/>
            <w:tcBorders>
              <w:bottom w:val="single" w:sz="8" w:color="98BDE2"/>
            </w:tcBorders>
          </w:tcPr>
          <w:p>
            <w:pPr>
              <w:spacing w:after="0" w:line="20" w:lineRule="exact"/>
              <w:rPr>
                <w:sz w:val="1"/>
                <w:szCs w:val="1"/>
                <w:color w:val="auto"/>
              </w:rPr>
            </w:pPr>
          </w:p>
        </w:tc>
        <w:tc>
          <w:tcPr>
            <w:tcW w:w="1200" w:type="dxa"/>
            <w:vAlign w:val="bottom"/>
            <w:tcBorders>
              <w:bottom w:val="single" w:sz="8" w:color="98BDE2"/>
            </w:tcBorders>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120" w:type="dxa"/>
            <w:vAlign w:val="bottom"/>
            <w:tcBorders>
              <w:bottom w:val="single" w:sz="8" w:color="98BDE2"/>
            </w:tcBorders>
          </w:tcPr>
          <w:p>
            <w:pPr>
              <w:spacing w:after="0" w:line="20" w:lineRule="exact"/>
              <w:rPr>
                <w:sz w:val="1"/>
                <w:szCs w:val="1"/>
                <w:color w:val="auto"/>
              </w:rPr>
            </w:pPr>
          </w:p>
        </w:tc>
        <w:tc>
          <w:tcPr>
            <w:tcW w:w="820" w:type="dxa"/>
            <w:vAlign w:val="bottom"/>
            <w:tcBorders>
              <w:bottom w:val="single" w:sz="8" w:color="98BDE2"/>
            </w:tcBorders>
          </w:tcPr>
          <w:p>
            <w:pPr>
              <w:spacing w:after="0" w:line="20" w:lineRule="exact"/>
              <w:rPr>
                <w:sz w:val="1"/>
                <w:szCs w:val="1"/>
                <w:color w:val="auto"/>
              </w:rPr>
            </w:pPr>
          </w:p>
        </w:tc>
        <w:tc>
          <w:tcPr>
            <w:tcW w:w="600" w:type="dxa"/>
            <w:vAlign w:val="bottom"/>
            <w:tcBorders>
              <w:bottom w:val="single" w:sz="8" w:color="98BDE2"/>
            </w:tcBorders>
          </w:tcPr>
          <w:p>
            <w:pPr>
              <w:spacing w:after="0" w:line="20" w:lineRule="exact"/>
              <w:rPr>
                <w:sz w:val="1"/>
                <w:szCs w:val="1"/>
                <w:color w:val="auto"/>
              </w:rPr>
            </w:pPr>
          </w:p>
        </w:tc>
        <w:tc>
          <w:tcPr>
            <w:tcW w:w="800" w:type="dxa"/>
            <w:vAlign w:val="bottom"/>
            <w:tcBorders>
              <w:bottom w:val="single" w:sz="8" w:color="98BDE2"/>
            </w:tcBorders>
          </w:tcPr>
          <w:p>
            <w:pPr>
              <w:spacing w:after="0" w:line="20" w:lineRule="exact"/>
              <w:rPr>
                <w:sz w:val="1"/>
                <w:szCs w:val="1"/>
                <w:color w:val="auto"/>
              </w:rPr>
            </w:pPr>
          </w:p>
        </w:tc>
        <w:tc>
          <w:tcPr>
            <w:tcW w:w="100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00" w:type="dxa"/>
            <w:vAlign w:val="bottom"/>
            <w:gridSpan w:val="2"/>
          </w:tcPr>
          <w:p>
            <w:pPr>
              <w:jc w:val="center"/>
              <w:spacing w:after="0"/>
              <w:rPr>
                <w:sz w:val="20"/>
                <w:szCs w:val="20"/>
                <w:color w:val="auto"/>
              </w:rPr>
            </w:pPr>
            <w:r>
              <w:rPr>
                <w:rFonts w:ascii="Arial" w:cs="Arial" w:eastAsia="Arial" w:hAnsi="Arial"/>
                <w:sz w:val="14"/>
                <w:szCs w:val="14"/>
                <w:color w:val="032E5C"/>
              </w:rPr>
              <w:t>2023</w:t>
            </w:r>
          </w:p>
        </w:tc>
        <w:tc>
          <w:tcPr>
            <w:tcW w:w="1220" w:type="dxa"/>
            <w:vAlign w:val="bottom"/>
          </w:tcPr>
          <w:p>
            <w:pPr>
              <w:jc w:val="right"/>
              <w:ind w:right="91"/>
              <w:spacing w:after="0"/>
              <w:rPr>
                <w:sz w:val="20"/>
                <w:szCs w:val="20"/>
                <w:color w:val="auto"/>
              </w:rPr>
            </w:pPr>
            <w:r>
              <w:rPr>
                <w:rFonts w:ascii="Arial" w:cs="Arial" w:eastAsia="Arial" w:hAnsi="Arial"/>
                <w:sz w:val="14"/>
                <w:szCs w:val="14"/>
                <w:color w:val="032E5C"/>
              </w:rPr>
              <w:t>—</w:t>
            </w:r>
          </w:p>
        </w:tc>
        <w:tc>
          <w:tcPr>
            <w:tcW w:w="1240" w:type="dxa"/>
            <w:vAlign w:val="bottom"/>
          </w:tcPr>
          <w:p>
            <w:pPr>
              <w:jc w:val="right"/>
              <w:ind w:right="91"/>
              <w:spacing w:after="0"/>
              <w:rPr>
                <w:sz w:val="20"/>
                <w:szCs w:val="20"/>
                <w:color w:val="auto"/>
              </w:rPr>
            </w:pPr>
            <w:r>
              <w:rPr>
                <w:rFonts w:ascii="Arial" w:cs="Arial" w:eastAsia="Arial" w:hAnsi="Arial"/>
                <w:sz w:val="14"/>
                <w:szCs w:val="14"/>
                <w:color w:val="032E5C"/>
              </w:rPr>
              <w:t>6,195,302</w:t>
            </w:r>
          </w:p>
        </w:tc>
        <w:tc>
          <w:tcPr>
            <w:tcW w:w="1200" w:type="dxa"/>
            <w:vAlign w:val="bottom"/>
          </w:tcPr>
          <w:p>
            <w:pPr>
              <w:jc w:val="right"/>
              <w:ind w:right="74"/>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54"/>
              <w:spacing w:after="0"/>
              <w:rPr>
                <w:sz w:val="20"/>
                <w:szCs w:val="20"/>
                <w:color w:val="auto"/>
              </w:rPr>
            </w:pPr>
            <w:r>
              <w:rPr>
                <w:rFonts w:ascii="Arial" w:cs="Arial" w:eastAsia="Arial" w:hAnsi="Arial"/>
                <w:sz w:val="14"/>
                <w:szCs w:val="14"/>
                <w:color w:val="032E5C"/>
              </w:rPr>
              <w:t>7,161,467</w:t>
            </w:r>
          </w:p>
        </w:tc>
        <w:tc>
          <w:tcPr>
            <w:tcW w:w="1340" w:type="dxa"/>
            <w:vAlign w:val="bottom"/>
          </w:tcPr>
          <w:p>
            <w:pPr>
              <w:jc w:val="right"/>
              <w:ind w:right="111"/>
              <w:spacing w:after="0"/>
              <w:rPr>
                <w:sz w:val="20"/>
                <w:szCs w:val="20"/>
                <w:color w:val="auto"/>
              </w:rPr>
            </w:pPr>
            <w:r>
              <w:rPr>
                <w:rFonts w:ascii="Arial" w:cs="Arial" w:eastAsia="Arial" w:hAnsi="Arial"/>
                <w:sz w:val="14"/>
                <w:szCs w:val="14"/>
                <w:color w:val="032E5C"/>
              </w:rPr>
              <w:t>1,648,434</w:t>
            </w:r>
          </w:p>
        </w:tc>
        <w:tc>
          <w:tcPr>
            <w:tcW w:w="1120" w:type="dxa"/>
            <w:vAlign w:val="bottom"/>
          </w:tcPr>
          <w:p>
            <w:pPr>
              <w:jc w:val="right"/>
              <w:spacing w:after="0"/>
              <w:rPr>
                <w:sz w:val="20"/>
                <w:szCs w:val="20"/>
                <w:color w:val="auto"/>
              </w:rPr>
            </w:pPr>
            <w:r>
              <w:rPr>
                <w:rFonts w:ascii="Arial" w:cs="Arial" w:eastAsia="Arial" w:hAnsi="Arial"/>
                <w:sz w:val="14"/>
                <w:szCs w:val="14"/>
                <w:color w:val="032E5C"/>
              </w:rPr>
              <w:t>1,079,735</w:t>
            </w:r>
          </w:p>
        </w:tc>
        <w:tc>
          <w:tcPr>
            <w:tcW w:w="820" w:type="dxa"/>
            <w:vAlign w:val="bottom"/>
          </w:tcPr>
          <w:p>
            <w:pPr>
              <w:jc w:val="right"/>
              <w:ind w:right="51"/>
              <w:spacing w:after="0"/>
              <w:rPr>
                <w:sz w:val="20"/>
                <w:szCs w:val="20"/>
                <w:color w:val="auto"/>
              </w:rPr>
            </w:pPr>
            <w:r>
              <w:rPr>
                <w:rFonts w:ascii="Arial" w:cs="Arial" w:eastAsia="Arial" w:hAnsi="Arial"/>
                <w:sz w:val="14"/>
                <w:szCs w:val="14"/>
                <w:color w:val="032E5C"/>
              </w:rPr>
              <w:t>129.51</w:t>
            </w:r>
          </w:p>
        </w:tc>
        <w:tc>
          <w:tcPr>
            <w:tcW w:w="600" w:type="dxa"/>
            <w:vAlign w:val="bottom"/>
          </w:tcPr>
          <w:p>
            <w:pPr>
              <w:jc w:val="right"/>
              <w:spacing w:after="0"/>
              <w:rPr>
                <w:sz w:val="20"/>
                <w:szCs w:val="20"/>
                <w:color w:val="auto"/>
              </w:rPr>
            </w:pPr>
            <w:r>
              <w:rPr>
                <w:rFonts w:ascii="Arial" w:cs="Arial" w:eastAsia="Arial" w:hAnsi="Arial"/>
                <w:sz w:val="14"/>
                <w:szCs w:val="14"/>
                <w:color w:val="032E5C"/>
              </w:rPr>
              <w:t>157.45</w:t>
            </w:r>
          </w:p>
        </w:tc>
        <w:tc>
          <w:tcPr>
            <w:tcW w:w="800" w:type="dxa"/>
            <w:vAlign w:val="bottom"/>
          </w:tcPr>
          <w:p>
            <w:pPr>
              <w:jc w:val="right"/>
              <w:spacing w:after="0"/>
              <w:rPr>
                <w:sz w:val="20"/>
                <w:szCs w:val="20"/>
                <w:color w:val="auto"/>
              </w:rPr>
            </w:pPr>
            <w:r>
              <w:rPr>
                <w:rFonts w:ascii="Arial" w:cs="Arial" w:eastAsia="Arial" w:hAnsi="Arial"/>
                <w:sz w:val="14"/>
                <w:szCs w:val="14"/>
                <w:color w:val="032E5C"/>
              </w:rPr>
              <w:t>285.1</w:t>
            </w:r>
          </w:p>
        </w:tc>
        <w:tc>
          <w:tcPr>
            <w:tcW w:w="1000" w:type="dxa"/>
            <w:vAlign w:val="bottom"/>
          </w:tcPr>
          <w:p>
            <w:pPr>
              <w:jc w:val="right"/>
              <w:ind w:right="54"/>
              <w:spacing w:after="0"/>
              <w:rPr>
                <w:sz w:val="20"/>
                <w:szCs w:val="20"/>
                <w:color w:val="auto"/>
              </w:rPr>
            </w:pPr>
            <w:r>
              <w:rPr>
                <w:rFonts w:ascii="Arial" w:cs="Arial" w:eastAsia="Arial" w:hAnsi="Arial"/>
                <w:sz w:val="14"/>
                <w:szCs w:val="14"/>
                <w:color w:val="032E5C"/>
              </w:rPr>
              <w:t>834.8</w:t>
            </w:r>
          </w:p>
        </w:tc>
        <w:tc>
          <w:tcPr>
            <w:tcW w:w="0" w:type="dxa"/>
            <w:vAlign w:val="bottom"/>
          </w:tcPr>
          <w:p>
            <w:pPr>
              <w:spacing w:after="0"/>
              <w:rPr>
                <w:sz w:val="1"/>
                <w:szCs w:val="1"/>
                <w:color w:val="auto"/>
              </w:rPr>
            </w:pPr>
          </w:p>
        </w:tc>
      </w:tr>
      <w:tr>
        <w:trPr>
          <w:trHeight w:val="22"/>
        </w:trPr>
        <w:tc>
          <w:tcPr>
            <w:tcW w:w="700" w:type="dxa"/>
            <w:vAlign w:val="bottom"/>
            <w:tcBorders>
              <w:bottom w:val="single" w:sz="8" w:color="98BDE2"/>
            </w:tcBorders>
            <w:gridSpan w:val="2"/>
          </w:tcPr>
          <w:p>
            <w:pPr>
              <w:spacing w:after="0" w:line="20" w:lineRule="exact"/>
              <w:rPr>
                <w:sz w:val="1"/>
                <w:szCs w:val="1"/>
                <w:color w:val="auto"/>
              </w:rPr>
            </w:pPr>
          </w:p>
        </w:tc>
        <w:tc>
          <w:tcPr>
            <w:tcW w:w="1220" w:type="dxa"/>
            <w:vAlign w:val="bottom"/>
            <w:tcBorders>
              <w:bottom w:val="single" w:sz="8" w:color="98BDE2"/>
            </w:tcBorders>
          </w:tcPr>
          <w:p>
            <w:pPr>
              <w:spacing w:after="0" w:line="20" w:lineRule="exact"/>
              <w:rPr>
                <w:sz w:val="1"/>
                <w:szCs w:val="1"/>
                <w:color w:val="auto"/>
              </w:rPr>
            </w:pPr>
          </w:p>
        </w:tc>
        <w:tc>
          <w:tcPr>
            <w:tcW w:w="1240" w:type="dxa"/>
            <w:vAlign w:val="bottom"/>
            <w:tcBorders>
              <w:bottom w:val="single" w:sz="8" w:color="98BDE2"/>
            </w:tcBorders>
          </w:tcPr>
          <w:p>
            <w:pPr>
              <w:spacing w:after="0" w:line="20" w:lineRule="exact"/>
              <w:rPr>
                <w:sz w:val="1"/>
                <w:szCs w:val="1"/>
                <w:color w:val="auto"/>
              </w:rPr>
            </w:pPr>
          </w:p>
        </w:tc>
        <w:tc>
          <w:tcPr>
            <w:tcW w:w="1200" w:type="dxa"/>
            <w:vAlign w:val="bottom"/>
            <w:tcBorders>
              <w:bottom w:val="single" w:sz="8" w:color="98BDE2"/>
            </w:tcBorders>
          </w:tcPr>
          <w:p>
            <w:pPr>
              <w:spacing w:after="0" w:line="20" w:lineRule="exact"/>
              <w:rPr>
                <w:sz w:val="1"/>
                <w:szCs w:val="1"/>
                <w:color w:val="auto"/>
              </w:rPr>
            </w:pPr>
          </w:p>
        </w:tc>
        <w:tc>
          <w:tcPr>
            <w:tcW w:w="1200" w:type="dxa"/>
            <w:vAlign w:val="bottom"/>
            <w:tcBorders>
              <w:bottom w:val="single" w:sz="8" w:color="98BDE2"/>
            </w:tcBorders>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120" w:type="dxa"/>
            <w:vAlign w:val="bottom"/>
            <w:tcBorders>
              <w:bottom w:val="single" w:sz="8" w:color="98BDE2"/>
            </w:tcBorders>
          </w:tcPr>
          <w:p>
            <w:pPr>
              <w:spacing w:after="0" w:line="20" w:lineRule="exact"/>
              <w:rPr>
                <w:sz w:val="1"/>
                <w:szCs w:val="1"/>
                <w:color w:val="auto"/>
              </w:rPr>
            </w:pPr>
          </w:p>
        </w:tc>
        <w:tc>
          <w:tcPr>
            <w:tcW w:w="820" w:type="dxa"/>
            <w:vAlign w:val="bottom"/>
            <w:tcBorders>
              <w:bottom w:val="single" w:sz="8" w:color="98BDE2"/>
            </w:tcBorders>
          </w:tcPr>
          <w:p>
            <w:pPr>
              <w:spacing w:after="0" w:line="20" w:lineRule="exact"/>
              <w:rPr>
                <w:sz w:val="1"/>
                <w:szCs w:val="1"/>
                <w:color w:val="auto"/>
              </w:rPr>
            </w:pPr>
          </w:p>
        </w:tc>
        <w:tc>
          <w:tcPr>
            <w:tcW w:w="600" w:type="dxa"/>
            <w:vAlign w:val="bottom"/>
            <w:tcBorders>
              <w:bottom w:val="single" w:sz="8" w:color="98BDE2"/>
            </w:tcBorders>
          </w:tcPr>
          <w:p>
            <w:pPr>
              <w:spacing w:after="0" w:line="20" w:lineRule="exact"/>
              <w:rPr>
                <w:sz w:val="1"/>
                <w:szCs w:val="1"/>
                <w:color w:val="auto"/>
              </w:rPr>
            </w:pPr>
          </w:p>
        </w:tc>
        <w:tc>
          <w:tcPr>
            <w:tcW w:w="800" w:type="dxa"/>
            <w:vAlign w:val="bottom"/>
            <w:tcBorders>
              <w:bottom w:val="single" w:sz="8" w:color="98BDE2"/>
            </w:tcBorders>
          </w:tcPr>
          <w:p>
            <w:pPr>
              <w:spacing w:after="0" w:line="20" w:lineRule="exact"/>
              <w:rPr>
                <w:sz w:val="1"/>
                <w:szCs w:val="1"/>
                <w:color w:val="auto"/>
              </w:rPr>
            </w:pPr>
          </w:p>
        </w:tc>
        <w:tc>
          <w:tcPr>
            <w:tcW w:w="100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00" w:type="dxa"/>
            <w:vAlign w:val="bottom"/>
            <w:gridSpan w:val="2"/>
          </w:tcPr>
          <w:p>
            <w:pPr>
              <w:jc w:val="center"/>
              <w:spacing w:after="0"/>
              <w:rPr>
                <w:sz w:val="20"/>
                <w:szCs w:val="20"/>
                <w:color w:val="auto"/>
              </w:rPr>
            </w:pPr>
            <w:r>
              <w:rPr>
                <w:rFonts w:ascii="Arial" w:cs="Arial" w:eastAsia="Arial" w:hAnsi="Arial"/>
                <w:sz w:val="14"/>
                <w:szCs w:val="14"/>
                <w:color w:val="032E5C"/>
              </w:rPr>
              <w:t>2022</w:t>
            </w:r>
          </w:p>
        </w:tc>
        <w:tc>
          <w:tcPr>
            <w:tcW w:w="1220" w:type="dxa"/>
            <w:vAlign w:val="bottom"/>
          </w:tcPr>
          <w:p>
            <w:pPr>
              <w:jc w:val="right"/>
              <w:ind w:right="91"/>
              <w:spacing w:after="0"/>
              <w:rPr>
                <w:sz w:val="20"/>
                <w:szCs w:val="20"/>
                <w:color w:val="auto"/>
              </w:rPr>
            </w:pPr>
            <w:r>
              <w:rPr>
                <w:rFonts w:ascii="Arial" w:cs="Arial" w:eastAsia="Arial" w:hAnsi="Arial"/>
                <w:sz w:val="14"/>
                <w:szCs w:val="14"/>
                <w:color w:val="032E5C"/>
              </w:rPr>
              <w:t>2,022,454</w:t>
            </w:r>
          </w:p>
        </w:tc>
        <w:tc>
          <w:tcPr>
            <w:tcW w:w="1240" w:type="dxa"/>
            <w:vAlign w:val="bottom"/>
          </w:tcPr>
          <w:p>
            <w:pPr>
              <w:jc w:val="right"/>
              <w:ind w:right="91"/>
              <w:spacing w:after="0"/>
              <w:rPr>
                <w:sz w:val="20"/>
                <w:szCs w:val="20"/>
                <w:color w:val="auto"/>
              </w:rPr>
            </w:pPr>
            <w:r>
              <w:rPr>
                <w:rFonts w:ascii="Arial" w:cs="Arial" w:eastAsia="Arial" w:hAnsi="Arial"/>
                <w:sz w:val="14"/>
                <w:szCs w:val="14"/>
                <w:color w:val="032E5C"/>
              </w:rPr>
              <w:t>6,609,628</w:t>
            </w:r>
          </w:p>
        </w:tc>
        <w:tc>
          <w:tcPr>
            <w:tcW w:w="1200" w:type="dxa"/>
            <w:vAlign w:val="bottom"/>
          </w:tcPr>
          <w:p>
            <w:pPr>
              <w:jc w:val="right"/>
              <w:ind w:right="74"/>
              <w:spacing w:after="0"/>
              <w:rPr>
                <w:sz w:val="20"/>
                <w:szCs w:val="20"/>
                <w:color w:val="auto"/>
              </w:rPr>
            </w:pPr>
            <w:r>
              <w:rPr>
                <w:rFonts w:ascii="Arial" w:cs="Arial" w:eastAsia="Arial" w:hAnsi="Arial"/>
                <w:sz w:val="14"/>
                <w:szCs w:val="14"/>
                <w:color w:val="032E5C"/>
              </w:rPr>
              <w:t>1,866,128</w:t>
            </w:r>
          </w:p>
        </w:tc>
        <w:tc>
          <w:tcPr>
            <w:tcW w:w="1200" w:type="dxa"/>
            <w:vAlign w:val="bottom"/>
          </w:tcPr>
          <w:p>
            <w:pPr>
              <w:jc w:val="right"/>
              <w:ind w:right="54"/>
              <w:spacing w:after="0"/>
              <w:rPr>
                <w:sz w:val="20"/>
                <w:szCs w:val="20"/>
                <w:color w:val="auto"/>
              </w:rPr>
            </w:pPr>
            <w:r>
              <w:rPr>
                <w:rFonts w:ascii="Arial" w:cs="Arial" w:eastAsia="Arial" w:hAnsi="Arial"/>
                <w:sz w:val="14"/>
                <w:szCs w:val="14"/>
                <w:color w:val="032E5C"/>
              </w:rPr>
              <w:t>4,684,527</w:t>
            </w:r>
          </w:p>
        </w:tc>
        <w:tc>
          <w:tcPr>
            <w:tcW w:w="1340" w:type="dxa"/>
            <w:vAlign w:val="bottom"/>
          </w:tcPr>
          <w:p>
            <w:pPr>
              <w:jc w:val="right"/>
              <w:ind w:right="111"/>
              <w:spacing w:after="0"/>
              <w:rPr>
                <w:sz w:val="20"/>
                <w:szCs w:val="20"/>
                <w:color w:val="auto"/>
              </w:rPr>
            </w:pPr>
            <w:r>
              <w:rPr>
                <w:rFonts w:ascii="Arial" w:cs="Arial" w:eastAsia="Arial" w:hAnsi="Arial"/>
                <w:sz w:val="14"/>
                <w:szCs w:val="14"/>
                <w:color w:val="032E5C"/>
              </w:rPr>
              <w:t>2,275,391</w:t>
            </w:r>
          </w:p>
        </w:tc>
        <w:tc>
          <w:tcPr>
            <w:tcW w:w="1120" w:type="dxa"/>
            <w:vAlign w:val="bottom"/>
          </w:tcPr>
          <w:p>
            <w:pPr>
              <w:jc w:val="right"/>
              <w:spacing w:after="0"/>
              <w:rPr>
                <w:sz w:val="20"/>
                <w:szCs w:val="20"/>
                <w:color w:val="auto"/>
              </w:rPr>
            </w:pPr>
            <w:r>
              <w:rPr>
                <w:rFonts w:ascii="Arial" w:cs="Arial" w:eastAsia="Arial" w:hAnsi="Arial"/>
                <w:sz w:val="14"/>
                <w:szCs w:val="14"/>
                <w:color w:val="032E5C"/>
              </w:rPr>
              <w:t>1,588,826</w:t>
            </w:r>
          </w:p>
        </w:tc>
        <w:tc>
          <w:tcPr>
            <w:tcW w:w="820" w:type="dxa"/>
            <w:vAlign w:val="bottom"/>
          </w:tcPr>
          <w:p>
            <w:pPr>
              <w:jc w:val="right"/>
              <w:ind w:right="51"/>
              <w:spacing w:after="0"/>
              <w:rPr>
                <w:sz w:val="20"/>
                <w:szCs w:val="20"/>
                <w:color w:val="auto"/>
              </w:rPr>
            </w:pPr>
            <w:r>
              <w:rPr>
                <w:rFonts w:ascii="Arial" w:cs="Arial" w:eastAsia="Arial" w:hAnsi="Arial"/>
                <w:sz w:val="14"/>
                <w:szCs w:val="14"/>
                <w:color w:val="032E5C"/>
              </w:rPr>
              <w:t>126.04</w:t>
            </w:r>
          </w:p>
        </w:tc>
        <w:tc>
          <w:tcPr>
            <w:tcW w:w="600" w:type="dxa"/>
            <w:vAlign w:val="bottom"/>
          </w:tcPr>
          <w:p>
            <w:pPr>
              <w:jc w:val="right"/>
              <w:spacing w:after="0"/>
              <w:rPr>
                <w:sz w:val="20"/>
                <w:szCs w:val="20"/>
                <w:color w:val="auto"/>
              </w:rPr>
            </w:pPr>
            <w:r>
              <w:rPr>
                <w:rFonts w:ascii="Arial" w:cs="Arial" w:eastAsia="Arial" w:hAnsi="Arial"/>
                <w:sz w:val="14"/>
                <w:szCs w:val="14"/>
                <w:color w:val="032E5C"/>
              </w:rPr>
              <w:t>119.65</w:t>
            </w:r>
          </w:p>
        </w:tc>
        <w:tc>
          <w:tcPr>
            <w:tcW w:w="800" w:type="dxa"/>
            <w:vAlign w:val="bottom"/>
          </w:tcPr>
          <w:p>
            <w:pPr>
              <w:jc w:val="right"/>
              <w:spacing w:after="0"/>
              <w:rPr>
                <w:sz w:val="20"/>
                <w:szCs w:val="20"/>
                <w:color w:val="auto"/>
              </w:rPr>
            </w:pPr>
            <w:r>
              <w:rPr>
                <w:rFonts w:ascii="Arial" w:cs="Arial" w:eastAsia="Arial" w:hAnsi="Arial"/>
                <w:sz w:val="14"/>
                <w:szCs w:val="14"/>
                <w:color w:val="032E5C"/>
              </w:rPr>
              <w:t>368.3</w:t>
            </w:r>
          </w:p>
        </w:tc>
        <w:tc>
          <w:tcPr>
            <w:tcW w:w="1000" w:type="dxa"/>
            <w:vAlign w:val="bottom"/>
          </w:tcPr>
          <w:p>
            <w:pPr>
              <w:jc w:val="right"/>
              <w:ind w:right="54"/>
              <w:spacing w:after="0"/>
              <w:rPr>
                <w:sz w:val="20"/>
                <w:szCs w:val="20"/>
                <w:color w:val="auto"/>
              </w:rPr>
            </w:pPr>
            <w:r>
              <w:rPr>
                <w:rFonts w:ascii="Arial" w:cs="Arial" w:eastAsia="Arial" w:hAnsi="Arial"/>
                <w:sz w:val="14"/>
                <w:szCs w:val="14"/>
                <w:color w:val="032E5C"/>
              </w:rPr>
              <w:t>836.9</w:t>
            </w:r>
          </w:p>
        </w:tc>
        <w:tc>
          <w:tcPr>
            <w:tcW w:w="0" w:type="dxa"/>
            <w:vAlign w:val="bottom"/>
          </w:tcPr>
          <w:p>
            <w:pPr>
              <w:spacing w:after="0"/>
              <w:rPr>
                <w:sz w:val="1"/>
                <w:szCs w:val="1"/>
                <w:color w:val="auto"/>
              </w:rPr>
            </w:pPr>
          </w:p>
        </w:tc>
      </w:tr>
      <w:tr>
        <w:trPr>
          <w:trHeight w:val="22"/>
        </w:trPr>
        <w:tc>
          <w:tcPr>
            <w:tcW w:w="700" w:type="dxa"/>
            <w:vAlign w:val="bottom"/>
            <w:tcBorders>
              <w:bottom w:val="single" w:sz="8" w:color="98BDE2"/>
            </w:tcBorders>
            <w:gridSpan w:val="2"/>
          </w:tcPr>
          <w:p>
            <w:pPr>
              <w:spacing w:after="0" w:line="20" w:lineRule="exact"/>
              <w:rPr>
                <w:sz w:val="1"/>
                <w:szCs w:val="1"/>
                <w:color w:val="auto"/>
              </w:rPr>
            </w:pPr>
          </w:p>
        </w:tc>
        <w:tc>
          <w:tcPr>
            <w:tcW w:w="1220" w:type="dxa"/>
            <w:vAlign w:val="bottom"/>
            <w:tcBorders>
              <w:bottom w:val="single" w:sz="8" w:color="98BDE2"/>
            </w:tcBorders>
          </w:tcPr>
          <w:p>
            <w:pPr>
              <w:spacing w:after="0" w:line="20" w:lineRule="exact"/>
              <w:rPr>
                <w:sz w:val="1"/>
                <w:szCs w:val="1"/>
                <w:color w:val="auto"/>
              </w:rPr>
            </w:pPr>
          </w:p>
        </w:tc>
        <w:tc>
          <w:tcPr>
            <w:tcW w:w="1240" w:type="dxa"/>
            <w:vAlign w:val="bottom"/>
            <w:tcBorders>
              <w:bottom w:val="single" w:sz="8" w:color="98BDE2"/>
            </w:tcBorders>
          </w:tcPr>
          <w:p>
            <w:pPr>
              <w:spacing w:after="0" w:line="20" w:lineRule="exact"/>
              <w:rPr>
                <w:sz w:val="1"/>
                <w:szCs w:val="1"/>
                <w:color w:val="auto"/>
              </w:rPr>
            </w:pPr>
          </w:p>
        </w:tc>
        <w:tc>
          <w:tcPr>
            <w:tcW w:w="1200" w:type="dxa"/>
            <w:vAlign w:val="bottom"/>
            <w:tcBorders>
              <w:bottom w:val="single" w:sz="8" w:color="98BDE2"/>
            </w:tcBorders>
          </w:tcPr>
          <w:p>
            <w:pPr>
              <w:spacing w:after="0" w:line="20" w:lineRule="exact"/>
              <w:rPr>
                <w:sz w:val="1"/>
                <w:szCs w:val="1"/>
                <w:color w:val="auto"/>
              </w:rPr>
            </w:pPr>
          </w:p>
        </w:tc>
        <w:tc>
          <w:tcPr>
            <w:tcW w:w="1200" w:type="dxa"/>
            <w:vAlign w:val="bottom"/>
            <w:tcBorders>
              <w:bottom w:val="single" w:sz="8" w:color="98BDE2"/>
            </w:tcBorders>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c>
          <w:tcPr>
            <w:tcW w:w="1120" w:type="dxa"/>
            <w:vAlign w:val="bottom"/>
            <w:tcBorders>
              <w:bottom w:val="single" w:sz="8" w:color="98BDE2"/>
            </w:tcBorders>
          </w:tcPr>
          <w:p>
            <w:pPr>
              <w:spacing w:after="0" w:line="20" w:lineRule="exact"/>
              <w:rPr>
                <w:sz w:val="1"/>
                <w:szCs w:val="1"/>
                <w:color w:val="auto"/>
              </w:rPr>
            </w:pPr>
          </w:p>
        </w:tc>
        <w:tc>
          <w:tcPr>
            <w:tcW w:w="820" w:type="dxa"/>
            <w:vAlign w:val="bottom"/>
            <w:tcBorders>
              <w:bottom w:val="single" w:sz="8" w:color="98BDE2"/>
            </w:tcBorders>
          </w:tcPr>
          <w:p>
            <w:pPr>
              <w:spacing w:after="0" w:line="20" w:lineRule="exact"/>
              <w:rPr>
                <w:sz w:val="1"/>
                <w:szCs w:val="1"/>
                <w:color w:val="auto"/>
              </w:rPr>
            </w:pPr>
          </w:p>
        </w:tc>
        <w:tc>
          <w:tcPr>
            <w:tcW w:w="600" w:type="dxa"/>
            <w:vAlign w:val="bottom"/>
            <w:tcBorders>
              <w:bottom w:val="single" w:sz="8" w:color="98BDE2"/>
            </w:tcBorders>
          </w:tcPr>
          <w:p>
            <w:pPr>
              <w:spacing w:after="0" w:line="20" w:lineRule="exact"/>
              <w:rPr>
                <w:sz w:val="1"/>
                <w:szCs w:val="1"/>
                <w:color w:val="auto"/>
              </w:rPr>
            </w:pPr>
          </w:p>
        </w:tc>
        <w:tc>
          <w:tcPr>
            <w:tcW w:w="800" w:type="dxa"/>
            <w:vAlign w:val="bottom"/>
            <w:tcBorders>
              <w:bottom w:val="single" w:sz="8" w:color="98BDE2"/>
            </w:tcBorders>
          </w:tcPr>
          <w:p>
            <w:pPr>
              <w:spacing w:after="0" w:line="20" w:lineRule="exact"/>
              <w:rPr>
                <w:sz w:val="1"/>
                <w:szCs w:val="1"/>
                <w:color w:val="auto"/>
              </w:rPr>
            </w:pPr>
          </w:p>
        </w:tc>
        <w:tc>
          <w:tcPr>
            <w:tcW w:w="1000" w:type="dxa"/>
            <w:vAlign w:val="bottom"/>
            <w:tcBorders>
              <w:bottom w:val="single" w:sz="8" w:color="98BDE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00" w:type="dxa"/>
            <w:vAlign w:val="bottom"/>
            <w:gridSpan w:val="2"/>
          </w:tcPr>
          <w:p>
            <w:pPr>
              <w:jc w:val="center"/>
              <w:spacing w:after="0"/>
              <w:rPr>
                <w:sz w:val="20"/>
                <w:szCs w:val="20"/>
                <w:color w:val="auto"/>
              </w:rPr>
            </w:pPr>
            <w:r>
              <w:rPr>
                <w:rFonts w:ascii="Arial" w:cs="Arial" w:eastAsia="Arial" w:hAnsi="Arial"/>
                <w:sz w:val="14"/>
                <w:szCs w:val="14"/>
                <w:color w:val="032E5C"/>
              </w:rPr>
              <w:t>2021</w:t>
            </w:r>
          </w:p>
        </w:tc>
        <w:tc>
          <w:tcPr>
            <w:tcW w:w="1220" w:type="dxa"/>
            <w:vAlign w:val="bottom"/>
          </w:tcPr>
          <w:p>
            <w:pPr>
              <w:jc w:val="right"/>
              <w:ind w:right="91"/>
              <w:spacing w:after="0"/>
              <w:rPr>
                <w:sz w:val="20"/>
                <w:szCs w:val="20"/>
                <w:color w:val="auto"/>
              </w:rPr>
            </w:pPr>
            <w:r>
              <w:rPr>
                <w:rFonts w:ascii="Arial" w:cs="Arial" w:eastAsia="Arial" w:hAnsi="Arial"/>
                <w:sz w:val="14"/>
                <w:szCs w:val="14"/>
                <w:color w:val="032E5C"/>
              </w:rPr>
              <w:t>3,814,789</w:t>
            </w:r>
          </w:p>
        </w:tc>
        <w:tc>
          <w:tcPr>
            <w:tcW w:w="1240" w:type="dxa"/>
            <w:vAlign w:val="bottom"/>
          </w:tcPr>
          <w:p>
            <w:pPr>
              <w:jc w:val="right"/>
              <w:ind w:right="91"/>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74"/>
              <w:spacing w:after="0"/>
              <w:rPr>
                <w:sz w:val="20"/>
                <w:szCs w:val="20"/>
                <w:color w:val="auto"/>
              </w:rPr>
            </w:pPr>
            <w:r>
              <w:rPr>
                <w:rFonts w:ascii="Arial" w:cs="Arial" w:eastAsia="Arial" w:hAnsi="Arial"/>
                <w:sz w:val="14"/>
                <w:szCs w:val="14"/>
                <w:color w:val="032E5C"/>
              </w:rPr>
              <w:t>8,379,431</w:t>
            </w:r>
          </w:p>
        </w:tc>
        <w:tc>
          <w:tcPr>
            <w:tcW w:w="1200" w:type="dxa"/>
            <w:vAlign w:val="bottom"/>
          </w:tcPr>
          <w:p>
            <w:pPr>
              <w:jc w:val="right"/>
              <w:ind w:right="54"/>
              <w:spacing w:after="0"/>
              <w:rPr>
                <w:sz w:val="20"/>
                <w:szCs w:val="20"/>
                <w:color w:val="auto"/>
              </w:rPr>
            </w:pPr>
            <w:r>
              <w:rPr>
                <w:rFonts w:ascii="Arial" w:cs="Arial" w:eastAsia="Arial" w:hAnsi="Arial"/>
                <w:sz w:val="14"/>
                <w:szCs w:val="14"/>
                <w:color w:val="032E5C"/>
              </w:rPr>
              <w:t>—</w:t>
            </w:r>
          </w:p>
        </w:tc>
        <w:tc>
          <w:tcPr>
            <w:tcW w:w="1340" w:type="dxa"/>
            <w:vAlign w:val="bottom"/>
          </w:tcPr>
          <w:p>
            <w:pPr>
              <w:jc w:val="right"/>
              <w:ind w:right="111"/>
              <w:spacing w:after="0"/>
              <w:rPr>
                <w:sz w:val="20"/>
                <w:szCs w:val="20"/>
                <w:color w:val="auto"/>
              </w:rPr>
            </w:pPr>
            <w:r>
              <w:rPr>
                <w:rFonts w:ascii="Arial" w:cs="Arial" w:eastAsia="Arial" w:hAnsi="Arial"/>
                <w:sz w:val="14"/>
                <w:szCs w:val="14"/>
                <w:color w:val="032E5C"/>
              </w:rPr>
              <w:t>2,116,605</w:t>
            </w:r>
          </w:p>
        </w:tc>
        <w:tc>
          <w:tcPr>
            <w:tcW w:w="1120" w:type="dxa"/>
            <w:vAlign w:val="bottom"/>
          </w:tcPr>
          <w:p>
            <w:pPr>
              <w:jc w:val="right"/>
              <w:spacing w:after="0"/>
              <w:rPr>
                <w:sz w:val="20"/>
                <w:szCs w:val="20"/>
                <w:color w:val="auto"/>
              </w:rPr>
            </w:pPr>
            <w:r>
              <w:rPr>
                <w:rFonts w:ascii="Arial" w:cs="Arial" w:eastAsia="Arial" w:hAnsi="Arial"/>
                <w:sz w:val="14"/>
                <w:szCs w:val="14"/>
                <w:color w:val="032E5C"/>
              </w:rPr>
              <w:t>4,304,689</w:t>
            </w:r>
          </w:p>
        </w:tc>
        <w:tc>
          <w:tcPr>
            <w:tcW w:w="820" w:type="dxa"/>
            <w:vAlign w:val="bottom"/>
          </w:tcPr>
          <w:p>
            <w:pPr>
              <w:jc w:val="right"/>
              <w:ind w:right="51"/>
              <w:spacing w:after="0"/>
              <w:rPr>
                <w:sz w:val="20"/>
                <w:szCs w:val="20"/>
                <w:color w:val="auto"/>
              </w:rPr>
            </w:pPr>
            <w:r>
              <w:rPr>
                <w:rFonts w:ascii="Arial" w:cs="Arial" w:eastAsia="Arial" w:hAnsi="Arial"/>
                <w:sz w:val="14"/>
                <w:szCs w:val="14"/>
                <w:color w:val="032E5C"/>
              </w:rPr>
              <w:t>158.93</w:t>
            </w:r>
          </w:p>
        </w:tc>
        <w:tc>
          <w:tcPr>
            <w:tcW w:w="600" w:type="dxa"/>
            <w:vAlign w:val="bottom"/>
          </w:tcPr>
          <w:p>
            <w:pPr>
              <w:jc w:val="right"/>
              <w:spacing w:after="0"/>
              <w:rPr>
                <w:sz w:val="20"/>
                <w:szCs w:val="20"/>
                <w:color w:val="auto"/>
              </w:rPr>
            </w:pPr>
            <w:r>
              <w:rPr>
                <w:rFonts w:ascii="Arial" w:cs="Arial" w:eastAsia="Arial" w:hAnsi="Arial"/>
                <w:sz w:val="14"/>
                <w:szCs w:val="14"/>
                <w:color w:val="032E5C"/>
              </w:rPr>
              <w:t>146.93</w:t>
            </w:r>
          </w:p>
        </w:tc>
        <w:tc>
          <w:tcPr>
            <w:tcW w:w="800" w:type="dxa"/>
            <w:vAlign w:val="bottom"/>
          </w:tcPr>
          <w:p>
            <w:pPr>
              <w:jc w:val="right"/>
              <w:spacing w:after="0"/>
              <w:rPr>
                <w:sz w:val="20"/>
                <w:szCs w:val="20"/>
                <w:color w:val="auto"/>
              </w:rPr>
            </w:pPr>
            <w:r>
              <w:rPr>
                <w:rFonts w:ascii="Arial" w:cs="Arial" w:eastAsia="Arial" w:hAnsi="Arial"/>
                <w:sz w:val="14"/>
                <w:szCs w:val="14"/>
                <w:color w:val="032E5C"/>
              </w:rPr>
              <w:t>124.5</w:t>
            </w:r>
          </w:p>
        </w:tc>
        <w:tc>
          <w:tcPr>
            <w:tcW w:w="1000" w:type="dxa"/>
            <w:vAlign w:val="bottom"/>
          </w:tcPr>
          <w:p>
            <w:pPr>
              <w:jc w:val="right"/>
              <w:ind w:right="54"/>
              <w:spacing w:after="0"/>
              <w:rPr>
                <w:sz w:val="20"/>
                <w:szCs w:val="20"/>
                <w:color w:val="auto"/>
              </w:rPr>
            </w:pPr>
            <w:r>
              <w:rPr>
                <w:rFonts w:ascii="Arial" w:cs="Arial" w:eastAsia="Arial" w:hAnsi="Arial"/>
                <w:sz w:val="14"/>
                <w:szCs w:val="14"/>
                <w:color w:val="032E5C"/>
              </w:rPr>
              <w:t>544.7</w:t>
            </w:r>
          </w:p>
        </w:tc>
        <w:tc>
          <w:tcPr>
            <w:tcW w:w="0" w:type="dxa"/>
            <w:vAlign w:val="bottom"/>
          </w:tcPr>
          <w:p>
            <w:pPr>
              <w:spacing w:after="0"/>
              <w:rPr>
                <w:sz w:val="1"/>
                <w:szCs w:val="1"/>
                <w:color w:val="auto"/>
              </w:rPr>
            </w:pPr>
          </w:p>
        </w:tc>
      </w:tr>
      <w:tr>
        <w:trPr>
          <w:trHeight w:val="29"/>
        </w:trPr>
        <w:tc>
          <w:tcPr>
            <w:tcW w:w="80" w:type="dxa"/>
            <w:vAlign w:val="bottom"/>
            <w:tcBorders>
              <w:bottom w:val="single" w:sz="8" w:color="3E5C7C"/>
            </w:tcBorders>
          </w:tcPr>
          <w:p>
            <w:pPr>
              <w:spacing w:after="0"/>
              <w:rPr>
                <w:sz w:val="2"/>
                <w:szCs w:val="2"/>
                <w:color w:val="auto"/>
              </w:rPr>
            </w:pPr>
          </w:p>
        </w:tc>
        <w:tc>
          <w:tcPr>
            <w:tcW w:w="620" w:type="dxa"/>
            <w:vAlign w:val="bottom"/>
            <w:tcBorders>
              <w:bottom w:val="single" w:sz="8" w:color="3E5C7C"/>
            </w:tcBorders>
          </w:tcPr>
          <w:p>
            <w:pPr>
              <w:spacing w:after="0"/>
              <w:rPr>
                <w:sz w:val="2"/>
                <w:szCs w:val="2"/>
                <w:color w:val="auto"/>
              </w:rPr>
            </w:pPr>
          </w:p>
        </w:tc>
        <w:tc>
          <w:tcPr>
            <w:tcW w:w="1220" w:type="dxa"/>
            <w:vAlign w:val="bottom"/>
            <w:tcBorders>
              <w:bottom w:val="single" w:sz="8" w:color="3E5C7C"/>
            </w:tcBorders>
          </w:tcPr>
          <w:p>
            <w:pPr>
              <w:spacing w:after="0"/>
              <w:rPr>
                <w:sz w:val="2"/>
                <w:szCs w:val="2"/>
                <w:color w:val="auto"/>
              </w:rPr>
            </w:pPr>
          </w:p>
        </w:tc>
        <w:tc>
          <w:tcPr>
            <w:tcW w:w="1240" w:type="dxa"/>
            <w:vAlign w:val="bottom"/>
            <w:tcBorders>
              <w:bottom w:val="single" w:sz="8" w:color="3E5C7C"/>
            </w:tcBorders>
          </w:tcPr>
          <w:p>
            <w:pPr>
              <w:spacing w:after="0"/>
              <w:rPr>
                <w:sz w:val="2"/>
                <w:szCs w:val="2"/>
                <w:color w:val="auto"/>
              </w:rPr>
            </w:pPr>
          </w:p>
        </w:tc>
        <w:tc>
          <w:tcPr>
            <w:tcW w:w="1200" w:type="dxa"/>
            <w:vAlign w:val="bottom"/>
            <w:tcBorders>
              <w:bottom w:val="single" w:sz="8" w:color="3E5C7C"/>
            </w:tcBorders>
          </w:tcPr>
          <w:p>
            <w:pPr>
              <w:spacing w:after="0"/>
              <w:rPr>
                <w:sz w:val="2"/>
                <w:szCs w:val="2"/>
                <w:color w:val="auto"/>
              </w:rPr>
            </w:pPr>
          </w:p>
        </w:tc>
        <w:tc>
          <w:tcPr>
            <w:tcW w:w="1200" w:type="dxa"/>
            <w:vAlign w:val="bottom"/>
            <w:tcBorders>
              <w:bottom w:val="single" w:sz="8" w:color="3E5C7C"/>
            </w:tcBorders>
          </w:tcPr>
          <w:p>
            <w:pPr>
              <w:spacing w:after="0"/>
              <w:rPr>
                <w:sz w:val="2"/>
                <w:szCs w:val="2"/>
                <w:color w:val="auto"/>
              </w:rPr>
            </w:pPr>
          </w:p>
        </w:tc>
        <w:tc>
          <w:tcPr>
            <w:tcW w:w="1340" w:type="dxa"/>
            <w:vAlign w:val="bottom"/>
            <w:tcBorders>
              <w:bottom w:val="single" w:sz="8" w:color="3E5C7C"/>
            </w:tcBorders>
          </w:tcPr>
          <w:p>
            <w:pPr>
              <w:spacing w:after="0"/>
              <w:rPr>
                <w:sz w:val="2"/>
                <w:szCs w:val="2"/>
                <w:color w:val="auto"/>
              </w:rPr>
            </w:pPr>
          </w:p>
        </w:tc>
        <w:tc>
          <w:tcPr>
            <w:tcW w:w="1120" w:type="dxa"/>
            <w:vAlign w:val="bottom"/>
            <w:tcBorders>
              <w:bottom w:val="single" w:sz="8" w:color="3E5C7C"/>
            </w:tcBorders>
          </w:tcPr>
          <w:p>
            <w:pPr>
              <w:spacing w:after="0"/>
              <w:rPr>
                <w:sz w:val="2"/>
                <w:szCs w:val="2"/>
                <w:color w:val="auto"/>
              </w:rPr>
            </w:pPr>
          </w:p>
        </w:tc>
        <w:tc>
          <w:tcPr>
            <w:tcW w:w="820" w:type="dxa"/>
            <w:vAlign w:val="bottom"/>
            <w:tcBorders>
              <w:bottom w:val="single" w:sz="8" w:color="3E5C7C"/>
            </w:tcBorders>
          </w:tcPr>
          <w:p>
            <w:pPr>
              <w:spacing w:after="0"/>
              <w:rPr>
                <w:sz w:val="2"/>
                <w:szCs w:val="2"/>
                <w:color w:val="auto"/>
              </w:rPr>
            </w:pPr>
          </w:p>
        </w:tc>
        <w:tc>
          <w:tcPr>
            <w:tcW w:w="600" w:type="dxa"/>
            <w:vAlign w:val="bottom"/>
            <w:tcBorders>
              <w:bottom w:val="single" w:sz="8" w:color="3E5C7C"/>
            </w:tcBorders>
          </w:tcPr>
          <w:p>
            <w:pPr>
              <w:spacing w:after="0"/>
              <w:rPr>
                <w:sz w:val="2"/>
                <w:szCs w:val="2"/>
                <w:color w:val="auto"/>
              </w:rPr>
            </w:pPr>
          </w:p>
        </w:tc>
        <w:tc>
          <w:tcPr>
            <w:tcW w:w="800" w:type="dxa"/>
            <w:vAlign w:val="bottom"/>
            <w:tcBorders>
              <w:bottom w:val="single" w:sz="8" w:color="3E5C7C"/>
            </w:tcBorders>
          </w:tcPr>
          <w:p>
            <w:pPr>
              <w:spacing w:after="0"/>
              <w:rPr>
                <w:sz w:val="2"/>
                <w:szCs w:val="2"/>
                <w:color w:val="auto"/>
              </w:rPr>
            </w:pPr>
          </w:p>
        </w:tc>
        <w:tc>
          <w:tcPr>
            <w:tcW w:w="1000" w:type="dxa"/>
            <w:vAlign w:val="bottom"/>
            <w:tcBorders>
              <w:bottom w:val="single" w:sz="8" w:color="3E5C7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40" w:hanging="332"/>
        <w:spacing w:after="0" w:line="285" w:lineRule="auto"/>
        <w:tabs>
          <w:tab w:leader="none" w:pos="340" w:val="left"/>
        </w:tabs>
        <w:numPr>
          <w:ilvl w:val="0"/>
          <w:numId w:val="69"/>
        </w:numPr>
        <w:rPr>
          <w:rFonts w:ascii="Arial" w:cs="Arial" w:eastAsia="Arial" w:hAnsi="Arial"/>
          <w:sz w:val="14"/>
          <w:szCs w:val="14"/>
          <w:color w:val="29292B"/>
        </w:rPr>
      </w:pPr>
      <w:r>
        <w:rPr>
          <w:rFonts w:ascii="Arial" w:cs="Arial" w:eastAsia="Arial" w:hAnsi="Arial"/>
          <w:sz w:val="14"/>
          <w:szCs w:val="14"/>
          <w:color w:val="29292B"/>
        </w:rPr>
        <w:t>Robert A. Katz was our PEO from August 1, 2020 to November 1, 2021. Kirsten Lynch was our PEO from November 1, 2021 to the present. The individuals comprising the Non-PEO NEOs for each year presented are listed below.</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4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2021</w:t>
            </w:r>
          </w:p>
        </w:tc>
        <w:tc>
          <w:tcPr>
            <w:tcW w:w="2560" w:type="dxa"/>
            <w:vAlign w:val="bottom"/>
            <w:shd w:val="clear" w:color="auto" w:fill="98BDE2"/>
          </w:tcPr>
          <w:p>
            <w:pPr>
              <w:ind w:left="620"/>
              <w:spacing w:after="0"/>
              <w:rPr>
                <w:sz w:val="20"/>
                <w:szCs w:val="20"/>
                <w:color w:val="auto"/>
              </w:rPr>
            </w:pPr>
            <w:r>
              <w:rPr>
                <w:rFonts w:ascii="Arial" w:cs="Arial" w:eastAsia="Arial" w:hAnsi="Arial"/>
                <w:sz w:val="14"/>
                <w:szCs w:val="14"/>
                <w:b w:val="1"/>
                <w:bCs w:val="1"/>
                <w:color w:val="032E5C"/>
              </w:rPr>
              <w:t>2022</w:t>
            </w:r>
          </w:p>
        </w:tc>
        <w:tc>
          <w:tcPr>
            <w:tcW w:w="2600" w:type="dxa"/>
            <w:vAlign w:val="bottom"/>
            <w:shd w:val="clear" w:color="auto" w:fill="98BDE2"/>
          </w:tcPr>
          <w:p>
            <w:pPr>
              <w:ind w:left="660"/>
              <w:spacing w:after="0"/>
              <w:rPr>
                <w:sz w:val="20"/>
                <w:szCs w:val="20"/>
                <w:color w:val="auto"/>
              </w:rPr>
            </w:pPr>
            <w:r>
              <w:rPr>
                <w:rFonts w:ascii="Arial" w:cs="Arial" w:eastAsia="Arial" w:hAnsi="Arial"/>
                <w:sz w:val="14"/>
                <w:szCs w:val="14"/>
                <w:b w:val="1"/>
                <w:bCs w:val="1"/>
                <w:color w:val="032E5C"/>
              </w:rPr>
              <w:t>2023</w:t>
            </w:r>
          </w:p>
        </w:tc>
        <w:tc>
          <w:tcPr>
            <w:tcW w:w="3320" w:type="dxa"/>
            <w:vAlign w:val="bottom"/>
            <w:shd w:val="clear" w:color="auto" w:fill="98BDE2"/>
          </w:tcPr>
          <w:p>
            <w:pPr>
              <w:ind w:left="660"/>
              <w:spacing w:after="0"/>
              <w:rPr>
                <w:sz w:val="20"/>
                <w:szCs w:val="20"/>
                <w:color w:val="auto"/>
              </w:rPr>
            </w:pPr>
            <w:r>
              <w:rPr>
                <w:rFonts w:ascii="Arial" w:cs="Arial" w:eastAsia="Arial" w:hAnsi="Arial"/>
                <w:sz w:val="14"/>
                <w:szCs w:val="14"/>
                <w:b w:val="1"/>
                <w:bCs w:val="1"/>
                <w:color w:val="032E5C"/>
              </w:rPr>
              <w:t>2024</w:t>
            </w:r>
          </w:p>
        </w:tc>
      </w:tr>
      <w:tr>
        <w:trPr>
          <w:trHeight w:val="67"/>
        </w:trPr>
        <w:tc>
          <w:tcPr>
            <w:tcW w:w="2040" w:type="dxa"/>
            <w:vAlign w:val="bottom"/>
            <w:shd w:val="clear" w:color="auto" w:fill="98BDE2"/>
          </w:tcPr>
          <w:p>
            <w:pPr>
              <w:spacing w:after="0"/>
              <w:rPr>
                <w:sz w:val="5"/>
                <w:szCs w:val="5"/>
                <w:color w:val="auto"/>
              </w:rPr>
            </w:pPr>
          </w:p>
        </w:tc>
        <w:tc>
          <w:tcPr>
            <w:tcW w:w="2560" w:type="dxa"/>
            <w:vAlign w:val="bottom"/>
            <w:shd w:val="clear" w:color="auto" w:fill="98BDE2"/>
          </w:tcPr>
          <w:p>
            <w:pPr>
              <w:spacing w:after="0"/>
              <w:rPr>
                <w:sz w:val="5"/>
                <w:szCs w:val="5"/>
                <w:color w:val="auto"/>
              </w:rPr>
            </w:pPr>
          </w:p>
        </w:tc>
        <w:tc>
          <w:tcPr>
            <w:tcW w:w="2600" w:type="dxa"/>
            <w:vAlign w:val="bottom"/>
            <w:shd w:val="clear" w:color="auto" w:fill="98BDE2"/>
          </w:tcPr>
          <w:p>
            <w:pPr>
              <w:spacing w:after="0"/>
              <w:rPr>
                <w:sz w:val="5"/>
                <w:szCs w:val="5"/>
                <w:color w:val="auto"/>
              </w:rPr>
            </w:pPr>
          </w:p>
        </w:tc>
        <w:tc>
          <w:tcPr>
            <w:tcW w:w="3320" w:type="dxa"/>
            <w:vAlign w:val="bottom"/>
            <w:shd w:val="clear" w:color="auto" w:fill="98BDE2"/>
          </w:tcPr>
          <w:p>
            <w:pPr>
              <w:spacing w:after="0"/>
              <w:rPr>
                <w:sz w:val="5"/>
                <w:szCs w:val="5"/>
                <w:color w:val="auto"/>
              </w:rPr>
            </w:pPr>
          </w:p>
        </w:tc>
      </w:tr>
      <w:tr>
        <w:trPr>
          <w:trHeight w:val="208"/>
        </w:trPr>
        <w:tc>
          <w:tcPr>
            <w:tcW w:w="2040" w:type="dxa"/>
            <w:vAlign w:val="bottom"/>
          </w:tcPr>
          <w:p>
            <w:pPr>
              <w:ind w:left="100"/>
              <w:spacing w:after="0"/>
              <w:rPr>
                <w:sz w:val="20"/>
                <w:szCs w:val="20"/>
                <w:color w:val="auto"/>
              </w:rPr>
            </w:pPr>
            <w:r>
              <w:rPr>
                <w:rFonts w:ascii="Arial" w:cs="Arial" w:eastAsia="Arial" w:hAnsi="Arial"/>
                <w:sz w:val="14"/>
                <w:szCs w:val="14"/>
                <w:color w:val="032E5C"/>
              </w:rPr>
              <w:t>Michael Z. Barkin</w:t>
            </w:r>
          </w:p>
        </w:tc>
        <w:tc>
          <w:tcPr>
            <w:tcW w:w="2560" w:type="dxa"/>
            <w:vAlign w:val="bottom"/>
          </w:tcPr>
          <w:p>
            <w:pPr>
              <w:ind w:left="620"/>
              <w:spacing w:after="0"/>
              <w:rPr>
                <w:sz w:val="20"/>
                <w:szCs w:val="20"/>
                <w:color w:val="auto"/>
              </w:rPr>
            </w:pPr>
            <w:r>
              <w:rPr>
                <w:rFonts w:ascii="Arial" w:cs="Arial" w:eastAsia="Arial" w:hAnsi="Arial"/>
                <w:sz w:val="14"/>
                <w:szCs w:val="14"/>
                <w:color w:val="032E5C"/>
              </w:rPr>
              <w:t>Michael Z. Barkin</w:t>
            </w:r>
          </w:p>
        </w:tc>
        <w:tc>
          <w:tcPr>
            <w:tcW w:w="2600" w:type="dxa"/>
            <w:vAlign w:val="bottom"/>
          </w:tcPr>
          <w:p>
            <w:pPr>
              <w:ind w:left="660"/>
              <w:spacing w:after="0"/>
              <w:rPr>
                <w:sz w:val="20"/>
                <w:szCs w:val="20"/>
                <w:color w:val="auto"/>
              </w:rPr>
            </w:pPr>
            <w:r>
              <w:rPr>
                <w:rFonts w:ascii="Arial" w:cs="Arial" w:eastAsia="Arial" w:hAnsi="Arial"/>
                <w:sz w:val="14"/>
                <w:szCs w:val="14"/>
                <w:color w:val="032E5C"/>
              </w:rPr>
              <w:t>Michael Z. Barkin</w:t>
            </w:r>
          </w:p>
        </w:tc>
        <w:tc>
          <w:tcPr>
            <w:tcW w:w="3320" w:type="dxa"/>
            <w:vAlign w:val="bottom"/>
          </w:tcPr>
          <w:p>
            <w:pPr>
              <w:ind w:left="660"/>
              <w:spacing w:after="0"/>
              <w:rPr>
                <w:sz w:val="20"/>
                <w:szCs w:val="20"/>
                <w:color w:val="auto"/>
              </w:rPr>
            </w:pPr>
            <w:r>
              <w:rPr>
                <w:rFonts w:ascii="Arial" w:cs="Arial" w:eastAsia="Arial" w:hAnsi="Arial"/>
                <w:sz w:val="14"/>
                <w:szCs w:val="14"/>
                <w:color w:val="032E5C"/>
              </w:rPr>
              <w:t>Robert A. Katz</w:t>
            </w:r>
          </w:p>
        </w:tc>
      </w:tr>
      <w:tr>
        <w:trPr>
          <w:trHeight w:val="22"/>
        </w:trPr>
        <w:tc>
          <w:tcPr>
            <w:tcW w:w="2040" w:type="dxa"/>
            <w:vAlign w:val="bottom"/>
            <w:tcBorders>
              <w:bottom w:val="single" w:sz="8" w:color="98BDE2"/>
            </w:tcBorders>
          </w:tcPr>
          <w:p>
            <w:pPr>
              <w:spacing w:after="0" w:line="20" w:lineRule="exact"/>
              <w:rPr>
                <w:sz w:val="1"/>
                <w:szCs w:val="1"/>
                <w:color w:val="auto"/>
              </w:rPr>
            </w:pPr>
          </w:p>
        </w:tc>
        <w:tc>
          <w:tcPr>
            <w:tcW w:w="2560" w:type="dxa"/>
            <w:vAlign w:val="bottom"/>
            <w:tcBorders>
              <w:bottom w:val="single" w:sz="8" w:color="98BDE2"/>
            </w:tcBorders>
          </w:tcPr>
          <w:p>
            <w:pPr>
              <w:spacing w:after="0" w:line="20" w:lineRule="exact"/>
              <w:rPr>
                <w:sz w:val="1"/>
                <w:szCs w:val="1"/>
                <w:color w:val="auto"/>
              </w:rPr>
            </w:pPr>
          </w:p>
        </w:tc>
        <w:tc>
          <w:tcPr>
            <w:tcW w:w="2600" w:type="dxa"/>
            <w:vAlign w:val="bottom"/>
            <w:tcBorders>
              <w:bottom w:val="single" w:sz="8" w:color="98BDE2"/>
            </w:tcBorders>
          </w:tcPr>
          <w:p>
            <w:pPr>
              <w:spacing w:after="0" w:line="20" w:lineRule="exact"/>
              <w:rPr>
                <w:sz w:val="1"/>
                <w:szCs w:val="1"/>
                <w:color w:val="auto"/>
              </w:rPr>
            </w:pPr>
          </w:p>
        </w:tc>
        <w:tc>
          <w:tcPr>
            <w:tcW w:w="3320" w:type="dxa"/>
            <w:vAlign w:val="bottom"/>
            <w:tcBorders>
              <w:bottom w:val="single" w:sz="8" w:color="98BDE2"/>
            </w:tcBorders>
          </w:tcPr>
          <w:p>
            <w:pPr>
              <w:spacing w:after="0" w:line="20" w:lineRule="exact"/>
              <w:rPr>
                <w:sz w:val="1"/>
                <w:szCs w:val="1"/>
                <w:color w:val="auto"/>
              </w:rPr>
            </w:pPr>
          </w:p>
        </w:tc>
      </w:tr>
      <w:tr>
        <w:trPr>
          <w:trHeight w:val="228"/>
        </w:trPr>
        <w:tc>
          <w:tcPr>
            <w:tcW w:w="2040" w:type="dxa"/>
            <w:vAlign w:val="bottom"/>
          </w:tcPr>
          <w:p>
            <w:pPr>
              <w:ind w:left="100"/>
              <w:spacing w:after="0"/>
              <w:rPr>
                <w:sz w:val="20"/>
                <w:szCs w:val="20"/>
                <w:color w:val="auto"/>
              </w:rPr>
            </w:pPr>
            <w:r>
              <w:rPr>
                <w:rFonts w:ascii="Arial" w:cs="Arial" w:eastAsia="Arial" w:hAnsi="Arial"/>
                <w:sz w:val="14"/>
                <w:szCs w:val="14"/>
                <w:color w:val="032E5C"/>
              </w:rPr>
              <w:t>Patricia A. Campbell</w:t>
            </w:r>
          </w:p>
        </w:tc>
        <w:tc>
          <w:tcPr>
            <w:tcW w:w="2560" w:type="dxa"/>
            <w:vAlign w:val="bottom"/>
          </w:tcPr>
          <w:p>
            <w:pPr>
              <w:ind w:left="620"/>
              <w:spacing w:after="0"/>
              <w:rPr>
                <w:sz w:val="20"/>
                <w:szCs w:val="20"/>
                <w:color w:val="auto"/>
              </w:rPr>
            </w:pPr>
            <w:r>
              <w:rPr>
                <w:rFonts w:ascii="Arial" w:cs="Arial" w:eastAsia="Arial" w:hAnsi="Arial"/>
                <w:sz w:val="14"/>
                <w:szCs w:val="14"/>
                <w:color w:val="032E5C"/>
              </w:rPr>
              <w:t>Ryan Bennett</w:t>
            </w:r>
          </w:p>
        </w:tc>
        <w:tc>
          <w:tcPr>
            <w:tcW w:w="2600" w:type="dxa"/>
            <w:vAlign w:val="bottom"/>
          </w:tcPr>
          <w:p>
            <w:pPr>
              <w:ind w:left="660"/>
              <w:spacing w:after="0"/>
              <w:rPr>
                <w:sz w:val="20"/>
                <w:szCs w:val="20"/>
                <w:color w:val="auto"/>
              </w:rPr>
            </w:pPr>
            <w:r>
              <w:rPr>
                <w:rFonts w:ascii="Arial" w:cs="Arial" w:eastAsia="Arial" w:hAnsi="Arial"/>
                <w:sz w:val="14"/>
                <w:szCs w:val="14"/>
                <w:color w:val="032E5C"/>
              </w:rPr>
              <w:t>Ryan Bennett</w:t>
            </w:r>
          </w:p>
        </w:tc>
        <w:tc>
          <w:tcPr>
            <w:tcW w:w="3320" w:type="dxa"/>
            <w:vAlign w:val="bottom"/>
          </w:tcPr>
          <w:p>
            <w:pPr>
              <w:ind w:left="660"/>
              <w:spacing w:after="0"/>
              <w:rPr>
                <w:sz w:val="20"/>
                <w:szCs w:val="20"/>
                <w:color w:val="auto"/>
              </w:rPr>
            </w:pPr>
            <w:r>
              <w:rPr>
                <w:rFonts w:ascii="Arial" w:cs="Arial" w:eastAsia="Arial" w:hAnsi="Arial"/>
                <w:sz w:val="14"/>
                <w:szCs w:val="14"/>
                <w:color w:val="032E5C"/>
              </w:rPr>
              <w:t>Angela A. Korch</w:t>
            </w:r>
          </w:p>
        </w:tc>
      </w:tr>
      <w:tr>
        <w:trPr>
          <w:trHeight w:val="49"/>
        </w:trPr>
        <w:tc>
          <w:tcPr>
            <w:tcW w:w="2040" w:type="dxa"/>
            <w:vAlign w:val="bottom"/>
            <w:tcBorders>
              <w:bottom w:val="single" w:sz="8" w:color="98BDE2"/>
            </w:tcBorders>
          </w:tcPr>
          <w:p>
            <w:pPr>
              <w:spacing w:after="0"/>
              <w:rPr>
                <w:sz w:val="4"/>
                <w:szCs w:val="4"/>
                <w:color w:val="auto"/>
              </w:rPr>
            </w:pPr>
          </w:p>
        </w:tc>
        <w:tc>
          <w:tcPr>
            <w:tcW w:w="2560" w:type="dxa"/>
            <w:vAlign w:val="bottom"/>
            <w:tcBorders>
              <w:bottom w:val="single" w:sz="8" w:color="98BDE2"/>
            </w:tcBorders>
          </w:tcPr>
          <w:p>
            <w:pPr>
              <w:spacing w:after="0"/>
              <w:rPr>
                <w:sz w:val="4"/>
                <w:szCs w:val="4"/>
                <w:color w:val="auto"/>
              </w:rPr>
            </w:pPr>
          </w:p>
        </w:tc>
        <w:tc>
          <w:tcPr>
            <w:tcW w:w="2600" w:type="dxa"/>
            <w:vAlign w:val="bottom"/>
            <w:tcBorders>
              <w:bottom w:val="single" w:sz="8" w:color="98BDE2"/>
            </w:tcBorders>
          </w:tcPr>
          <w:p>
            <w:pPr>
              <w:spacing w:after="0"/>
              <w:rPr>
                <w:sz w:val="4"/>
                <w:szCs w:val="4"/>
                <w:color w:val="auto"/>
              </w:rPr>
            </w:pPr>
          </w:p>
        </w:tc>
        <w:tc>
          <w:tcPr>
            <w:tcW w:w="3320" w:type="dxa"/>
            <w:vAlign w:val="bottom"/>
            <w:tcBorders>
              <w:bottom w:val="single" w:sz="8" w:color="98BDE2"/>
            </w:tcBorders>
          </w:tcPr>
          <w:p>
            <w:pPr>
              <w:spacing w:after="0"/>
              <w:rPr>
                <w:sz w:val="4"/>
                <w:szCs w:val="4"/>
                <w:color w:val="auto"/>
              </w:rPr>
            </w:pPr>
          </w:p>
        </w:tc>
      </w:tr>
      <w:tr>
        <w:trPr>
          <w:trHeight w:val="228"/>
        </w:trPr>
        <w:tc>
          <w:tcPr>
            <w:tcW w:w="2040" w:type="dxa"/>
            <w:vAlign w:val="bottom"/>
          </w:tcPr>
          <w:p>
            <w:pPr>
              <w:ind w:left="100"/>
              <w:spacing w:after="0"/>
              <w:rPr>
                <w:sz w:val="20"/>
                <w:szCs w:val="20"/>
                <w:color w:val="auto"/>
              </w:rPr>
            </w:pPr>
            <w:r>
              <w:rPr>
                <w:rFonts w:ascii="Arial" w:cs="Arial" w:eastAsia="Arial" w:hAnsi="Arial"/>
                <w:sz w:val="14"/>
                <w:szCs w:val="14"/>
                <w:color w:val="032E5C"/>
              </w:rPr>
              <w:t>Kirsten A. Lynch</w:t>
            </w:r>
          </w:p>
        </w:tc>
        <w:tc>
          <w:tcPr>
            <w:tcW w:w="2560" w:type="dxa"/>
            <w:vAlign w:val="bottom"/>
          </w:tcPr>
          <w:p>
            <w:pPr>
              <w:ind w:left="620"/>
              <w:spacing w:after="0"/>
              <w:rPr>
                <w:sz w:val="20"/>
                <w:szCs w:val="20"/>
                <w:color w:val="auto"/>
              </w:rPr>
            </w:pPr>
            <w:r>
              <w:rPr>
                <w:rFonts w:ascii="Arial" w:cs="Arial" w:eastAsia="Arial" w:hAnsi="Arial"/>
                <w:sz w:val="14"/>
                <w:szCs w:val="14"/>
                <w:color w:val="032E5C"/>
              </w:rPr>
              <w:t>David T. Shapiro</w:t>
            </w:r>
          </w:p>
        </w:tc>
        <w:tc>
          <w:tcPr>
            <w:tcW w:w="2600" w:type="dxa"/>
            <w:vAlign w:val="bottom"/>
          </w:tcPr>
          <w:p>
            <w:pPr>
              <w:ind w:left="660"/>
              <w:spacing w:after="0"/>
              <w:rPr>
                <w:sz w:val="20"/>
                <w:szCs w:val="20"/>
                <w:color w:val="auto"/>
              </w:rPr>
            </w:pPr>
            <w:r>
              <w:rPr>
                <w:rFonts w:ascii="Arial" w:cs="Arial" w:eastAsia="Arial" w:hAnsi="Arial"/>
                <w:sz w:val="14"/>
                <w:szCs w:val="14"/>
                <w:color w:val="032E5C"/>
              </w:rPr>
              <w:t>Robert A. Katz</w:t>
            </w:r>
          </w:p>
        </w:tc>
        <w:tc>
          <w:tcPr>
            <w:tcW w:w="3320" w:type="dxa"/>
            <w:vAlign w:val="bottom"/>
          </w:tcPr>
          <w:p>
            <w:pPr>
              <w:ind w:left="660"/>
              <w:spacing w:after="0"/>
              <w:rPr>
                <w:sz w:val="20"/>
                <w:szCs w:val="20"/>
                <w:color w:val="auto"/>
              </w:rPr>
            </w:pPr>
            <w:r>
              <w:rPr>
                <w:rFonts w:ascii="Arial" w:cs="Arial" w:eastAsia="Arial" w:hAnsi="Arial"/>
                <w:sz w:val="14"/>
                <w:szCs w:val="14"/>
                <w:color w:val="032E5C"/>
              </w:rPr>
              <w:t>William C. Rock</w:t>
            </w:r>
          </w:p>
        </w:tc>
      </w:tr>
      <w:tr>
        <w:trPr>
          <w:trHeight w:val="49"/>
        </w:trPr>
        <w:tc>
          <w:tcPr>
            <w:tcW w:w="2040" w:type="dxa"/>
            <w:vAlign w:val="bottom"/>
            <w:tcBorders>
              <w:bottom w:val="single" w:sz="8" w:color="98BDE2"/>
            </w:tcBorders>
          </w:tcPr>
          <w:p>
            <w:pPr>
              <w:spacing w:after="0"/>
              <w:rPr>
                <w:sz w:val="4"/>
                <w:szCs w:val="4"/>
                <w:color w:val="auto"/>
              </w:rPr>
            </w:pPr>
          </w:p>
        </w:tc>
        <w:tc>
          <w:tcPr>
            <w:tcW w:w="2560" w:type="dxa"/>
            <w:vAlign w:val="bottom"/>
            <w:tcBorders>
              <w:bottom w:val="single" w:sz="8" w:color="98BDE2"/>
            </w:tcBorders>
          </w:tcPr>
          <w:p>
            <w:pPr>
              <w:spacing w:after="0"/>
              <w:rPr>
                <w:sz w:val="4"/>
                <w:szCs w:val="4"/>
                <w:color w:val="auto"/>
              </w:rPr>
            </w:pPr>
          </w:p>
        </w:tc>
        <w:tc>
          <w:tcPr>
            <w:tcW w:w="2600" w:type="dxa"/>
            <w:vAlign w:val="bottom"/>
            <w:tcBorders>
              <w:bottom w:val="single" w:sz="8" w:color="98BDE2"/>
            </w:tcBorders>
          </w:tcPr>
          <w:p>
            <w:pPr>
              <w:spacing w:after="0"/>
              <w:rPr>
                <w:sz w:val="4"/>
                <w:szCs w:val="4"/>
                <w:color w:val="auto"/>
              </w:rPr>
            </w:pPr>
          </w:p>
        </w:tc>
        <w:tc>
          <w:tcPr>
            <w:tcW w:w="3320" w:type="dxa"/>
            <w:vAlign w:val="bottom"/>
            <w:tcBorders>
              <w:bottom w:val="single" w:sz="8" w:color="98BDE2"/>
            </w:tcBorders>
          </w:tcPr>
          <w:p>
            <w:pPr>
              <w:spacing w:after="0"/>
              <w:rPr>
                <w:sz w:val="4"/>
                <w:szCs w:val="4"/>
                <w:color w:val="auto"/>
              </w:rPr>
            </w:pPr>
          </w:p>
        </w:tc>
      </w:tr>
      <w:tr>
        <w:trPr>
          <w:trHeight w:val="228"/>
        </w:trPr>
        <w:tc>
          <w:tcPr>
            <w:tcW w:w="2040" w:type="dxa"/>
            <w:vAlign w:val="bottom"/>
          </w:tcPr>
          <w:p>
            <w:pPr>
              <w:ind w:left="100"/>
              <w:spacing w:after="0"/>
              <w:rPr>
                <w:sz w:val="20"/>
                <w:szCs w:val="20"/>
                <w:color w:val="auto"/>
              </w:rPr>
            </w:pPr>
            <w:r>
              <w:rPr>
                <w:rFonts w:ascii="Arial" w:cs="Arial" w:eastAsia="Arial" w:hAnsi="Arial"/>
                <w:sz w:val="14"/>
                <w:szCs w:val="14"/>
                <w:color w:val="032E5C"/>
              </w:rPr>
              <w:t>James C. O'Donnell</w:t>
            </w:r>
          </w:p>
        </w:tc>
        <w:tc>
          <w:tcPr>
            <w:tcW w:w="2560" w:type="dxa"/>
            <w:vAlign w:val="bottom"/>
          </w:tcPr>
          <w:p>
            <w:pPr>
              <w:ind w:left="620"/>
              <w:spacing w:after="0"/>
              <w:rPr>
                <w:sz w:val="20"/>
                <w:szCs w:val="20"/>
                <w:color w:val="auto"/>
              </w:rPr>
            </w:pPr>
            <w:r>
              <w:rPr>
                <w:rFonts w:ascii="Arial" w:cs="Arial" w:eastAsia="Arial" w:hAnsi="Arial"/>
                <w:sz w:val="14"/>
                <w:szCs w:val="14"/>
                <w:color w:val="032E5C"/>
              </w:rPr>
              <w:t>James C. O'Donnell</w:t>
            </w:r>
          </w:p>
        </w:tc>
        <w:tc>
          <w:tcPr>
            <w:tcW w:w="2600" w:type="dxa"/>
            <w:vAlign w:val="bottom"/>
          </w:tcPr>
          <w:p>
            <w:pPr>
              <w:ind w:left="660"/>
              <w:spacing w:after="0"/>
              <w:rPr>
                <w:sz w:val="20"/>
                <w:szCs w:val="20"/>
                <w:color w:val="auto"/>
              </w:rPr>
            </w:pPr>
            <w:r>
              <w:rPr>
                <w:rFonts w:ascii="Arial" w:cs="Arial" w:eastAsia="Arial" w:hAnsi="Arial"/>
                <w:sz w:val="14"/>
                <w:szCs w:val="14"/>
                <w:color w:val="032E5C"/>
              </w:rPr>
              <w:t>Angela A. Korch</w:t>
            </w:r>
          </w:p>
        </w:tc>
        <w:tc>
          <w:tcPr>
            <w:tcW w:w="3320" w:type="dxa"/>
            <w:vAlign w:val="bottom"/>
          </w:tcPr>
          <w:p>
            <w:pPr>
              <w:ind w:left="660"/>
              <w:spacing w:after="0"/>
              <w:rPr>
                <w:sz w:val="20"/>
                <w:szCs w:val="20"/>
                <w:color w:val="auto"/>
              </w:rPr>
            </w:pPr>
            <w:r>
              <w:rPr>
                <w:rFonts w:ascii="Arial" w:cs="Arial" w:eastAsia="Arial" w:hAnsi="Arial"/>
                <w:sz w:val="14"/>
                <w:szCs w:val="14"/>
                <w:color w:val="032E5C"/>
              </w:rPr>
              <w:t>David T. Shapiro</w:t>
            </w:r>
          </w:p>
        </w:tc>
      </w:tr>
      <w:tr>
        <w:trPr>
          <w:trHeight w:val="49"/>
        </w:trPr>
        <w:tc>
          <w:tcPr>
            <w:tcW w:w="2040" w:type="dxa"/>
            <w:vAlign w:val="bottom"/>
            <w:tcBorders>
              <w:bottom w:val="single" w:sz="8" w:color="98BDE2"/>
            </w:tcBorders>
          </w:tcPr>
          <w:p>
            <w:pPr>
              <w:spacing w:after="0"/>
              <w:rPr>
                <w:sz w:val="4"/>
                <w:szCs w:val="4"/>
                <w:color w:val="auto"/>
              </w:rPr>
            </w:pPr>
          </w:p>
        </w:tc>
        <w:tc>
          <w:tcPr>
            <w:tcW w:w="2560" w:type="dxa"/>
            <w:vAlign w:val="bottom"/>
            <w:tcBorders>
              <w:bottom w:val="single" w:sz="8" w:color="98BDE2"/>
            </w:tcBorders>
          </w:tcPr>
          <w:p>
            <w:pPr>
              <w:spacing w:after="0"/>
              <w:rPr>
                <w:sz w:val="4"/>
                <w:szCs w:val="4"/>
                <w:color w:val="auto"/>
              </w:rPr>
            </w:pPr>
          </w:p>
        </w:tc>
        <w:tc>
          <w:tcPr>
            <w:tcW w:w="2600" w:type="dxa"/>
            <w:vAlign w:val="bottom"/>
            <w:tcBorders>
              <w:bottom w:val="single" w:sz="8" w:color="98BDE2"/>
            </w:tcBorders>
          </w:tcPr>
          <w:p>
            <w:pPr>
              <w:spacing w:after="0"/>
              <w:rPr>
                <w:sz w:val="4"/>
                <w:szCs w:val="4"/>
                <w:color w:val="auto"/>
              </w:rPr>
            </w:pPr>
          </w:p>
        </w:tc>
        <w:tc>
          <w:tcPr>
            <w:tcW w:w="3320" w:type="dxa"/>
            <w:vAlign w:val="bottom"/>
            <w:tcBorders>
              <w:bottom w:val="single" w:sz="8" w:color="98BDE2"/>
            </w:tcBorders>
          </w:tcPr>
          <w:p>
            <w:pPr>
              <w:spacing w:after="0"/>
              <w:rPr>
                <w:sz w:val="4"/>
                <w:szCs w:val="4"/>
                <w:color w:val="auto"/>
              </w:rPr>
            </w:pPr>
          </w:p>
        </w:tc>
      </w:tr>
      <w:tr>
        <w:trPr>
          <w:trHeight w:val="228"/>
        </w:trPr>
        <w:tc>
          <w:tcPr>
            <w:tcW w:w="2040" w:type="dxa"/>
            <w:vAlign w:val="bottom"/>
          </w:tcPr>
          <w:p>
            <w:pPr>
              <w:ind w:left="100"/>
              <w:spacing w:after="0"/>
              <w:rPr>
                <w:sz w:val="20"/>
                <w:szCs w:val="20"/>
                <w:color w:val="auto"/>
              </w:rPr>
            </w:pPr>
            <w:r>
              <w:rPr>
                <w:rFonts w:ascii="Arial" w:cs="Arial" w:eastAsia="Arial" w:hAnsi="Arial"/>
                <w:sz w:val="14"/>
                <w:szCs w:val="14"/>
                <w:color w:val="032E5C"/>
              </w:rPr>
              <w:t>David T. Shapiro</w:t>
            </w:r>
          </w:p>
        </w:tc>
        <w:tc>
          <w:tcPr>
            <w:tcW w:w="2560" w:type="dxa"/>
            <w:vAlign w:val="bottom"/>
          </w:tcPr>
          <w:p>
            <w:pPr>
              <w:spacing w:after="0"/>
              <w:rPr>
                <w:sz w:val="19"/>
                <w:szCs w:val="19"/>
                <w:color w:val="auto"/>
              </w:rPr>
            </w:pPr>
          </w:p>
        </w:tc>
        <w:tc>
          <w:tcPr>
            <w:tcW w:w="2600" w:type="dxa"/>
            <w:vAlign w:val="bottom"/>
          </w:tcPr>
          <w:p>
            <w:pPr>
              <w:ind w:left="660"/>
              <w:spacing w:after="0"/>
              <w:rPr>
                <w:sz w:val="20"/>
                <w:szCs w:val="20"/>
                <w:color w:val="auto"/>
              </w:rPr>
            </w:pPr>
            <w:r>
              <w:rPr>
                <w:rFonts w:ascii="Arial" w:cs="Arial" w:eastAsia="Arial" w:hAnsi="Arial"/>
                <w:sz w:val="14"/>
                <w:szCs w:val="14"/>
                <w:color w:val="032E5C"/>
              </w:rPr>
              <w:t>James C. O'Donnell</w:t>
            </w:r>
          </w:p>
        </w:tc>
        <w:tc>
          <w:tcPr>
            <w:tcW w:w="3320" w:type="dxa"/>
            <w:vAlign w:val="bottom"/>
          </w:tcPr>
          <w:p>
            <w:pPr>
              <w:ind w:left="660"/>
              <w:spacing w:after="0"/>
              <w:rPr>
                <w:sz w:val="20"/>
                <w:szCs w:val="20"/>
                <w:color w:val="auto"/>
              </w:rPr>
            </w:pPr>
            <w:r>
              <w:rPr>
                <w:rFonts w:ascii="Arial" w:cs="Arial" w:eastAsia="Arial" w:hAnsi="Arial"/>
                <w:sz w:val="14"/>
                <w:szCs w:val="14"/>
                <w:color w:val="032E5C"/>
              </w:rPr>
              <w:t>Gregory J. Sullivan</w:t>
            </w:r>
          </w:p>
        </w:tc>
      </w:tr>
      <w:tr>
        <w:trPr>
          <w:trHeight w:val="49"/>
        </w:trPr>
        <w:tc>
          <w:tcPr>
            <w:tcW w:w="2040" w:type="dxa"/>
            <w:vAlign w:val="bottom"/>
            <w:tcBorders>
              <w:bottom w:val="single" w:sz="8" w:color="98BDE2"/>
            </w:tcBorders>
          </w:tcPr>
          <w:p>
            <w:pPr>
              <w:spacing w:after="0"/>
              <w:rPr>
                <w:sz w:val="4"/>
                <w:szCs w:val="4"/>
                <w:color w:val="auto"/>
              </w:rPr>
            </w:pPr>
          </w:p>
        </w:tc>
        <w:tc>
          <w:tcPr>
            <w:tcW w:w="2560" w:type="dxa"/>
            <w:vAlign w:val="bottom"/>
            <w:tcBorders>
              <w:bottom w:val="single" w:sz="8" w:color="98BDE2"/>
            </w:tcBorders>
          </w:tcPr>
          <w:p>
            <w:pPr>
              <w:spacing w:after="0"/>
              <w:rPr>
                <w:sz w:val="4"/>
                <w:szCs w:val="4"/>
                <w:color w:val="auto"/>
              </w:rPr>
            </w:pPr>
          </w:p>
        </w:tc>
        <w:tc>
          <w:tcPr>
            <w:tcW w:w="2600" w:type="dxa"/>
            <w:vAlign w:val="bottom"/>
            <w:tcBorders>
              <w:bottom w:val="single" w:sz="8" w:color="98BDE2"/>
            </w:tcBorders>
          </w:tcPr>
          <w:p>
            <w:pPr>
              <w:spacing w:after="0"/>
              <w:rPr>
                <w:sz w:val="4"/>
                <w:szCs w:val="4"/>
                <w:color w:val="auto"/>
              </w:rPr>
            </w:pPr>
          </w:p>
        </w:tc>
        <w:tc>
          <w:tcPr>
            <w:tcW w:w="3320" w:type="dxa"/>
            <w:vAlign w:val="bottom"/>
            <w:tcBorders>
              <w:bottom w:val="single" w:sz="8" w:color="98BDE2"/>
            </w:tcBorders>
          </w:tcPr>
          <w:p>
            <w:pPr>
              <w:spacing w:after="0"/>
              <w:rPr>
                <w:sz w:val="4"/>
                <w:szCs w:val="4"/>
                <w:color w:val="auto"/>
              </w:rPr>
            </w:pPr>
          </w:p>
        </w:tc>
      </w:tr>
      <w:tr>
        <w:trPr>
          <w:trHeight w:val="228"/>
        </w:trPr>
        <w:tc>
          <w:tcPr>
            <w:tcW w:w="20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0" w:type="dxa"/>
            <w:vAlign w:val="bottom"/>
          </w:tcPr>
          <w:p>
            <w:pPr>
              <w:ind w:left="660"/>
              <w:spacing w:after="0"/>
              <w:rPr>
                <w:sz w:val="20"/>
                <w:szCs w:val="20"/>
                <w:color w:val="auto"/>
              </w:rPr>
            </w:pPr>
            <w:r>
              <w:rPr>
                <w:rFonts w:ascii="Arial" w:cs="Arial" w:eastAsia="Arial" w:hAnsi="Arial"/>
                <w:sz w:val="14"/>
                <w:szCs w:val="14"/>
                <w:color w:val="032E5C"/>
              </w:rPr>
              <w:t>David T. Shapiro</w:t>
            </w:r>
          </w:p>
        </w:tc>
        <w:tc>
          <w:tcPr>
            <w:tcW w:w="3320" w:type="dxa"/>
            <w:vAlign w:val="bottom"/>
          </w:tcPr>
          <w:p>
            <w:pPr>
              <w:spacing w:after="0"/>
              <w:rPr>
                <w:sz w:val="19"/>
                <w:szCs w:val="19"/>
                <w:color w:val="auto"/>
              </w:rPr>
            </w:pPr>
          </w:p>
        </w:tc>
      </w:tr>
      <w:tr>
        <w:trPr>
          <w:trHeight w:val="69"/>
        </w:trPr>
        <w:tc>
          <w:tcPr>
            <w:tcW w:w="2040" w:type="dxa"/>
            <w:vAlign w:val="bottom"/>
            <w:tcBorders>
              <w:bottom w:val="single" w:sz="8" w:color="3E5C7C"/>
            </w:tcBorders>
          </w:tcPr>
          <w:p>
            <w:pPr>
              <w:spacing w:after="0"/>
              <w:rPr>
                <w:sz w:val="6"/>
                <w:szCs w:val="6"/>
                <w:color w:val="auto"/>
              </w:rPr>
            </w:pPr>
          </w:p>
        </w:tc>
        <w:tc>
          <w:tcPr>
            <w:tcW w:w="2560" w:type="dxa"/>
            <w:vAlign w:val="bottom"/>
            <w:tcBorders>
              <w:bottom w:val="single" w:sz="8" w:color="3E5C7C"/>
            </w:tcBorders>
          </w:tcPr>
          <w:p>
            <w:pPr>
              <w:spacing w:after="0"/>
              <w:rPr>
                <w:sz w:val="6"/>
                <w:szCs w:val="6"/>
                <w:color w:val="auto"/>
              </w:rPr>
            </w:pPr>
          </w:p>
        </w:tc>
        <w:tc>
          <w:tcPr>
            <w:tcW w:w="2600" w:type="dxa"/>
            <w:vAlign w:val="bottom"/>
            <w:tcBorders>
              <w:bottom w:val="single" w:sz="8" w:color="3E5C7C"/>
            </w:tcBorders>
          </w:tcPr>
          <w:p>
            <w:pPr>
              <w:spacing w:after="0"/>
              <w:rPr>
                <w:sz w:val="6"/>
                <w:szCs w:val="6"/>
                <w:color w:val="auto"/>
              </w:rPr>
            </w:pPr>
          </w:p>
        </w:tc>
        <w:tc>
          <w:tcPr>
            <w:tcW w:w="3320" w:type="dxa"/>
            <w:vAlign w:val="bottom"/>
            <w:tcBorders>
              <w:bottom w:val="single" w:sz="8" w:color="3E5C7C"/>
            </w:tcBorders>
          </w:tcPr>
          <w:p>
            <w:pPr>
              <w:spacing w:after="0"/>
              <w:rPr>
                <w:sz w:val="6"/>
                <w:szCs w:val="6"/>
                <w:color w:val="auto"/>
              </w:rPr>
            </w:pPr>
          </w:p>
        </w:tc>
      </w:tr>
    </w:tbl>
    <w:p>
      <w:pPr>
        <w:spacing w:after="0" w:line="153" w:lineRule="exact"/>
        <w:rPr>
          <w:sz w:val="20"/>
          <w:szCs w:val="20"/>
          <w:color w:val="auto"/>
        </w:rPr>
      </w:pPr>
    </w:p>
    <w:p>
      <w:pPr>
        <w:ind w:left="340" w:right="40" w:hanging="332"/>
        <w:spacing w:after="0" w:line="273" w:lineRule="auto"/>
        <w:tabs>
          <w:tab w:leader="none" w:pos="340" w:val="left"/>
        </w:tabs>
        <w:numPr>
          <w:ilvl w:val="0"/>
          <w:numId w:val="70"/>
        </w:numPr>
        <w:rPr>
          <w:rFonts w:ascii="Arial" w:cs="Arial" w:eastAsia="Arial" w:hAnsi="Arial"/>
          <w:sz w:val="14"/>
          <w:szCs w:val="14"/>
          <w:color w:val="29292B"/>
        </w:rPr>
      </w:pPr>
      <w:r>
        <w:rPr>
          <w:rFonts w:ascii="Arial" w:cs="Arial" w:eastAsia="Arial" w:hAnsi="Arial"/>
          <w:sz w:val="14"/>
          <w:szCs w:val="14"/>
          <w:color w:val="29292B"/>
        </w:rPr>
        <w:t>The amounts shown for Compensation Actually Paid have been calculated in accordance with Item 402(v) of Regulation S-K and do not reflect compensation actually earned, realized, or received by the Company’s NEOs. These amounts reflect the amounts reported in the Summary Compensation Table Total with certain adjustments as described in footnote 3 below.</w:t>
      </w:r>
    </w:p>
    <w:p>
      <w:pPr>
        <w:spacing w:after="0" w:line="58" w:lineRule="exact"/>
        <w:rPr>
          <w:rFonts w:ascii="Arial" w:cs="Arial" w:eastAsia="Arial" w:hAnsi="Arial"/>
          <w:sz w:val="14"/>
          <w:szCs w:val="14"/>
          <w:color w:val="29292B"/>
        </w:rPr>
      </w:pPr>
    </w:p>
    <w:p>
      <w:pPr>
        <w:ind w:left="340" w:right="180" w:hanging="332"/>
        <w:spacing w:after="0" w:line="267" w:lineRule="auto"/>
        <w:tabs>
          <w:tab w:leader="none" w:pos="340" w:val="left"/>
        </w:tabs>
        <w:numPr>
          <w:ilvl w:val="0"/>
          <w:numId w:val="70"/>
        </w:numPr>
        <w:rPr>
          <w:rFonts w:ascii="Arial" w:cs="Arial" w:eastAsia="Arial" w:hAnsi="Arial"/>
          <w:sz w:val="14"/>
          <w:szCs w:val="14"/>
          <w:color w:val="29292B"/>
        </w:rPr>
      </w:pPr>
      <w:r>
        <w:rPr>
          <w:rFonts w:ascii="Arial" w:cs="Arial" w:eastAsia="Arial" w:hAnsi="Arial"/>
          <w:sz w:val="14"/>
          <w:szCs w:val="14"/>
          <w:color w:val="29292B"/>
        </w:rPr>
        <w:t>Compensation Actually Paid reflects the exclusions and inclusions of certain amounts for the PEOs and the Non-PEO NEOs computed in accordance with Item 402(v) of Regulation S-K as set forth below. Adjusted equity values are calculated in accordance with FASB ASC Topic 718. The same valuation methodologies to create the underlying assumptions were used to calculate the fair values of equity awards as those disclosed at the time of grant. Amounts in the Exclusion of Stock Awards and Option Awards column are the totals from the Stock Awards and Option Awards columns set forth in the Summary Compensation Table. The Company did not have a defined benefit pension plan in the covered years, so no pension adjustments were made.</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74</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210"/>
        </w:trPr>
        <w:tc>
          <w:tcPr>
            <w:tcW w:w="1660" w:type="dxa"/>
            <w:vAlign w:val="bottom"/>
            <w:gridSpan w:val="3"/>
          </w:tcPr>
          <w:p>
            <w:pPr>
              <w:jc w:val="center"/>
              <w:ind w:right="468"/>
              <w:spacing w:after="0"/>
              <w:rPr>
                <w:sz w:val="20"/>
                <w:szCs w:val="20"/>
                <w:color w:val="auto"/>
              </w:rPr>
            </w:pPr>
            <w:r>
              <w:rPr>
                <w:rFonts w:ascii="Arial" w:cs="Arial" w:eastAsia="Arial" w:hAnsi="Arial"/>
                <w:sz w:val="14"/>
                <w:szCs w:val="14"/>
                <w:color w:val="032E5C"/>
              </w:rPr>
              <w:t>Table of Contents</w:t>
            </w:r>
          </w:p>
        </w:tc>
        <w:tc>
          <w:tcPr>
            <w:tcW w:w="2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3"/>
            <w:vMerge w:val="restart"/>
            <w:shd w:val="clear" w:color="auto" w:fill="98BDE2"/>
          </w:tcPr>
          <w:p>
            <w:pPr>
              <w:ind w:left="220"/>
              <w:spacing w:after="0"/>
              <w:rPr>
                <w:sz w:val="20"/>
                <w:szCs w:val="20"/>
                <w:color w:val="auto"/>
              </w:rPr>
            </w:pPr>
            <w:r>
              <w:rPr>
                <w:rFonts w:ascii="Arial" w:cs="Arial" w:eastAsia="Arial" w:hAnsi="Arial"/>
                <w:sz w:val="13"/>
                <w:szCs w:val="13"/>
                <w:b w:val="1"/>
                <w:bCs w:val="1"/>
                <w:color w:val="032E5C"/>
              </w:rPr>
              <w:t>PAY VERSUS PERFORMANCE</w:t>
            </w: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gridSpan w:val="3"/>
            <w:vMerge w:val="continue"/>
            <w:shd w:val="clear" w:color="auto" w:fill="98BDE2"/>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shd w:val="clear" w:color="auto" w:fill="98BDE2"/>
          </w:tcPr>
          <w:p>
            <w:pPr>
              <w:spacing w:after="0"/>
              <w:rPr>
                <w:sz w:val="10"/>
                <w:szCs w:val="10"/>
                <w:color w:val="auto"/>
              </w:rPr>
            </w:pPr>
          </w:p>
        </w:tc>
        <w:tc>
          <w:tcPr>
            <w:tcW w:w="100" w:type="dxa"/>
            <w:vAlign w:val="bottom"/>
            <w:shd w:val="clear" w:color="auto" w:fill="98BDE2"/>
          </w:tcPr>
          <w:p>
            <w:pPr>
              <w:spacing w:after="0"/>
              <w:rPr>
                <w:sz w:val="10"/>
                <w:szCs w:val="10"/>
                <w:color w:val="auto"/>
              </w:rPr>
            </w:pPr>
          </w:p>
        </w:tc>
        <w:tc>
          <w:tcPr>
            <w:tcW w:w="380" w:type="dxa"/>
            <w:vAlign w:val="bottom"/>
            <w:shd w:val="clear" w:color="auto" w:fill="98BDE2"/>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80" w:type="dxa"/>
            <w:vAlign w:val="bottom"/>
            <w:shd w:val="clear" w:color="auto" w:fill="98BDE2"/>
          </w:tcPr>
          <w:p>
            <w:pPr>
              <w:spacing w:after="0"/>
              <w:rPr>
                <w:sz w:val="16"/>
                <w:szCs w:val="16"/>
                <w:color w:val="auto"/>
              </w:rPr>
            </w:pPr>
          </w:p>
        </w:tc>
        <w:tc>
          <w:tcPr>
            <w:tcW w:w="1260" w:type="dxa"/>
            <w:vAlign w:val="bottom"/>
            <w:shd w:val="clear" w:color="auto" w:fill="98BDE2"/>
          </w:tcPr>
          <w:p>
            <w:pPr>
              <w:spacing w:after="0"/>
              <w:rPr>
                <w:sz w:val="16"/>
                <w:szCs w:val="16"/>
                <w:color w:val="auto"/>
              </w:rPr>
            </w:pPr>
          </w:p>
        </w:tc>
        <w:tc>
          <w:tcPr>
            <w:tcW w:w="26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Summary Compensation</w:t>
            </w:r>
          </w:p>
        </w:tc>
        <w:tc>
          <w:tcPr>
            <w:tcW w:w="2460" w:type="dxa"/>
            <w:vAlign w:val="bottom"/>
            <w:shd w:val="clear" w:color="auto" w:fill="98BDE2"/>
          </w:tcPr>
          <w:p>
            <w:pPr>
              <w:spacing w:after="0"/>
              <w:rPr>
                <w:sz w:val="16"/>
                <w:szCs w:val="16"/>
                <w:color w:val="auto"/>
              </w:rPr>
            </w:pPr>
          </w:p>
        </w:tc>
        <w:tc>
          <w:tcPr>
            <w:tcW w:w="2080" w:type="dxa"/>
            <w:vAlign w:val="bottom"/>
            <w:shd w:val="clear" w:color="auto" w:fill="98BDE2"/>
          </w:tcPr>
          <w:p>
            <w:pPr>
              <w:spacing w:after="0"/>
              <w:rPr>
                <w:sz w:val="16"/>
                <w:szCs w:val="16"/>
                <w:color w:val="auto"/>
              </w:rPr>
            </w:pPr>
          </w:p>
        </w:tc>
        <w:tc>
          <w:tcPr>
            <w:tcW w:w="100" w:type="dxa"/>
            <w:vAlign w:val="bottom"/>
            <w:shd w:val="clear" w:color="auto" w:fill="98BDE2"/>
          </w:tcPr>
          <w:p>
            <w:pPr>
              <w:spacing w:after="0"/>
              <w:rPr>
                <w:sz w:val="16"/>
                <w:szCs w:val="16"/>
                <w:color w:val="auto"/>
              </w:rPr>
            </w:pPr>
          </w:p>
        </w:tc>
        <w:tc>
          <w:tcPr>
            <w:tcW w:w="1880" w:type="dxa"/>
            <w:vAlign w:val="bottom"/>
            <w:gridSpan w:val="2"/>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Total Compensation</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0" w:type="dxa"/>
            <w:vAlign w:val="bottom"/>
            <w:shd w:val="clear" w:color="auto" w:fill="98BDE2"/>
          </w:tcPr>
          <w:p>
            <w:pPr>
              <w:spacing w:after="0"/>
              <w:rPr>
                <w:sz w:val="15"/>
                <w:szCs w:val="15"/>
                <w:color w:val="auto"/>
              </w:rPr>
            </w:pPr>
          </w:p>
        </w:tc>
        <w:tc>
          <w:tcPr>
            <w:tcW w:w="1260" w:type="dxa"/>
            <w:vAlign w:val="bottom"/>
            <w:shd w:val="clear" w:color="auto" w:fill="98BDE2"/>
          </w:tcPr>
          <w:p>
            <w:pPr>
              <w:spacing w:after="0"/>
              <w:rPr>
                <w:sz w:val="15"/>
                <w:szCs w:val="15"/>
                <w:color w:val="auto"/>
              </w:rPr>
            </w:pPr>
          </w:p>
        </w:tc>
        <w:tc>
          <w:tcPr>
            <w:tcW w:w="26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Table Total for Kirsten A.</w:t>
            </w:r>
          </w:p>
        </w:tc>
        <w:tc>
          <w:tcPr>
            <w:tcW w:w="2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Exclusion of Stock Awards and</w:t>
            </w:r>
          </w:p>
        </w:tc>
        <w:tc>
          <w:tcPr>
            <w:tcW w:w="20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Inclusion of Adjusted Equity</w:t>
            </w:r>
          </w:p>
        </w:tc>
        <w:tc>
          <w:tcPr>
            <w:tcW w:w="1980" w:type="dxa"/>
            <w:vAlign w:val="bottom"/>
            <w:gridSpan w:val="3"/>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Actually Paid to Kirsten A.</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80" w:type="dxa"/>
            <w:vAlign w:val="bottom"/>
            <w:shd w:val="clear" w:color="auto" w:fill="98BDE2"/>
          </w:tcPr>
          <w:p>
            <w:pPr>
              <w:spacing w:after="0"/>
              <w:rPr>
                <w:sz w:val="15"/>
                <w:szCs w:val="15"/>
                <w:color w:val="auto"/>
              </w:rPr>
            </w:pPr>
          </w:p>
        </w:tc>
        <w:tc>
          <w:tcPr>
            <w:tcW w:w="1260" w:type="dxa"/>
            <w:vAlign w:val="bottom"/>
            <w:vMerge w:val="restart"/>
            <w:shd w:val="clear" w:color="auto" w:fill="98BDE2"/>
          </w:tcPr>
          <w:p>
            <w:pPr>
              <w:jc w:val="center"/>
              <w:ind w:right="848"/>
              <w:spacing w:after="0"/>
              <w:rPr>
                <w:sz w:val="20"/>
                <w:szCs w:val="20"/>
                <w:color w:val="auto"/>
              </w:rPr>
            </w:pPr>
            <w:r>
              <w:rPr>
                <w:rFonts w:ascii="Arial" w:cs="Arial" w:eastAsia="Arial" w:hAnsi="Arial"/>
                <w:sz w:val="14"/>
                <w:szCs w:val="14"/>
                <w:b w:val="1"/>
                <w:bCs w:val="1"/>
                <w:color w:val="032E5C"/>
                <w:w w:val="98"/>
              </w:rPr>
              <w:t>Year</w:t>
            </w:r>
          </w:p>
        </w:tc>
        <w:tc>
          <w:tcPr>
            <w:tcW w:w="512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Lynch Option Awards for Kirsten A. Lynch</w:t>
            </w:r>
          </w:p>
        </w:tc>
        <w:tc>
          <w:tcPr>
            <w:tcW w:w="20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Values for Kirsten A. Lynch</w:t>
            </w:r>
          </w:p>
        </w:tc>
        <w:tc>
          <w:tcPr>
            <w:tcW w:w="100" w:type="dxa"/>
            <w:vAlign w:val="bottom"/>
            <w:shd w:val="clear" w:color="auto" w:fill="98BDE2"/>
          </w:tcPr>
          <w:p>
            <w:pPr>
              <w:spacing w:after="0"/>
              <w:rPr>
                <w:sz w:val="15"/>
                <w:szCs w:val="15"/>
                <w:color w:val="auto"/>
              </w:rPr>
            </w:pPr>
          </w:p>
        </w:tc>
        <w:tc>
          <w:tcPr>
            <w:tcW w:w="1880" w:type="dxa"/>
            <w:vAlign w:val="bottom"/>
            <w:gridSpan w:val="2"/>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Lynch</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80" w:type="dxa"/>
            <w:vAlign w:val="bottom"/>
            <w:tcBorders>
              <w:bottom w:val="single" w:sz="8" w:color="98BDE2"/>
            </w:tcBorders>
            <w:shd w:val="clear" w:color="auto" w:fill="98BDE2"/>
          </w:tcPr>
          <w:p>
            <w:pPr>
              <w:spacing w:after="0"/>
              <w:rPr>
                <w:sz w:val="20"/>
                <w:szCs w:val="20"/>
                <w:color w:val="auto"/>
              </w:rPr>
            </w:pPr>
          </w:p>
        </w:tc>
        <w:tc>
          <w:tcPr>
            <w:tcW w:w="1260" w:type="dxa"/>
            <w:vAlign w:val="bottom"/>
            <w:tcBorders>
              <w:bottom w:val="single" w:sz="8" w:color="98BDE2"/>
            </w:tcBorders>
            <w:vMerge w:val="continue"/>
            <w:shd w:val="clear" w:color="auto" w:fill="98BDE2"/>
          </w:tcPr>
          <w:p>
            <w:pPr>
              <w:spacing w:after="0"/>
              <w:rPr>
                <w:sz w:val="20"/>
                <w:szCs w:val="20"/>
                <w:color w:val="auto"/>
              </w:rPr>
            </w:pPr>
          </w:p>
        </w:tc>
        <w:tc>
          <w:tcPr>
            <w:tcW w:w="266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246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208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1880" w:type="dxa"/>
            <w:vAlign w:val="bottom"/>
            <w:tcBorders>
              <w:bottom w:val="single" w:sz="8" w:color="98BDE2"/>
            </w:tcBorders>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00" w:type="dxa"/>
            <w:vAlign w:val="bottom"/>
            <w:tcBorders>
              <w:bottom w:val="single" w:sz="8" w:color="98BDE2"/>
            </w:tcBorders>
            <w:shd w:val="clear" w:color="auto" w:fill="98BDE2"/>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660" w:type="dxa"/>
            <w:vAlign w:val="bottom"/>
            <w:gridSpan w:val="3"/>
          </w:tcPr>
          <w:p>
            <w:pPr>
              <w:jc w:val="center"/>
              <w:ind w:right="428"/>
              <w:spacing w:after="0"/>
              <w:rPr>
                <w:sz w:val="20"/>
                <w:szCs w:val="20"/>
                <w:color w:val="auto"/>
              </w:rPr>
            </w:pPr>
            <w:r>
              <w:rPr>
                <w:rFonts w:ascii="Arial" w:cs="Arial" w:eastAsia="Arial" w:hAnsi="Arial"/>
                <w:sz w:val="14"/>
                <w:szCs w:val="14"/>
                <w:color w:val="032E5C"/>
              </w:rPr>
              <w:t>2024</w:t>
            </w:r>
          </w:p>
        </w:tc>
        <w:tc>
          <w:tcPr>
            <w:tcW w:w="2660" w:type="dxa"/>
            <w:vAlign w:val="bottom"/>
          </w:tcPr>
          <w:p>
            <w:pPr>
              <w:jc w:val="right"/>
              <w:ind w:right="88"/>
              <w:spacing w:after="0"/>
              <w:rPr>
                <w:sz w:val="20"/>
                <w:szCs w:val="20"/>
                <w:color w:val="auto"/>
              </w:rPr>
            </w:pPr>
            <w:r>
              <w:rPr>
                <w:rFonts w:ascii="Arial" w:cs="Arial" w:eastAsia="Arial" w:hAnsi="Arial"/>
                <w:sz w:val="14"/>
                <w:szCs w:val="14"/>
                <w:color w:val="032E5C"/>
              </w:rPr>
              <w:t>6,288,586</w:t>
            </w:r>
          </w:p>
        </w:tc>
        <w:tc>
          <w:tcPr>
            <w:tcW w:w="2460" w:type="dxa"/>
            <w:vAlign w:val="bottom"/>
          </w:tcPr>
          <w:p>
            <w:pPr>
              <w:jc w:val="right"/>
              <w:spacing w:after="0"/>
              <w:rPr>
                <w:sz w:val="20"/>
                <w:szCs w:val="20"/>
                <w:color w:val="auto"/>
              </w:rPr>
            </w:pPr>
            <w:r>
              <w:rPr>
                <w:rFonts w:ascii="Arial" w:cs="Arial" w:eastAsia="Arial" w:hAnsi="Arial"/>
                <w:sz w:val="14"/>
                <w:szCs w:val="14"/>
                <w:color w:val="032E5C"/>
              </w:rPr>
              <w:t>(4,912,898)</w:t>
            </w:r>
          </w:p>
        </w:tc>
        <w:tc>
          <w:tcPr>
            <w:tcW w:w="2080" w:type="dxa"/>
            <w:vAlign w:val="bottom"/>
          </w:tcPr>
          <w:p>
            <w:pPr>
              <w:jc w:val="right"/>
              <w:ind w:right="48"/>
              <w:spacing w:after="0"/>
              <w:rPr>
                <w:sz w:val="20"/>
                <w:szCs w:val="20"/>
                <w:color w:val="auto"/>
              </w:rPr>
            </w:pPr>
            <w:r>
              <w:rPr>
                <w:rFonts w:ascii="Arial" w:cs="Arial" w:eastAsia="Arial" w:hAnsi="Arial"/>
                <w:sz w:val="14"/>
                <w:szCs w:val="14"/>
                <w:color w:val="032E5C"/>
              </w:rPr>
              <w:t>360,844</w:t>
            </w:r>
          </w:p>
        </w:tc>
        <w:tc>
          <w:tcPr>
            <w:tcW w:w="1880" w:type="dxa"/>
            <w:vAlign w:val="bottom"/>
            <w:gridSpan w:val="2"/>
          </w:tcPr>
          <w:p>
            <w:pPr>
              <w:jc w:val="right"/>
              <w:spacing w:after="0"/>
              <w:rPr>
                <w:sz w:val="20"/>
                <w:szCs w:val="20"/>
                <w:color w:val="auto"/>
              </w:rPr>
            </w:pPr>
            <w:r>
              <w:rPr>
                <w:rFonts w:ascii="Arial" w:cs="Arial" w:eastAsia="Arial" w:hAnsi="Arial"/>
                <w:sz w:val="14"/>
                <w:szCs w:val="14"/>
                <w:color w:val="032E5C"/>
              </w:rPr>
              <w:t>1,736,532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0" w:type="dxa"/>
            <w:vAlign w:val="bottom"/>
            <w:gridSpan w:val="2"/>
          </w:tcPr>
          <w:p>
            <w:pPr>
              <w:spacing w:after="0" w:line="20" w:lineRule="exact"/>
              <w:rPr>
                <w:sz w:val="1"/>
                <w:szCs w:val="1"/>
                <w:color w:val="auto"/>
              </w:rPr>
            </w:pPr>
          </w:p>
        </w:tc>
        <w:tc>
          <w:tcPr>
            <w:tcW w:w="1260" w:type="dxa"/>
            <w:vAlign w:val="bottom"/>
            <w:tcBorders>
              <w:bottom w:val="single" w:sz="8" w:color="98BDE2"/>
            </w:tcBorders>
          </w:tcPr>
          <w:p>
            <w:pPr>
              <w:spacing w:after="0" w:line="20" w:lineRule="exact"/>
              <w:rPr>
                <w:sz w:val="1"/>
                <w:szCs w:val="1"/>
                <w:color w:val="auto"/>
              </w:rPr>
            </w:pPr>
          </w:p>
        </w:tc>
        <w:tc>
          <w:tcPr>
            <w:tcW w:w="2660" w:type="dxa"/>
            <w:vAlign w:val="bottom"/>
            <w:tcBorders>
              <w:bottom w:val="single" w:sz="8" w:color="98BDE2"/>
            </w:tcBorders>
          </w:tcPr>
          <w:p>
            <w:pPr>
              <w:spacing w:after="0" w:line="20" w:lineRule="exact"/>
              <w:rPr>
                <w:sz w:val="1"/>
                <w:szCs w:val="1"/>
                <w:color w:val="auto"/>
              </w:rPr>
            </w:pPr>
          </w:p>
        </w:tc>
        <w:tc>
          <w:tcPr>
            <w:tcW w:w="2460" w:type="dxa"/>
            <w:vAlign w:val="bottom"/>
            <w:tcBorders>
              <w:bottom w:val="single" w:sz="8" w:color="98BDE2"/>
            </w:tcBorders>
          </w:tcPr>
          <w:p>
            <w:pPr>
              <w:spacing w:after="0" w:line="20" w:lineRule="exact"/>
              <w:rPr>
                <w:sz w:val="1"/>
                <w:szCs w:val="1"/>
                <w:color w:val="auto"/>
              </w:rPr>
            </w:pPr>
          </w:p>
        </w:tc>
        <w:tc>
          <w:tcPr>
            <w:tcW w:w="2080" w:type="dxa"/>
            <w:vAlign w:val="bottom"/>
            <w:tcBorders>
              <w:bottom w:val="single" w:sz="8" w:color="98BDE2"/>
            </w:tcBorders>
          </w:tcPr>
          <w:p>
            <w:pPr>
              <w:spacing w:after="0" w:line="20" w:lineRule="exact"/>
              <w:rPr>
                <w:sz w:val="1"/>
                <w:szCs w:val="1"/>
                <w:color w:val="auto"/>
              </w:rPr>
            </w:pPr>
          </w:p>
        </w:tc>
        <w:tc>
          <w:tcPr>
            <w:tcW w:w="1880" w:type="dxa"/>
            <w:vAlign w:val="bottom"/>
            <w:tcBorders>
              <w:bottom w:val="single" w:sz="8" w:color="98BDE2"/>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660" w:type="dxa"/>
            <w:vAlign w:val="bottom"/>
            <w:gridSpan w:val="3"/>
          </w:tcPr>
          <w:p>
            <w:pPr>
              <w:jc w:val="center"/>
              <w:ind w:right="428"/>
              <w:spacing w:after="0"/>
              <w:rPr>
                <w:sz w:val="20"/>
                <w:szCs w:val="20"/>
                <w:color w:val="auto"/>
              </w:rPr>
            </w:pPr>
            <w:r>
              <w:rPr>
                <w:rFonts w:ascii="Arial" w:cs="Arial" w:eastAsia="Arial" w:hAnsi="Arial"/>
                <w:sz w:val="14"/>
                <w:szCs w:val="14"/>
                <w:color w:val="032E5C"/>
              </w:rPr>
              <w:t>2023</w:t>
            </w:r>
          </w:p>
        </w:tc>
        <w:tc>
          <w:tcPr>
            <w:tcW w:w="2660" w:type="dxa"/>
            <w:vAlign w:val="bottom"/>
          </w:tcPr>
          <w:p>
            <w:pPr>
              <w:jc w:val="right"/>
              <w:ind w:right="88"/>
              <w:spacing w:after="0"/>
              <w:rPr>
                <w:sz w:val="20"/>
                <w:szCs w:val="20"/>
                <w:color w:val="auto"/>
              </w:rPr>
            </w:pPr>
            <w:r>
              <w:rPr>
                <w:rFonts w:ascii="Arial" w:cs="Arial" w:eastAsia="Arial" w:hAnsi="Arial"/>
                <w:sz w:val="14"/>
                <w:szCs w:val="14"/>
                <w:color w:val="032E5C"/>
              </w:rPr>
              <w:t>6,195,302</w:t>
            </w:r>
          </w:p>
        </w:tc>
        <w:tc>
          <w:tcPr>
            <w:tcW w:w="2460" w:type="dxa"/>
            <w:vAlign w:val="bottom"/>
          </w:tcPr>
          <w:p>
            <w:pPr>
              <w:jc w:val="right"/>
              <w:spacing w:after="0"/>
              <w:rPr>
                <w:sz w:val="20"/>
                <w:szCs w:val="20"/>
                <w:color w:val="auto"/>
              </w:rPr>
            </w:pPr>
            <w:r>
              <w:rPr>
                <w:rFonts w:ascii="Arial" w:cs="Arial" w:eastAsia="Arial" w:hAnsi="Arial"/>
                <w:sz w:val="14"/>
                <w:szCs w:val="14"/>
                <w:color w:val="032E5C"/>
              </w:rPr>
              <w:t>(4,769,816)</w:t>
            </w:r>
          </w:p>
        </w:tc>
        <w:tc>
          <w:tcPr>
            <w:tcW w:w="2080" w:type="dxa"/>
            <w:vAlign w:val="bottom"/>
          </w:tcPr>
          <w:p>
            <w:pPr>
              <w:jc w:val="right"/>
              <w:ind w:right="48"/>
              <w:spacing w:after="0"/>
              <w:rPr>
                <w:sz w:val="20"/>
                <w:szCs w:val="20"/>
                <w:color w:val="auto"/>
              </w:rPr>
            </w:pPr>
            <w:r>
              <w:rPr>
                <w:rFonts w:ascii="Arial" w:cs="Arial" w:eastAsia="Arial" w:hAnsi="Arial"/>
                <w:sz w:val="14"/>
                <w:szCs w:val="14"/>
                <w:color w:val="032E5C"/>
              </w:rPr>
              <w:t>5,735,981</w:t>
            </w:r>
          </w:p>
        </w:tc>
        <w:tc>
          <w:tcPr>
            <w:tcW w:w="1880" w:type="dxa"/>
            <w:vAlign w:val="bottom"/>
            <w:gridSpan w:val="2"/>
          </w:tcPr>
          <w:p>
            <w:pPr>
              <w:jc w:val="right"/>
              <w:spacing w:after="0"/>
              <w:rPr>
                <w:sz w:val="20"/>
                <w:szCs w:val="20"/>
                <w:color w:val="auto"/>
              </w:rPr>
            </w:pPr>
            <w:r>
              <w:rPr>
                <w:rFonts w:ascii="Arial" w:cs="Arial" w:eastAsia="Arial" w:hAnsi="Arial"/>
                <w:sz w:val="14"/>
                <w:szCs w:val="14"/>
                <w:color w:val="032E5C"/>
              </w:rPr>
              <w:t>7,161,467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0" w:type="dxa"/>
            <w:vAlign w:val="bottom"/>
            <w:gridSpan w:val="2"/>
          </w:tcPr>
          <w:p>
            <w:pPr>
              <w:spacing w:after="0" w:line="20" w:lineRule="exact"/>
              <w:rPr>
                <w:sz w:val="1"/>
                <w:szCs w:val="1"/>
                <w:color w:val="auto"/>
              </w:rPr>
            </w:pPr>
          </w:p>
        </w:tc>
        <w:tc>
          <w:tcPr>
            <w:tcW w:w="1260" w:type="dxa"/>
            <w:vAlign w:val="bottom"/>
            <w:tcBorders>
              <w:bottom w:val="single" w:sz="8" w:color="98BDE2"/>
            </w:tcBorders>
          </w:tcPr>
          <w:p>
            <w:pPr>
              <w:spacing w:after="0" w:line="20" w:lineRule="exact"/>
              <w:rPr>
                <w:sz w:val="1"/>
                <w:szCs w:val="1"/>
                <w:color w:val="auto"/>
              </w:rPr>
            </w:pPr>
          </w:p>
        </w:tc>
        <w:tc>
          <w:tcPr>
            <w:tcW w:w="2660" w:type="dxa"/>
            <w:vAlign w:val="bottom"/>
            <w:tcBorders>
              <w:bottom w:val="single" w:sz="8" w:color="98BDE2"/>
            </w:tcBorders>
          </w:tcPr>
          <w:p>
            <w:pPr>
              <w:spacing w:after="0" w:line="20" w:lineRule="exact"/>
              <w:rPr>
                <w:sz w:val="1"/>
                <w:szCs w:val="1"/>
                <w:color w:val="auto"/>
              </w:rPr>
            </w:pPr>
          </w:p>
        </w:tc>
        <w:tc>
          <w:tcPr>
            <w:tcW w:w="2460" w:type="dxa"/>
            <w:vAlign w:val="bottom"/>
            <w:tcBorders>
              <w:bottom w:val="single" w:sz="8" w:color="98BDE2"/>
            </w:tcBorders>
          </w:tcPr>
          <w:p>
            <w:pPr>
              <w:spacing w:after="0" w:line="20" w:lineRule="exact"/>
              <w:rPr>
                <w:sz w:val="1"/>
                <w:szCs w:val="1"/>
                <w:color w:val="auto"/>
              </w:rPr>
            </w:pPr>
          </w:p>
        </w:tc>
        <w:tc>
          <w:tcPr>
            <w:tcW w:w="2080" w:type="dxa"/>
            <w:vAlign w:val="bottom"/>
            <w:tcBorders>
              <w:bottom w:val="single" w:sz="8" w:color="98BDE2"/>
            </w:tcBorders>
          </w:tcPr>
          <w:p>
            <w:pPr>
              <w:spacing w:after="0" w:line="20" w:lineRule="exact"/>
              <w:rPr>
                <w:sz w:val="1"/>
                <w:szCs w:val="1"/>
                <w:color w:val="auto"/>
              </w:rPr>
            </w:pPr>
          </w:p>
        </w:tc>
        <w:tc>
          <w:tcPr>
            <w:tcW w:w="1880" w:type="dxa"/>
            <w:vAlign w:val="bottom"/>
            <w:tcBorders>
              <w:bottom w:val="single" w:sz="8" w:color="98BDE2"/>
            </w:tcBorders>
            <w:gridSpan w:val="2"/>
          </w:tcPr>
          <w:p>
            <w:pPr>
              <w:spacing w:after="0" w:line="20" w:lineRule="exact"/>
              <w:rPr>
                <w:sz w:val="1"/>
                <w:szCs w:val="1"/>
                <w:color w:val="auto"/>
              </w:rPr>
            </w:pPr>
          </w:p>
        </w:tc>
        <w:tc>
          <w:tcPr>
            <w:tcW w:w="100" w:type="dxa"/>
            <w:vAlign w:val="bottom"/>
            <w:tcBorders>
              <w:bottom w:val="single" w:sz="8" w:color="98BDE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660" w:type="dxa"/>
            <w:vAlign w:val="bottom"/>
            <w:gridSpan w:val="3"/>
          </w:tcPr>
          <w:p>
            <w:pPr>
              <w:jc w:val="center"/>
              <w:ind w:right="428"/>
              <w:spacing w:after="0"/>
              <w:rPr>
                <w:sz w:val="20"/>
                <w:szCs w:val="20"/>
                <w:color w:val="auto"/>
              </w:rPr>
            </w:pPr>
            <w:r>
              <w:rPr>
                <w:rFonts w:ascii="Arial" w:cs="Arial" w:eastAsia="Arial" w:hAnsi="Arial"/>
                <w:sz w:val="14"/>
                <w:szCs w:val="14"/>
                <w:color w:val="032E5C"/>
              </w:rPr>
              <w:t>2022</w:t>
            </w:r>
          </w:p>
        </w:tc>
        <w:tc>
          <w:tcPr>
            <w:tcW w:w="2660" w:type="dxa"/>
            <w:vAlign w:val="bottom"/>
          </w:tcPr>
          <w:p>
            <w:pPr>
              <w:jc w:val="right"/>
              <w:ind w:right="88"/>
              <w:spacing w:after="0"/>
              <w:rPr>
                <w:sz w:val="20"/>
                <w:szCs w:val="20"/>
                <w:color w:val="auto"/>
              </w:rPr>
            </w:pPr>
            <w:r>
              <w:rPr>
                <w:rFonts w:ascii="Arial" w:cs="Arial" w:eastAsia="Arial" w:hAnsi="Arial"/>
                <w:sz w:val="14"/>
                <w:szCs w:val="14"/>
                <w:color w:val="032E5C"/>
              </w:rPr>
              <w:t>6,609,628</w:t>
            </w:r>
          </w:p>
        </w:tc>
        <w:tc>
          <w:tcPr>
            <w:tcW w:w="2460" w:type="dxa"/>
            <w:vAlign w:val="bottom"/>
          </w:tcPr>
          <w:p>
            <w:pPr>
              <w:jc w:val="right"/>
              <w:spacing w:after="0"/>
              <w:rPr>
                <w:sz w:val="20"/>
                <w:szCs w:val="20"/>
                <w:color w:val="auto"/>
              </w:rPr>
            </w:pPr>
            <w:r>
              <w:rPr>
                <w:rFonts w:ascii="Arial" w:cs="Arial" w:eastAsia="Arial" w:hAnsi="Arial"/>
                <w:sz w:val="14"/>
                <w:szCs w:val="14"/>
                <w:color w:val="032E5C"/>
              </w:rPr>
              <w:t>(4,499,972)</w:t>
            </w:r>
          </w:p>
        </w:tc>
        <w:tc>
          <w:tcPr>
            <w:tcW w:w="2080" w:type="dxa"/>
            <w:vAlign w:val="bottom"/>
          </w:tcPr>
          <w:p>
            <w:pPr>
              <w:jc w:val="right"/>
              <w:ind w:right="48"/>
              <w:spacing w:after="0"/>
              <w:rPr>
                <w:sz w:val="20"/>
                <w:szCs w:val="20"/>
                <w:color w:val="auto"/>
              </w:rPr>
            </w:pPr>
            <w:r>
              <w:rPr>
                <w:rFonts w:ascii="Arial" w:cs="Arial" w:eastAsia="Arial" w:hAnsi="Arial"/>
                <w:sz w:val="14"/>
                <w:szCs w:val="14"/>
                <w:color w:val="032E5C"/>
              </w:rPr>
              <w:t>2,574,871</w:t>
            </w:r>
          </w:p>
        </w:tc>
        <w:tc>
          <w:tcPr>
            <w:tcW w:w="1880" w:type="dxa"/>
            <w:vAlign w:val="bottom"/>
            <w:gridSpan w:val="2"/>
          </w:tcPr>
          <w:p>
            <w:pPr>
              <w:jc w:val="right"/>
              <w:spacing w:after="0"/>
              <w:rPr>
                <w:sz w:val="20"/>
                <w:szCs w:val="20"/>
                <w:color w:val="auto"/>
              </w:rPr>
            </w:pPr>
            <w:r>
              <w:rPr>
                <w:rFonts w:ascii="Arial" w:cs="Arial" w:eastAsia="Arial" w:hAnsi="Arial"/>
                <w:sz w:val="14"/>
                <w:szCs w:val="14"/>
                <w:color w:val="032E5C"/>
              </w:rPr>
              <w:t>4,684,527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80" w:type="dxa"/>
            <w:vAlign w:val="bottom"/>
            <w:tcBorders>
              <w:bottom w:val="single" w:sz="8" w:color="032E5C"/>
            </w:tcBorders>
          </w:tcPr>
          <w:p>
            <w:pPr>
              <w:spacing w:after="0"/>
              <w:rPr>
                <w:sz w:val="2"/>
                <w:szCs w:val="2"/>
                <w:color w:val="auto"/>
              </w:rPr>
            </w:pPr>
          </w:p>
        </w:tc>
        <w:tc>
          <w:tcPr>
            <w:tcW w:w="1260" w:type="dxa"/>
            <w:vAlign w:val="bottom"/>
            <w:tcBorders>
              <w:bottom w:val="single" w:sz="8" w:color="032E5C"/>
            </w:tcBorders>
          </w:tcPr>
          <w:p>
            <w:pPr>
              <w:spacing w:after="0"/>
              <w:rPr>
                <w:sz w:val="2"/>
                <w:szCs w:val="2"/>
                <w:color w:val="auto"/>
              </w:rPr>
            </w:pPr>
          </w:p>
        </w:tc>
        <w:tc>
          <w:tcPr>
            <w:tcW w:w="2660" w:type="dxa"/>
            <w:vAlign w:val="bottom"/>
            <w:tcBorders>
              <w:bottom w:val="single" w:sz="8" w:color="032E5C"/>
            </w:tcBorders>
          </w:tcPr>
          <w:p>
            <w:pPr>
              <w:spacing w:after="0"/>
              <w:rPr>
                <w:sz w:val="2"/>
                <w:szCs w:val="2"/>
                <w:color w:val="auto"/>
              </w:rPr>
            </w:pPr>
          </w:p>
        </w:tc>
        <w:tc>
          <w:tcPr>
            <w:tcW w:w="2460" w:type="dxa"/>
            <w:vAlign w:val="bottom"/>
            <w:tcBorders>
              <w:bottom w:val="single" w:sz="8" w:color="032E5C"/>
            </w:tcBorders>
          </w:tcPr>
          <w:p>
            <w:pPr>
              <w:spacing w:after="0"/>
              <w:rPr>
                <w:sz w:val="2"/>
                <w:szCs w:val="2"/>
                <w:color w:val="auto"/>
              </w:rPr>
            </w:pPr>
          </w:p>
        </w:tc>
        <w:tc>
          <w:tcPr>
            <w:tcW w:w="2080" w:type="dxa"/>
            <w:vAlign w:val="bottom"/>
            <w:tcBorders>
              <w:bottom w:val="single" w:sz="8" w:color="032E5C"/>
            </w:tcBorders>
          </w:tcPr>
          <w:p>
            <w:pPr>
              <w:spacing w:after="0"/>
              <w:rPr>
                <w:sz w:val="2"/>
                <w:szCs w:val="2"/>
                <w:color w:val="auto"/>
              </w:rPr>
            </w:pPr>
          </w:p>
        </w:tc>
        <w:tc>
          <w:tcPr>
            <w:tcW w:w="100" w:type="dxa"/>
            <w:vAlign w:val="bottom"/>
            <w:tcBorders>
              <w:bottom w:val="single" w:sz="8" w:color="032E5C"/>
            </w:tcBorders>
          </w:tcPr>
          <w:p>
            <w:pPr>
              <w:spacing w:after="0"/>
              <w:rPr>
                <w:sz w:val="2"/>
                <w:szCs w:val="2"/>
                <w:color w:val="auto"/>
              </w:rPr>
            </w:pPr>
          </w:p>
        </w:tc>
        <w:tc>
          <w:tcPr>
            <w:tcW w:w="1780" w:type="dxa"/>
            <w:vAlign w:val="bottom"/>
            <w:tcBorders>
              <w:bottom w:val="single" w:sz="8" w:color="032E5C"/>
            </w:tcBorders>
          </w:tcPr>
          <w:p>
            <w:pPr>
              <w:spacing w:after="0"/>
              <w:rPr>
                <w:sz w:val="2"/>
                <w:szCs w:val="2"/>
                <w:color w:val="auto"/>
              </w:rPr>
            </w:pPr>
          </w:p>
        </w:tc>
        <w:tc>
          <w:tcPr>
            <w:tcW w:w="100" w:type="dxa"/>
            <w:vAlign w:val="bottom"/>
            <w:tcBorders>
              <w:bottom w:val="single" w:sz="8" w:color="032E5C"/>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80" w:type="dxa"/>
            <w:vAlign w:val="bottom"/>
            <w:shd w:val="clear" w:color="auto" w:fill="98BDE2"/>
          </w:tcPr>
          <w:p>
            <w:pPr>
              <w:spacing w:after="0"/>
              <w:rPr>
                <w:sz w:val="16"/>
                <w:szCs w:val="16"/>
                <w:color w:val="auto"/>
              </w:rPr>
            </w:pPr>
          </w:p>
        </w:tc>
        <w:tc>
          <w:tcPr>
            <w:tcW w:w="1260" w:type="dxa"/>
            <w:vAlign w:val="bottom"/>
            <w:shd w:val="clear" w:color="auto" w:fill="98BDE2"/>
          </w:tcPr>
          <w:p>
            <w:pPr>
              <w:spacing w:after="0"/>
              <w:rPr>
                <w:sz w:val="16"/>
                <w:szCs w:val="16"/>
                <w:color w:val="auto"/>
              </w:rPr>
            </w:pPr>
          </w:p>
        </w:tc>
        <w:tc>
          <w:tcPr>
            <w:tcW w:w="2660" w:type="dxa"/>
            <w:vAlign w:val="bottom"/>
            <w:shd w:val="clear" w:color="auto" w:fill="98BDE2"/>
          </w:tcPr>
          <w:p>
            <w:pPr>
              <w:spacing w:after="0"/>
              <w:rPr>
                <w:sz w:val="16"/>
                <w:szCs w:val="16"/>
                <w:color w:val="auto"/>
              </w:rPr>
            </w:pPr>
          </w:p>
        </w:tc>
        <w:tc>
          <w:tcPr>
            <w:tcW w:w="2460" w:type="dxa"/>
            <w:vAlign w:val="bottom"/>
            <w:shd w:val="clear" w:color="auto" w:fill="98BDE2"/>
          </w:tcPr>
          <w:p>
            <w:pPr>
              <w:spacing w:after="0"/>
              <w:rPr>
                <w:sz w:val="16"/>
                <w:szCs w:val="16"/>
                <w:color w:val="auto"/>
              </w:rPr>
            </w:pPr>
          </w:p>
        </w:tc>
        <w:tc>
          <w:tcPr>
            <w:tcW w:w="2080" w:type="dxa"/>
            <w:vAlign w:val="bottom"/>
            <w:shd w:val="clear" w:color="auto" w:fill="98BDE2"/>
          </w:tcPr>
          <w:p>
            <w:pPr>
              <w:spacing w:after="0"/>
              <w:rPr>
                <w:sz w:val="16"/>
                <w:szCs w:val="16"/>
                <w:color w:val="auto"/>
              </w:rPr>
            </w:pPr>
          </w:p>
        </w:tc>
        <w:tc>
          <w:tcPr>
            <w:tcW w:w="100" w:type="dxa"/>
            <w:vAlign w:val="bottom"/>
            <w:shd w:val="clear" w:color="auto" w:fill="98BDE2"/>
          </w:tcPr>
          <w:p>
            <w:pPr>
              <w:spacing w:after="0"/>
              <w:rPr>
                <w:sz w:val="16"/>
                <w:szCs w:val="16"/>
                <w:color w:val="auto"/>
              </w:rPr>
            </w:pPr>
          </w:p>
        </w:tc>
        <w:tc>
          <w:tcPr>
            <w:tcW w:w="1880" w:type="dxa"/>
            <w:vAlign w:val="bottom"/>
            <w:gridSpan w:val="2"/>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Total Compensation</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0" w:type="dxa"/>
            <w:vAlign w:val="bottom"/>
            <w:shd w:val="clear" w:color="auto" w:fill="98BDE2"/>
          </w:tcPr>
          <w:p>
            <w:pPr>
              <w:spacing w:after="0"/>
              <w:rPr>
                <w:sz w:val="15"/>
                <w:szCs w:val="15"/>
                <w:color w:val="auto"/>
              </w:rPr>
            </w:pPr>
          </w:p>
        </w:tc>
        <w:tc>
          <w:tcPr>
            <w:tcW w:w="1260" w:type="dxa"/>
            <w:vAlign w:val="bottom"/>
            <w:shd w:val="clear" w:color="auto" w:fill="98BDE2"/>
          </w:tcPr>
          <w:p>
            <w:pPr>
              <w:spacing w:after="0"/>
              <w:rPr>
                <w:sz w:val="15"/>
                <w:szCs w:val="15"/>
                <w:color w:val="auto"/>
              </w:rPr>
            </w:pPr>
          </w:p>
        </w:tc>
        <w:tc>
          <w:tcPr>
            <w:tcW w:w="26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Summary Compensation</w:t>
            </w:r>
          </w:p>
        </w:tc>
        <w:tc>
          <w:tcPr>
            <w:tcW w:w="2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Exclusion of Stock Awards and</w:t>
            </w:r>
          </w:p>
        </w:tc>
        <w:tc>
          <w:tcPr>
            <w:tcW w:w="20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Inclusion of Adjusted Equity</w:t>
            </w:r>
          </w:p>
        </w:tc>
        <w:tc>
          <w:tcPr>
            <w:tcW w:w="1980" w:type="dxa"/>
            <w:vAlign w:val="bottom"/>
            <w:gridSpan w:val="3"/>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Actually Paid to Robert A.</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80" w:type="dxa"/>
            <w:vAlign w:val="bottom"/>
            <w:shd w:val="clear" w:color="auto" w:fill="98BDE2"/>
          </w:tcPr>
          <w:p>
            <w:pPr>
              <w:spacing w:after="0"/>
              <w:rPr>
                <w:sz w:val="14"/>
                <w:szCs w:val="14"/>
                <w:color w:val="auto"/>
              </w:rPr>
            </w:pPr>
          </w:p>
        </w:tc>
        <w:tc>
          <w:tcPr>
            <w:tcW w:w="1260" w:type="dxa"/>
            <w:vAlign w:val="bottom"/>
            <w:shd w:val="clear" w:color="auto" w:fill="98BDE2"/>
          </w:tcPr>
          <w:p>
            <w:pPr>
              <w:spacing w:after="0"/>
              <w:rPr>
                <w:sz w:val="14"/>
                <w:szCs w:val="14"/>
                <w:color w:val="auto"/>
              </w:rPr>
            </w:pPr>
          </w:p>
        </w:tc>
        <w:tc>
          <w:tcPr>
            <w:tcW w:w="26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Table Total for Robert A. Katz</w:t>
            </w:r>
          </w:p>
        </w:tc>
        <w:tc>
          <w:tcPr>
            <w:tcW w:w="2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Option Awards for Robert A. Katz</w:t>
            </w:r>
          </w:p>
        </w:tc>
        <w:tc>
          <w:tcPr>
            <w:tcW w:w="20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Values for Robert A. Katz</w:t>
            </w:r>
          </w:p>
        </w:tc>
        <w:tc>
          <w:tcPr>
            <w:tcW w:w="100" w:type="dxa"/>
            <w:vAlign w:val="bottom"/>
            <w:shd w:val="clear" w:color="auto" w:fill="98BDE2"/>
          </w:tcPr>
          <w:p>
            <w:pPr>
              <w:spacing w:after="0"/>
              <w:rPr>
                <w:sz w:val="14"/>
                <w:szCs w:val="14"/>
                <w:color w:val="auto"/>
              </w:rPr>
            </w:pPr>
          </w:p>
        </w:tc>
        <w:tc>
          <w:tcPr>
            <w:tcW w:w="1880" w:type="dxa"/>
            <w:vAlign w:val="bottom"/>
            <w:gridSpan w:val="2"/>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Katz</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0" w:type="dxa"/>
            <w:vAlign w:val="bottom"/>
          </w:tcPr>
          <w:p>
            <w:pPr>
              <w:spacing w:after="0"/>
              <w:rPr>
                <w:sz w:val="21"/>
                <w:szCs w:val="21"/>
                <w:color w:val="auto"/>
              </w:rPr>
            </w:pPr>
          </w:p>
        </w:tc>
        <w:tc>
          <w:tcPr>
            <w:tcW w:w="80" w:type="dxa"/>
            <w:vAlign w:val="bottom"/>
            <w:tcBorders>
              <w:bottom w:val="single" w:sz="8" w:color="98BDE2"/>
            </w:tcBorders>
            <w:shd w:val="clear" w:color="auto" w:fill="98BDE2"/>
          </w:tcPr>
          <w:p>
            <w:pPr>
              <w:spacing w:after="0"/>
              <w:rPr>
                <w:sz w:val="21"/>
                <w:szCs w:val="21"/>
                <w:color w:val="auto"/>
              </w:rPr>
            </w:pPr>
          </w:p>
        </w:tc>
        <w:tc>
          <w:tcPr>
            <w:tcW w:w="1260" w:type="dxa"/>
            <w:vAlign w:val="bottom"/>
            <w:tcBorders>
              <w:bottom w:val="single" w:sz="8" w:color="98BDE2"/>
            </w:tcBorders>
            <w:shd w:val="clear" w:color="auto" w:fill="98BDE2"/>
          </w:tcPr>
          <w:p>
            <w:pPr>
              <w:jc w:val="center"/>
              <w:ind w:right="848"/>
              <w:spacing w:after="0"/>
              <w:rPr>
                <w:sz w:val="20"/>
                <w:szCs w:val="20"/>
                <w:color w:val="auto"/>
              </w:rPr>
            </w:pPr>
            <w:r>
              <w:rPr>
                <w:rFonts w:ascii="Arial" w:cs="Arial" w:eastAsia="Arial" w:hAnsi="Arial"/>
                <w:sz w:val="14"/>
                <w:szCs w:val="14"/>
                <w:b w:val="1"/>
                <w:bCs w:val="1"/>
                <w:color w:val="032E5C"/>
                <w:w w:val="98"/>
              </w:rPr>
              <w:t>Year</w:t>
            </w:r>
          </w:p>
        </w:tc>
        <w:tc>
          <w:tcPr>
            <w:tcW w:w="266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246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208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1880" w:type="dxa"/>
            <w:vAlign w:val="bottom"/>
            <w:tcBorders>
              <w:bottom w:val="single" w:sz="8" w:color="98BDE2"/>
            </w:tcBorders>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00" w:type="dxa"/>
            <w:vAlign w:val="bottom"/>
            <w:tcBorders>
              <w:bottom w:val="single" w:sz="8" w:color="98BDE2"/>
            </w:tcBorders>
            <w:shd w:val="clear" w:color="auto" w:fill="98BDE2"/>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660" w:type="dxa"/>
            <w:vAlign w:val="bottom"/>
            <w:gridSpan w:val="3"/>
          </w:tcPr>
          <w:p>
            <w:pPr>
              <w:jc w:val="center"/>
              <w:ind w:right="428"/>
              <w:spacing w:after="0"/>
              <w:rPr>
                <w:sz w:val="20"/>
                <w:szCs w:val="20"/>
                <w:color w:val="auto"/>
              </w:rPr>
            </w:pPr>
            <w:r>
              <w:rPr>
                <w:rFonts w:ascii="Arial" w:cs="Arial" w:eastAsia="Arial" w:hAnsi="Arial"/>
                <w:sz w:val="14"/>
                <w:szCs w:val="14"/>
                <w:color w:val="032E5C"/>
              </w:rPr>
              <w:t>2022</w:t>
            </w:r>
          </w:p>
        </w:tc>
        <w:tc>
          <w:tcPr>
            <w:tcW w:w="2660" w:type="dxa"/>
            <w:vAlign w:val="bottom"/>
          </w:tcPr>
          <w:p>
            <w:pPr>
              <w:jc w:val="right"/>
              <w:ind w:right="88"/>
              <w:spacing w:after="0"/>
              <w:rPr>
                <w:sz w:val="20"/>
                <w:szCs w:val="20"/>
                <w:color w:val="auto"/>
              </w:rPr>
            </w:pPr>
            <w:r>
              <w:rPr>
                <w:rFonts w:ascii="Arial" w:cs="Arial" w:eastAsia="Arial" w:hAnsi="Arial"/>
                <w:sz w:val="14"/>
                <w:szCs w:val="14"/>
                <w:color w:val="032E5C"/>
              </w:rPr>
              <w:t>2,022,454</w:t>
            </w:r>
          </w:p>
        </w:tc>
        <w:tc>
          <w:tcPr>
            <w:tcW w:w="2460" w:type="dxa"/>
            <w:vAlign w:val="bottom"/>
          </w:tcPr>
          <w:p>
            <w:pPr>
              <w:jc w:val="right"/>
              <w:spacing w:after="0"/>
              <w:rPr>
                <w:sz w:val="20"/>
                <w:szCs w:val="20"/>
                <w:color w:val="auto"/>
              </w:rPr>
            </w:pPr>
            <w:r>
              <w:rPr>
                <w:rFonts w:ascii="Arial" w:cs="Arial" w:eastAsia="Arial" w:hAnsi="Arial"/>
                <w:sz w:val="14"/>
                <w:szCs w:val="14"/>
                <w:color w:val="032E5C"/>
              </w:rPr>
              <w:t>(999,833)</w:t>
            </w:r>
          </w:p>
        </w:tc>
        <w:tc>
          <w:tcPr>
            <w:tcW w:w="2080" w:type="dxa"/>
            <w:vAlign w:val="bottom"/>
          </w:tcPr>
          <w:p>
            <w:pPr>
              <w:jc w:val="right"/>
              <w:ind w:right="48"/>
              <w:spacing w:after="0"/>
              <w:rPr>
                <w:sz w:val="20"/>
                <w:szCs w:val="20"/>
                <w:color w:val="auto"/>
              </w:rPr>
            </w:pPr>
            <w:r>
              <w:rPr>
                <w:rFonts w:ascii="Arial" w:cs="Arial" w:eastAsia="Arial" w:hAnsi="Arial"/>
                <w:sz w:val="14"/>
                <w:szCs w:val="14"/>
                <w:color w:val="032E5C"/>
              </w:rPr>
              <w:t>843,507</w:t>
            </w:r>
          </w:p>
        </w:tc>
        <w:tc>
          <w:tcPr>
            <w:tcW w:w="1880" w:type="dxa"/>
            <w:vAlign w:val="bottom"/>
            <w:gridSpan w:val="2"/>
          </w:tcPr>
          <w:p>
            <w:pPr>
              <w:jc w:val="right"/>
              <w:spacing w:after="0"/>
              <w:rPr>
                <w:sz w:val="20"/>
                <w:szCs w:val="20"/>
                <w:color w:val="auto"/>
              </w:rPr>
            </w:pPr>
            <w:r>
              <w:rPr>
                <w:rFonts w:ascii="Arial" w:cs="Arial" w:eastAsia="Arial" w:hAnsi="Arial"/>
                <w:sz w:val="14"/>
                <w:szCs w:val="14"/>
                <w:color w:val="032E5C"/>
              </w:rPr>
              <w:t>1,866,128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20" w:type="dxa"/>
            <w:vAlign w:val="bottom"/>
          </w:tcPr>
          <w:p>
            <w:pPr>
              <w:spacing w:after="0" w:line="20" w:lineRule="exact"/>
              <w:rPr>
                <w:sz w:val="1"/>
                <w:szCs w:val="1"/>
                <w:color w:val="auto"/>
              </w:rPr>
            </w:pPr>
          </w:p>
        </w:tc>
        <w:tc>
          <w:tcPr>
            <w:tcW w:w="1340" w:type="dxa"/>
            <w:vAlign w:val="bottom"/>
            <w:tcBorders>
              <w:bottom w:val="single" w:sz="8" w:color="98BDE2"/>
            </w:tcBorders>
            <w:gridSpan w:val="2"/>
          </w:tcPr>
          <w:p>
            <w:pPr>
              <w:spacing w:after="0" w:line="20" w:lineRule="exact"/>
              <w:rPr>
                <w:sz w:val="1"/>
                <w:szCs w:val="1"/>
                <w:color w:val="auto"/>
              </w:rPr>
            </w:pPr>
          </w:p>
        </w:tc>
        <w:tc>
          <w:tcPr>
            <w:tcW w:w="2660" w:type="dxa"/>
            <w:vAlign w:val="bottom"/>
            <w:tcBorders>
              <w:bottom w:val="single" w:sz="8" w:color="98BDE2"/>
            </w:tcBorders>
          </w:tcPr>
          <w:p>
            <w:pPr>
              <w:spacing w:after="0" w:line="20" w:lineRule="exact"/>
              <w:rPr>
                <w:sz w:val="1"/>
                <w:szCs w:val="1"/>
                <w:color w:val="auto"/>
              </w:rPr>
            </w:pPr>
          </w:p>
        </w:tc>
        <w:tc>
          <w:tcPr>
            <w:tcW w:w="2460" w:type="dxa"/>
            <w:vAlign w:val="bottom"/>
            <w:tcBorders>
              <w:bottom w:val="single" w:sz="8" w:color="98BDE2"/>
            </w:tcBorders>
          </w:tcPr>
          <w:p>
            <w:pPr>
              <w:spacing w:after="0" w:line="20" w:lineRule="exact"/>
              <w:rPr>
                <w:sz w:val="1"/>
                <w:szCs w:val="1"/>
                <w:color w:val="auto"/>
              </w:rPr>
            </w:pPr>
          </w:p>
        </w:tc>
        <w:tc>
          <w:tcPr>
            <w:tcW w:w="2080" w:type="dxa"/>
            <w:vAlign w:val="bottom"/>
            <w:tcBorders>
              <w:bottom w:val="single" w:sz="8" w:color="98BDE2"/>
            </w:tcBorders>
          </w:tcPr>
          <w:p>
            <w:pPr>
              <w:spacing w:after="0" w:line="20" w:lineRule="exact"/>
              <w:rPr>
                <w:sz w:val="1"/>
                <w:szCs w:val="1"/>
                <w:color w:val="auto"/>
              </w:rPr>
            </w:pPr>
          </w:p>
        </w:tc>
        <w:tc>
          <w:tcPr>
            <w:tcW w:w="1880" w:type="dxa"/>
            <w:vAlign w:val="bottom"/>
            <w:tcBorders>
              <w:bottom w:val="single" w:sz="8" w:color="98BDE2"/>
            </w:tcBorders>
            <w:gridSpan w:val="2"/>
          </w:tcPr>
          <w:p>
            <w:pPr>
              <w:spacing w:after="0" w:line="20" w:lineRule="exact"/>
              <w:rPr>
                <w:sz w:val="1"/>
                <w:szCs w:val="1"/>
                <w:color w:val="auto"/>
              </w:rPr>
            </w:pPr>
          </w:p>
        </w:tc>
        <w:tc>
          <w:tcPr>
            <w:tcW w:w="100" w:type="dxa"/>
            <w:vAlign w:val="bottom"/>
            <w:tcBorders>
              <w:bottom w:val="single" w:sz="8" w:color="98BDE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660" w:type="dxa"/>
            <w:vAlign w:val="bottom"/>
            <w:gridSpan w:val="3"/>
          </w:tcPr>
          <w:p>
            <w:pPr>
              <w:jc w:val="center"/>
              <w:ind w:right="428"/>
              <w:spacing w:after="0"/>
              <w:rPr>
                <w:sz w:val="20"/>
                <w:szCs w:val="20"/>
                <w:color w:val="auto"/>
              </w:rPr>
            </w:pPr>
            <w:r>
              <w:rPr>
                <w:rFonts w:ascii="Arial" w:cs="Arial" w:eastAsia="Arial" w:hAnsi="Arial"/>
                <w:sz w:val="14"/>
                <w:szCs w:val="14"/>
                <w:color w:val="032E5C"/>
              </w:rPr>
              <w:t>2021</w:t>
            </w:r>
          </w:p>
        </w:tc>
        <w:tc>
          <w:tcPr>
            <w:tcW w:w="2660" w:type="dxa"/>
            <w:vAlign w:val="bottom"/>
          </w:tcPr>
          <w:p>
            <w:pPr>
              <w:jc w:val="right"/>
              <w:ind w:right="88"/>
              <w:spacing w:after="0"/>
              <w:rPr>
                <w:sz w:val="20"/>
                <w:szCs w:val="20"/>
                <w:color w:val="auto"/>
              </w:rPr>
            </w:pPr>
            <w:r>
              <w:rPr>
                <w:rFonts w:ascii="Arial" w:cs="Arial" w:eastAsia="Arial" w:hAnsi="Arial"/>
                <w:sz w:val="14"/>
                <w:szCs w:val="14"/>
                <w:color w:val="032E5C"/>
              </w:rPr>
              <w:t>3,814,789</w:t>
            </w:r>
          </w:p>
        </w:tc>
        <w:tc>
          <w:tcPr>
            <w:tcW w:w="2460" w:type="dxa"/>
            <w:vAlign w:val="bottom"/>
          </w:tcPr>
          <w:p>
            <w:pPr>
              <w:jc w:val="right"/>
              <w:spacing w:after="0"/>
              <w:rPr>
                <w:sz w:val="20"/>
                <w:szCs w:val="20"/>
                <w:color w:val="auto"/>
              </w:rPr>
            </w:pPr>
            <w:r>
              <w:rPr>
                <w:rFonts w:ascii="Arial" w:cs="Arial" w:eastAsia="Arial" w:hAnsi="Arial"/>
                <w:sz w:val="14"/>
                <w:szCs w:val="14"/>
                <w:color w:val="032E5C"/>
              </w:rPr>
              <w:t>(2,971,795)</w:t>
            </w:r>
          </w:p>
        </w:tc>
        <w:tc>
          <w:tcPr>
            <w:tcW w:w="2080" w:type="dxa"/>
            <w:vAlign w:val="bottom"/>
          </w:tcPr>
          <w:p>
            <w:pPr>
              <w:jc w:val="right"/>
              <w:ind w:right="48"/>
              <w:spacing w:after="0"/>
              <w:rPr>
                <w:sz w:val="20"/>
                <w:szCs w:val="20"/>
                <w:color w:val="auto"/>
              </w:rPr>
            </w:pPr>
            <w:r>
              <w:rPr>
                <w:rFonts w:ascii="Arial" w:cs="Arial" w:eastAsia="Arial" w:hAnsi="Arial"/>
                <w:sz w:val="14"/>
                <w:szCs w:val="14"/>
                <w:color w:val="032E5C"/>
              </w:rPr>
              <w:t>7,536,437</w:t>
            </w:r>
          </w:p>
        </w:tc>
        <w:tc>
          <w:tcPr>
            <w:tcW w:w="1880" w:type="dxa"/>
            <w:vAlign w:val="bottom"/>
            <w:gridSpan w:val="2"/>
          </w:tcPr>
          <w:p>
            <w:pPr>
              <w:jc w:val="right"/>
              <w:spacing w:after="0"/>
              <w:rPr>
                <w:sz w:val="20"/>
                <w:szCs w:val="20"/>
                <w:color w:val="auto"/>
              </w:rPr>
            </w:pPr>
            <w:r>
              <w:rPr>
                <w:rFonts w:ascii="Arial" w:cs="Arial" w:eastAsia="Arial" w:hAnsi="Arial"/>
                <w:sz w:val="14"/>
                <w:szCs w:val="14"/>
                <w:color w:val="032E5C"/>
              </w:rPr>
              <w:t>8,379,431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80" w:type="dxa"/>
            <w:vAlign w:val="bottom"/>
            <w:tcBorders>
              <w:bottom w:val="single" w:sz="8" w:color="032E5C"/>
            </w:tcBorders>
          </w:tcPr>
          <w:p>
            <w:pPr>
              <w:spacing w:after="0"/>
              <w:rPr>
                <w:sz w:val="2"/>
                <w:szCs w:val="2"/>
                <w:color w:val="auto"/>
              </w:rPr>
            </w:pPr>
          </w:p>
        </w:tc>
        <w:tc>
          <w:tcPr>
            <w:tcW w:w="1260" w:type="dxa"/>
            <w:vAlign w:val="bottom"/>
            <w:tcBorders>
              <w:bottom w:val="single" w:sz="8" w:color="032E5C"/>
            </w:tcBorders>
          </w:tcPr>
          <w:p>
            <w:pPr>
              <w:spacing w:after="0"/>
              <w:rPr>
                <w:sz w:val="2"/>
                <w:szCs w:val="2"/>
                <w:color w:val="auto"/>
              </w:rPr>
            </w:pPr>
          </w:p>
        </w:tc>
        <w:tc>
          <w:tcPr>
            <w:tcW w:w="2660" w:type="dxa"/>
            <w:vAlign w:val="bottom"/>
            <w:tcBorders>
              <w:bottom w:val="single" w:sz="8" w:color="032E5C"/>
            </w:tcBorders>
          </w:tcPr>
          <w:p>
            <w:pPr>
              <w:spacing w:after="0"/>
              <w:rPr>
                <w:sz w:val="2"/>
                <w:szCs w:val="2"/>
                <w:color w:val="auto"/>
              </w:rPr>
            </w:pPr>
          </w:p>
        </w:tc>
        <w:tc>
          <w:tcPr>
            <w:tcW w:w="2460" w:type="dxa"/>
            <w:vAlign w:val="bottom"/>
            <w:tcBorders>
              <w:bottom w:val="single" w:sz="8" w:color="032E5C"/>
            </w:tcBorders>
          </w:tcPr>
          <w:p>
            <w:pPr>
              <w:spacing w:after="0"/>
              <w:rPr>
                <w:sz w:val="2"/>
                <w:szCs w:val="2"/>
                <w:color w:val="auto"/>
              </w:rPr>
            </w:pPr>
          </w:p>
        </w:tc>
        <w:tc>
          <w:tcPr>
            <w:tcW w:w="2080" w:type="dxa"/>
            <w:vAlign w:val="bottom"/>
            <w:tcBorders>
              <w:bottom w:val="single" w:sz="8" w:color="032E5C"/>
            </w:tcBorders>
          </w:tcPr>
          <w:p>
            <w:pPr>
              <w:spacing w:after="0"/>
              <w:rPr>
                <w:sz w:val="2"/>
                <w:szCs w:val="2"/>
                <w:color w:val="auto"/>
              </w:rPr>
            </w:pPr>
          </w:p>
        </w:tc>
        <w:tc>
          <w:tcPr>
            <w:tcW w:w="100" w:type="dxa"/>
            <w:vAlign w:val="bottom"/>
            <w:tcBorders>
              <w:bottom w:val="single" w:sz="8" w:color="032E5C"/>
            </w:tcBorders>
          </w:tcPr>
          <w:p>
            <w:pPr>
              <w:spacing w:after="0"/>
              <w:rPr>
                <w:sz w:val="2"/>
                <w:szCs w:val="2"/>
                <w:color w:val="auto"/>
              </w:rPr>
            </w:pPr>
          </w:p>
        </w:tc>
        <w:tc>
          <w:tcPr>
            <w:tcW w:w="1880" w:type="dxa"/>
            <w:vAlign w:val="bottom"/>
            <w:tcBorders>
              <w:bottom w:val="single" w:sz="8" w:color="032E5C"/>
            </w:tcBorders>
            <w:gridSpan w:val="2"/>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80" w:type="dxa"/>
            <w:vAlign w:val="bottom"/>
            <w:shd w:val="clear" w:color="auto" w:fill="98BDE2"/>
          </w:tcPr>
          <w:p>
            <w:pPr>
              <w:spacing w:after="0"/>
              <w:rPr>
                <w:sz w:val="15"/>
                <w:szCs w:val="15"/>
                <w:color w:val="auto"/>
              </w:rPr>
            </w:pPr>
          </w:p>
        </w:tc>
        <w:tc>
          <w:tcPr>
            <w:tcW w:w="1260" w:type="dxa"/>
            <w:vAlign w:val="bottom"/>
            <w:shd w:val="clear" w:color="auto" w:fill="98BDE2"/>
          </w:tcPr>
          <w:p>
            <w:pPr>
              <w:spacing w:after="0"/>
              <w:rPr>
                <w:sz w:val="15"/>
                <w:szCs w:val="15"/>
                <w:color w:val="auto"/>
              </w:rPr>
            </w:pPr>
          </w:p>
        </w:tc>
        <w:tc>
          <w:tcPr>
            <w:tcW w:w="2660" w:type="dxa"/>
            <w:vAlign w:val="bottom"/>
            <w:shd w:val="clear" w:color="auto" w:fill="98BDE2"/>
          </w:tcPr>
          <w:p>
            <w:pPr>
              <w:spacing w:after="0"/>
              <w:rPr>
                <w:sz w:val="15"/>
                <w:szCs w:val="15"/>
                <w:color w:val="auto"/>
              </w:rPr>
            </w:pPr>
          </w:p>
        </w:tc>
        <w:tc>
          <w:tcPr>
            <w:tcW w:w="2460" w:type="dxa"/>
            <w:vAlign w:val="bottom"/>
            <w:shd w:val="clear" w:color="auto" w:fill="98BDE2"/>
          </w:tcPr>
          <w:p>
            <w:pPr>
              <w:spacing w:after="0"/>
              <w:rPr>
                <w:sz w:val="15"/>
                <w:szCs w:val="15"/>
                <w:color w:val="auto"/>
              </w:rPr>
            </w:pPr>
          </w:p>
        </w:tc>
        <w:tc>
          <w:tcPr>
            <w:tcW w:w="208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880" w:type="dxa"/>
            <w:vAlign w:val="bottom"/>
            <w:gridSpan w:val="2"/>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Total Average</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0" w:type="dxa"/>
            <w:vAlign w:val="bottom"/>
            <w:shd w:val="clear" w:color="auto" w:fill="98BDE2"/>
          </w:tcPr>
          <w:p>
            <w:pPr>
              <w:spacing w:after="0"/>
              <w:rPr>
                <w:sz w:val="15"/>
                <w:szCs w:val="15"/>
                <w:color w:val="auto"/>
              </w:rPr>
            </w:pPr>
          </w:p>
        </w:tc>
        <w:tc>
          <w:tcPr>
            <w:tcW w:w="1260" w:type="dxa"/>
            <w:vAlign w:val="bottom"/>
            <w:shd w:val="clear" w:color="auto" w:fill="98BDE2"/>
          </w:tcPr>
          <w:p>
            <w:pPr>
              <w:spacing w:after="0"/>
              <w:rPr>
                <w:sz w:val="15"/>
                <w:szCs w:val="15"/>
                <w:color w:val="auto"/>
              </w:rPr>
            </w:pPr>
          </w:p>
        </w:tc>
        <w:tc>
          <w:tcPr>
            <w:tcW w:w="5120" w:type="dxa"/>
            <w:vAlign w:val="bottom"/>
            <w:gridSpan w:val="2"/>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Summary Compensation Average Exclusion of Stock Awards</w:t>
            </w:r>
          </w:p>
        </w:tc>
        <w:tc>
          <w:tcPr>
            <w:tcW w:w="20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Average Inclusion of</w:t>
            </w:r>
          </w:p>
        </w:tc>
        <w:tc>
          <w:tcPr>
            <w:tcW w:w="100" w:type="dxa"/>
            <w:vAlign w:val="bottom"/>
            <w:shd w:val="clear" w:color="auto" w:fill="98BDE2"/>
          </w:tcPr>
          <w:p>
            <w:pPr>
              <w:spacing w:after="0"/>
              <w:rPr>
                <w:sz w:val="15"/>
                <w:szCs w:val="15"/>
                <w:color w:val="auto"/>
              </w:rPr>
            </w:pPr>
          </w:p>
        </w:tc>
        <w:tc>
          <w:tcPr>
            <w:tcW w:w="1880" w:type="dxa"/>
            <w:vAlign w:val="bottom"/>
            <w:gridSpan w:val="2"/>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Compensation Actually</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80" w:type="dxa"/>
            <w:vAlign w:val="bottom"/>
            <w:shd w:val="clear" w:color="auto" w:fill="98BDE2"/>
          </w:tcPr>
          <w:p>
            <w:pPr>
              <w:spacing w:after="0"/>
              <w:rPr>
                <w:sz w:val="15"/>
                <w:szCs w:val="15"/>
                <w:color w:val="auto"/>
              </w:rPr>
            </w:pPr>
          </w:p>
        </w:tc>
        <w:tc>
          <w:tcPr>
            <w:tcW w:w="1260" w:type="dxa"/>
            <w:vAlign w:val="bottom"/>
            <w:shd w:val="clear" w:color="auto" w:fill="98BDE2"/>
          </w:tcPr>
          <w:p>
            <w:pPr>
              <w:spacing w:after="0"/>
              <w:rPr>
                <w:sz w:val="15"/>
                <w:szCs w:val="15"/>
                <w:color w:val="auto"/>
              </w:rPr>
            </w:pPr>
          </w:p>
        </w:tc>
        <w:tc>
          <w:tcPr>
            <w:tcW w:w="266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Table</w:t>
            </w:r>
          </w:p>
        </w:tc>
        <w:tc>
          <w:tcPr>
            <w:tcW w:w="246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and Option Awards for Non-PEO</w:t>
            </w:r>
          </w:p>
        </w:tc>
        <w:tc>
          <w:tcPr>
            <w:tcW w:w="20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Adjusted Equity Values for</w:t>
            </w:r>
          </w:p>
        </w:tc>
        <w:tc>
          <w:tcPr>
            <w:tcW w:w="100" w:type="dxa"/>
            <w:vAlign w:val="bottom"/>
            <w:shd w:val="clear" w:color="auto" w:fill="98BDE2"/>
          </w:tcPr>
          <w:p>
            <w:pPr>
              <w:spacing w:after="0"/>
              <w:rPr>
                <w:sz w:val="15"/>
                <w:szCs w:val="15"/>
                <w:color w:val="auto"/>
              </w:rPr>
            </w:pPr>
          </w:p>
        </w:tc>
        <w:tc>
          <w:tcPr>
            <w:tcW w:w="1880" w:type="dxa"/>
            <w:vAlign w:val="bottom"/>
            <w:gridSpan w:val="2"/>
            <w:shd w:val="clear" w:color="auto" w:fill="98BDE2"/>
          </w:tcPr>
          <w:p>
            <w:pPr>
              <w:ind w:left="1260"/>
              <w:spacing w:after="0"/>
              <w:rPr>
                <w:sz w:val="20"/>
                <w:szCs w:val="20"/>
                <w:color w:val="auto"/>
              </w:rPr>
            </w:pPr>
            <w:r>
              <w:rPr>
                <w:rFonts w:ascii="Arial" w:cs="Arial" w:eastAsia="Arial" w:hAnsi="Arial"/>
                <w:sz w:val="14"/>
                <w:szCs w:val="14"/>
                <w:b w:val="1"/>
                <w:bCs w:val="1"/>
                <w:color w:val="032E5C"/>
              </w:rPr>
              <w:t>Paid to</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0" w:type="dxa"/>
            <w:vAlign w:val="bottom"/>
            <w:shd w:val="clear" w:color="auto" w:fill="98BDE2"/>
          </w:tcPr>
          <w:p>
            <w:pPr>
              <w:spacing w:after="0"/>
              <w:rPr>
                <w:sz w:val="15"/>
                <w:szCs w:val="15"/>
                <w:color w:val="auto"/>
              </w:rPr>
            </w:pPr>
          </w:p>
        </w:tc>
        <w:tc>
          <w:tcPr>
            <w:tcW w:w="1260" w:type="dxa"/>
            <w:vAlign w:val="bottom"/>
            <w:shd w:val="clear" w:color="auto" w:fill="98BDE2"/>
          </w:tcPr>
          <w:p>
            <w:pPr>
              <w:spacing w:after="0"/>
              <w:rPr>
                <w:sz w:val="15"/>
                <w:szCs w:val="15"/>
                <w:color w:val="auto"/>
              </w:rPr>
            </w:pPr>
          </w:p>
        </w:tc>
        <w:tc>
          <w:tcPr>
            <w:tcW w:w="26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Total for Non-PEO NEOs</w:t>
            </w:r>
          </w:p>
        </w:tc>
        <w:tc>
          <w:tcPr>
            <w:tcW w:w="24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NEOs</w:t>
            </w:r>
          </w:p>
        </w:tc>
        <w:tc>
          <w:tcPr>
            <w:tcW w:w="20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Non-PEO NEOs</w:t>
            </w:r>
          </w:p>
        </w:tc>
        <w:tc>
          <w:tcPr>
            <w:tcW w:w="100" w:type="dxa"/>
            <w:vAlign w:val="bottom"/>
            <w:shd w:val="clear" w:color="auto" w:fill="98BDE2"/>
          </w:tcPr>
          <w:p>
            <w:pPr>
              <w:spacing w:after="0"/>
              <w:rPr>
                <w:sz w:val="15"/>
                <w:szCs w:val="15"/>
                <w:color w:val="auto"/>
              </w:rPr>
            </w:pPr>
          </w:p>
        </w:tc>
        <w:tc>
          <w:tcPr>
            <w:tcW w:w="1880" w:type="dxa"/>
            <w:vAlign w:val="bottom"/>
            <w:gridSpan w:val="2"/>
            <w:shd w:val="clear" w:color="auto" w:fill="98BDE2"/>
          </w:tcPr>
          <w:p>
            <w:pPr>
              <w:jc w:val="right"/>
              <w:ind w:right="120"/>
              <w:spacing w:after="0"/>
              <w:rPr>
                <w:sz w:val="20"/>
                <w:szCs w:val="20"/>
                <w:color w:val="auto"/>
              </w:rPr>
            </w:pPr>
            <w:r>
              <w:rPr>
                <w:rFonts w:ascii="Arial" w:cs="Arial" w:eastAsia="Arial" w:hAnsi="Arial"/>
                <w:sz w:val="14"/>
                <w:szCs w:val="14"/>
                <w:b w:val="1"/>
                <w:bCs w:val="1"/>
                <w:color w:val="032E5C"/>
              </w:rPr>
              <w:t>Non-PEO NEOs</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shd w:val="clear" w:color="auto" w:fill="98BDE2"/>
          </w:tcPr>
          <w:p>
            <w:pPr>
              <w:spacing w:after="0"/>
              <w:rPr>
                <w:sz w:val="17"/>
                <w:szCs w:val="17"/>
                <w:color w:val="auto"/>
              </w:rPr>
            </w:pPr>
          </w:p>
        </w:tc>
        <w:tc>
          <w:tcPr>
            <w:tcW w:w="1260" w:type="dxa"/>
            <w:vAlign w:val="bottom"/>
            <w:shd w:val="clear" w:color="auto" w:fill="98BDE2"/>
          </w:tcPr>
          <w:p>
            <w:pPr>
              <w:jc w:val="center"/>
              <w:ind w:right="848"/>
              <w:spacing w:after="0"/>
              <w:rPr>
                <w:sz w:val="20"/>
                <w:szCs w:val="20"/>
                <w:color w:val="auto"/>
              </w:rPr>
            </w:pPr>
            <w:r>
              <w:rPr>
                <w:rFonts w:ascii="Arial" w:cs="Arial" w:eastAsia="Arial" w:hAnsi="Arial"/>
                <w:sz w:val="14"/>
                <w:szCs w:val="14"/>
                <w:b w:val="1"/>
                <w:bCs w:val="1"/>
                <w:color w:val="032E5C"/>
                <w:w w:val="98"/>
              </w:rPr>
              <w:t>Year</w:t>
            </w:r>
          </w:p>
        </w:tc>
        <w:tc>
          <w:tcPr>
            <w:tcW w:w="26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246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20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18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00" w:type="dxa"/>
            <w:vAlign w:val="bottom"/>
            <w:shd w:val="clear" w:color="auto" w:fill="98BDE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320" w:type="dxa"/>
            <w:vAlign w:val="bottom"/>
          </w:tcPr>
          <w:p>
            <w:pPr>
              <w:spacing w:after="0"/>
              <w:rPr>
                <w:sz w:val="6"/>
                <w:szCs w:val="6"/>
                <w:color w:val="auto"/>
              </w:rPr>
            </w:pPr>
          </w:p>
        </w:tc>
        <w:tc>
          <w:tcPr>
            <w:tcW w:w="80" w:type="dxa"/>
            <w:vAlign w:val="bottom"/>
            <w:shd w:val="clear" w:color="auto" w:fill="98BDE2"/>
          </w:tcPr>
          <w:p>
            <w:pPr>
              <w:spacing w:after="0"/>
              <w:rPr>
                <w:sz w:val="6"/>
                <w:szCs w:val="6"/>
                <w:color w:val="auto"/>
              </w:rPr>
            </w:pPr>
          </w:p>
        </w:tc>
        <w:tc>
          <w:tcPr>
            <w:tcW w:w="1260" w:type="dxa"/>
            <w:vAlign w:val="bottom"/>
            <w:shd w:val="clear" w:color="auto" w:fill="98BDE2"/>
          </w:tcPr>
          <w:p>
            <w:pPr>
              <w:spacing w:after="0"/>
              <w:rPr>
                <w:sz w:val="6"/>
                <w:szCs w:val="6"/>
                <w:color w:val="auto"/>
              </w:rPr>
            </w:pPr>
          </w:p>
        </w:tc>
        <w:tc>
          <w:tcPr>
            <w:tcW w:w="2660" w:type="dxa"/>
            <w:vAlign w:val="bottom"/>
            <w:shd w:val="clear" w:color="auto" w:fill="98BDE2"/>
          </w:tcPr>
          <w:p>
            <w:pPr>
              <w:spacing w:after="0"/>
              <w:rPr>
                <w:sz w:val="6"/>
                <w:szCs w:val="6"/>
                <w:color w:val="auto"/>
              </w:rPr>
            </w:pPr>
          </w:p>
        </w:tc>
        <w:tc>
          <w:tcPr>
            <w:tcW w:w="2460" w:type="dxa"/>
            <w:vAlign w:val="bottom"/>
            <w:shd w:val="clear" w:color="auto" w:fill="98BDE2"/>
          </w:tcPr>
          <w:p>
            <w:pPr>
              <w:spacing w:after="0"/>
              <w:rPr>
                <w:sz w:val="6"/>
                <w:szCs w:val="6"/>
                <w:color w:val="auto"/>
              </w:rPr>
            </w:pPr>
          </w:p>
        </w:tc>
        <w:tc>
          <w:tcPr>
            <w:tcW w:w="2080" w:type="dxa"/>
            <w:vAlign w:val="bottom"/>
            <w:shd w:val="clear" w:color="auto" w:fill="98BDE2"/>
          </w:tcPr>
          <w:p>
            <w:pPr>
              <w:spacing w:after="0"/>
              <w:rPr>
                <w:sz w:val="6"/>
                <w:szCs w:val="6"/>
                <w:color w:val="auto"/>
              </w:rPr>
            </w:pPr>
          </w:p>
        </w:tc>
        <w:tc>
          <w:tcPr>
            <w:tcW w:w="1880" w:type="dxa"/>
            <w:vAlign w:val="bottom"/>
            <w:gridSpan w:val="2"/>
            <w:shd w:val="clear" w:color="auto" w:fill="98BDE2"/>
          </w:tcPr>
          <w:p>
            <w:pPr>
              <w:spacing w:after="0"/>
              <w:rPr>
                <w:sz w:val="6"/>
                <w:szCs w:val="6"/>
                <w:color w:val="auto"/>
              </w:rPr>
            </w:pPr>
          </w:p>
        </w:tc>
        <w:tc>
          <w:tcPr>
            <w:tcW w:w="100" w:type="dxa"/>
            <w:vAlign w:val="bottom"/>
            <w:shd w:val="clear" w:color="auto" w:fill="98BDE2"/>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660" w:type="dxa"/>
            <w:vAlign w:val="bottom"/>
            <w:gridSpan w:val="3"/>
          </w:tcPr>
          <w:p>
            <w:pPr>
              <w:jc w:val="center"/>
              <w:ind w:right="428"/>
              <w:spacing w:after="0"/>
              <w:rPr>
                <w:sz w:val="20"/>
                <w:szCs w:val="20"/>
                <w:color w:val="auto"/>
              </w:rPr>
            </w:pPr>
            <w:r>
              <w:rPr>
                <w:rFonts w:ascii="Arial" w:cs="Arial" w:eastAsia="Arial" w:hAnsi="Arial"/>
                <w:sz w:val="14"/>
                <w:szCs w:val="14"/>
                <w:color w:val="032E5C"/>
              </w:rPr>
              <w:t>2024</w:t>
            </w:r>
          </w:p>
        </w:tc>
        <w:tc>
          <w:tcPr>
            <w:tcW w:w="2660" w:type="dxa"/>
            <w:vAlign w:val="bottom"/>
          </w:tcPr>
          <w:p>
            <w:pPr>
              <w:jc w:val="right"/>
              <w:ind w:right="88"/>
              <w:spacing w:after="0"/>
              <w:rPr>
                <w:sz w:val="20"/>
                <w:szCs w:val="20"/>
                <w:color w:val="auto"/>
              </w:rPr>
            </w:pPr>
            <w:r>
              <w:rPr>
                <w:rFonts w:ascii="Arial" w:cs="Arial" w:eastAsia="Arial" w:hAnsi="Arial"/>
                <w:sz w:val="14"/>
                <w:szCs w:val="14"/>
                <w:color w:val="032E5C"/>
              </w:rPr>
              <w:t>1,835,292</w:t>
            </w:r>
          </w:p>
        </w:tc>
        <w:tc>
          <w:tcPr>
            <w:tcW w:w="2460" w:type="dxa"/>
            <w:vAlign w:val="bottom"/>
          </w:tcPr>
          <w:p>
            <w:pPr>
              <w:jc w:val="right"/>
              <w:ind w:right="8"/>
              <w:spacing w:after="0"/>
              <w:rPr>
                <w:sz w:val="20"/>
                <w:szCs w:val="20"/>
                <w:color w:val="auto"/>
              </w:rPr>
            </w:pPr>
            <w:r>
              <w:rPr>
                <w:rFonts w:ascii="Arial" w:cs="Arial" w:eastAsia="Arial" w:hAnsi="Arial"/>
                <w:sz w:val="14"/>
                <w:szCs w:val="14"/>
                <w:color w:val="032E5C"/>
              </w:rPr>
              <w:t>(1,164,547)</w:t>
            </w:r>
          </w:p>
        </w:tc>
        <w:tc>
          <w:tcPr>
            <w:tcW w:w="2080" w:type="dxa"/>
            <w:vAlign w:val="bottom"/>
          </w:tcPr>
          <w:p>
            <w:pPr>
              <w:jc w:val="right"/>
              <w:ind w:right="8"/>
              <w:spacing w:after="0"/>
              <w:rPr>
                <w:sz w:val="20"/>
                <w:szCs w:val="20"/>
                <w:color w:val="auto"/>
              </w:rPr>
            </w:pPr>
            <w:r>
              <w:rPr>
                <w:rFonts w:ascii="Arial" w:cs="Arial" w:eastAsia="Arial" w:hAnsi="Arial"/>
                <w:sz w:val="14"/>
                <w:szCs w:val="14"/>
                <w:color w:val="032E5C"/>
              </w:rPr>
              <w:t>(154,305)</w:t>
            </w:r>
          </w:p>
        </w:tc>
        <w:tc>
          <w:tcPr>
            <w:tcW w:w="1880" w:type="dxa"/>
            <w:vAlign w:val="bottom"/>
            <w:gridSpan w:val="2"/>
          </w:tcPr>
          <w:p>
            <w:pPr>
              <w:jc w:val="right"/>
              <w:spacing w:after="0"/>
              <w:rPr>
                <w:sz w:val="20"/>
                <w:szCs w:val="20"/>
                <w:color w:val="auto"/>
              </w:rPr>
            </w:pPr>
            <w:r>
              <w:rPr>
                <w:rFonts w:ascii="Arial" w:cs="Arial" w:eastAsia="Arial" w:hAnsi="Arial"/>
                <w:sz w:val="14"/>
                <w:szCs w:val="14"/>
                <w:color w:val="032E5C"/>
              </w:rPr>
              <w:t>516,440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20" w:type="dxa"/>
            <w:vAlign w:val="bottom"/>
          </w:tcPr>
          <w:p>
            <w:pPr>
              <w:spacing w:after="0" w:line="20" w:lineRule="exact"/>
              <w:rPr>
                <w:sz w:val="1"/>
                <w:szCs w:val="1"/>
                <w:color w:val="auto"/>
              </w:rPr>
            </w:pPr>
          </w:p>
        </w:tc>
        <w:tc>
          <w:tcPr>
            <w:tcW w:w="1340" w:type="dxa"/>
            <w:vAlign w:val="bottom"/>
            <w:tcBorders>
              <w:bottom w:val="single" w:sz="8" w:color="98BDE2"/>
            </w:tcBorders>
            <w:gridSpan w:val="2"/>
          </w:tcPr>
          <w:p>
            <w:pPr>
              <w:spacing w:after="0" w:line="20" w:lineRule="exact"/>
              <w:rPr>
                <w:sz w:val="1"/>
                <w:szCs w:val="1"/>
                <w:color w:val="auto"/>
              </w:rPr>
            </w:pPr>
          </w:p>
        </w:tc>
        <w:tc>
          <w:tcPr>
            <w:tcW w:w="2660" w:type="dxa"/>
            <w:vAlign w:val="bottom"/>
            <w:tcBorders>
              <w:bottom w:val="single" w:sz="8" w:color="98BDE2"/>
            </w:tcBorders>
          </w:tcPr>
          <w:p>
            <w:pPr>
              <w:spacing w:after="0" w:line="20" w:lineRule="exact"/>
              <w:rPr>
                <w:sz w:val="1"/>
                <w:szCs w:val="1"/>
                <w:color w:val="auto"/>
              </w:rPr>
            </w:pPr>
          </w:p>
        </w:tc>
        <w:tc>
          <w:tcPr>
            <w:tcW w:w="2460" w:type="dxa"/>
            <w:vAlign w:val="bottom"/>
            <w:tcBorders>
              <w:bottom w:val="single" w:sz="8" w:color="98BDE2"/>
            </w:tcBorders>
          </w:tcPr>
          <w:p>
            <w:pPr>
              <w:spacing w:after="0" w:line="20" w:lineRule="exact"/>
              <w:rPr>
                <w:sz w:val="1"/>
                <w:szCs w:val="1"/>
                <w:color w:val="auto"/>
              </w:rPr>
            </w:pPr>
          </w:p>
        </w:tc>
        <w:tc>
          <w:tcPr>
            <w:tcW w:w="2080" w:type="dxa"/>
            <w:vAlign w:val="bottom"/>
            <w:tcBorders>
              <w:bottom w:val="single" w:sz="8" w:color="98BDE2"/>
            </w:tcBorders>
          </w:tcPr>
          <w:p>
            <w:pPr>
              <w:spacing w:after="0" w:line="20" w:lineRule="exact"/>
              <w:rPr>
                <w:sz w:val="1"/>
                <w:szCs w:val="1"/>
                <w:color w:val="auto"/>
              </w:rPr>
            </w:pPr>
          </w:p>
        </w:tc>
        <w:tc>
          <w:tcPr>
            <w:tcW w:w="1880" w:type="dxa"/>
            <w:vAlign w:val="bottom"/>
            <w:tcBorders>
              <w:bottom w:val="single" w:sz="8" w:color="98BDE2"/>
            </w:tcBorders>
            <w:gridSpan w:val="2"/>
          </w:tcPr>
          <w:p>
            <w:pPr>
              <w:spacing w:after="0" w:line="20" w:lineRule="exact"/>
              <w:rPr>
                <w:sz w:val="1"/>
                <w:szCs w:val="1"/>
                <w:color w:val="auto"/>
              </w:rPr>
            </w:pPr>
          </w:p>
        </w:tc>
        <w:tc>
          <w:tcPr>
            <w:tcW w:w="100" w:type="dxa"/>
            <w:vAlign w:val="bottom"/>
            <w:tcBorders>
              <w:bottom w:val="single" w:sz="8" w:color="98BDE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660" w:type="dxa"/>
            <w:vAlign w:val="bottom"/>
            <w:gridSpan w:val="3"/>
          </w:tcPr>
          <w:p>
            <w:pPr>
              <w:jc w:val="center"/>
              <w:ind w:right="428"/>
              <w:spacing w:after="0"/>
              <w:rPr>
                <w:sz w:val="20"/>
                <w:szCs w:val="20"/>
                <w:color w:val="auto"/>
              </w:rPr>
            </w:pPr>
            <w:r>
              <w:rPr>
                <w:rFonts w:ascii="Arial" w:cs="Arial" w:eastAsia="Arial" w:hAnsi="Arial"/>
                <w:sz w:val="14"/>
                <w:szCs w:val="14"/>
                <w:color w:val="032E5C"/>
              </w:rPr>
              <w:t>2023</w:t>
            </w:r>
          </w:p>
        </w:tc>
        <w:tc>
          <w:tcPr>
            <w:tcW w:w="2660" w:type="dxa"/>
            <w:vAlign w:val="bottom"/>
          </w:tcPr>
          <w:p>
            <w:pPr>
              <w:jc w:val="right"/>
              <w:ind w:right="88"/>
              <w:spacing w:after="0"/>
              <w:rPr>
                <w:sz w:val="20"/>
                <w:szCs w:val="20"/>
                <w:color w:val="auto"/>
              </w:rPr>
            </w:pPr>
            <w:r>
              <w:rPr>
                <w:rFonts w:ascii="Arial" w:cs="Arial" w:eastAsia="Arial" w:hAnsi="Arial"/>
                <w:sz w:val="14"/>
                <w:szCs w:val="14"/>
                <w:color w:val="032E5C"/>
              </w:rPr>
              <w:t>1,648,434</w:t>
            </w:r>
          </w:p>
        </w:tc>
        <w:tc>
          <w:tcPr>
            <w:tcW w:w="2460" w:type="dxa"/>
            <w:vAlign w:val="bottom"/>
          </w:tcPr>
          <w:p>
            <w:pPr>
              <w:jc w:val="right"/>
              <w:ind w:right="8"/>
              <w:spacing w:after="0"/>
              <w:rPr>
                <w:sz w:val="20"/>
                <w:szCs w:val="20"/>
                <w:color w:val="auto"/>
              </w:rPr>
            </w:pPr>
            <w:r>
              <w:rPr>
                <w:rFonts w:ascii="Arial" w:cs="Arial" w:eastAsia="Arial" w:hAnsi="Arial"/>
                <w:sz w:val="14"/>
                <w:szCs w:val="14"/>
                <w:color w:val="032E5C"/>
              </w:rPr>
              <w:t>(977,487)</w:t>
            </w:r>
          </w:p>
        </w:tc>
        <w:tc>
          <w:tcPr>
            <w:tcW w:w="2080" w:type="dxa"/>
            <w:vAlign w:val="bottom"/>
          </w:tcPr>
          <w:p>
            <w:pPr>
              <w:jc w:val="right"/>
              <w:ind w:right="48"/>
              <w:spacing w:after="0"/>
              <w:rPr>
                <w:sz w:val="20"/>
                <w:szCs w:val="20"/>
                <w:color w:val="auto"/>
              </w:rPr>
            </w:pPr>
            <w:r>
              <w:rPr>
                <w:rFonts w:ascii="Arial" w:cs="Arial" w:eastAsia="Arial" w:hAnsi="Arial"/>
                <w:sz w:val="14"/>
                <w:szCs w:val="14"/>
                <w:color w:val="032E5C"/>
              </w:rPr>
              <w:t>408,788</w:t>
            </w:r>
          </w:p>
        </w:tc>
        <w:tc>
          <w:tcPr>
            <w:tcW w:w="1880" w:type="dxa"/>
            <w:vAlign w:val="bottom"/>
            <w:gridSpan w:val="2"/>
          </w:tcPr>
          <w:p>
            <w:pPr>
              <w:jc w:val="right"/>
              <w:spacing w:after="0"/>
              <w:rPr>
                <w:sz w:val="20"/>
                <w:szCs w:val="20"/>
                <w:color w:val="auto"/>
              </w:rPr>
            </w:pPr>
            <w:r>
              <w:rPr>
                <w:rFonts w:ascii="Arial" w:cs="Arial" w:eastAsia="Arial" w:hAnsi="Arial"/>
                <w:sz w:val="14"/>
                <w:szCs w:val="14"/>
                <w:color w:val="032E5C"/>
              </w:rPr>
              <w:t>1,079,735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20" w:type="dxa"/>
            <w:vAlign w:val="bottom"/>
          </w:tcPr>
          <w:p>
            <w:pPr>
              <w:spacing w:after="0" w:line="20" w:lineRule="exact"/>
              <w:rPr>
                <w:sz w:val="1"/>
                <w:szCs w:val="1"/>
                <w:color w:val="auto"/>
              </w:rPr>
            </w:pPr>
          </w:p>
        </w:tc>
        <w:tc>
          <w:tcPr>
            <w:tcW w:w="1340" w:type="dxa"/>
            <w:vAlign w:val="bottom"/>
            <w:tcBorders>
              <w:bottom w:val="single" w:sz="8" w:color="98BDE2"/>
            </w:tcBorders>
            <w:gridSpan w:val="2"/>
          </w:tcPr>
          <w:p>
            <w:pPr>
              <w:spacing w:after="0" w:line="20" w:lineRule="exact"/>
              <w:rPr>
                <w:sz w:val="1"/>
                <w:szCs w:val="1"/>
                <w:color w:val="auto"/>
              </w:rPr>
            </w:pPr>
          </w:p>
        </w:tc>
        <w:tc>
          <w:tcPr>
            <w:tcW w:w="2660" w:type="dxa"/>
            <w:vAlign w:val="bottom"/>
            <w:tcBorders>
              <w:bottom w:val="single" w:sz="8" w:color="98BDE2"/>
            </w:tcBorders>
          </w:tcPr>
          <w:p>
            <w:pPr>
              <w:spacing w:after="0" w:line="20" w:lineRule="exact"/>
              <w:rPr>
                <w:sz w:val="1"/>
                <w:szCs w:val="1"/>
                <w:color w:val="auto"/>
              </w:rPr>
            </w:pPr>
          </w:p>
        </w:tc>
        <w:tc>
          <w:tcPr>
            <w:tcW w:w="2460" w:type="dxa"/>
            <w:vAlign w:val="bottom"/>
            <w:tcBorders>
              <w:bottom w:val="single" w:sz="8" w:color="98BDE2"/>
            </w:tcBorders>
          </w:tcPr>
          <w:p>
            <w:pPr>
              <w:spacing w:after="0" w:line="20" w:lineRule="exact"/>
              <w:rPr>
                <w:sz w:val="1"/>
                <w:szCs w:val="1"/>
                <w:color w:val="auto"/>
              </w:rPr>
            </w:pPr>
          </w:p>
        </w:tc>
        <w:tc>
          <w:tcPr>
            <w:tcW w:w="2080" w:type="dxa"/>
            <w:vAlign w:val="bottom"/>
            <w:tcBorders>
              <w:bottom w:val="single" w:sz="8" w:color="98BDE2"/>
            </w:tcBorders>
          </w:tcPr>
          <w:p>
            <w:pPr>
              <w:spacing w:after="0" w:line="20" w:lineRule="exact"/>
              <w:rPr>
                <w:sz w:val="1"/>
                <w:szCs w:val="1"/>
                <w:color w:val="auto"/>
              </w:rPr>
            </w:pPr>
          </w:p>
        </w:tc>
        <w:tc>
          <w:tcPr>
            <w:tcW w:w="1880" w:type="dxa"/>
            <w:vAlign w:val="bottom"/>
            <w:tcBorders>
              <w:bottom w:val="single" w:sz="8" w:color="98BDE2"/>
            </w:tcBorders>
            <w:gridSpan w:val="2"/>
          </w:tcPr>
          <w:p>
            <w:pPr>
              <w:spacing w:after="0" w:line="20" w:lineRule="exact"/>
              <w:rPr>
                <w:sz w:val="1"/>
                <w:szCs w:val="1"/>
                <w:color w:val="auto"/>
              </w:rPr>
            </w:pPr>
          </w:p>
        </w:tc>
        <w:tc>
          <w:tcPr>
            <w:tcW w:w="100" w:type="dxa"/>
            <w:vAlign w:val="bottom"/>
            <w:tcBorders>
              <w:bottom w:val="single" w:sz="8" w:color="98BDE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660" w:type="dxa"/>
            <w:vAlign w:val="bottom"/>
            <w:gridSpan w:val="3"/>
          </w:tcPr>
          <w:p>
            <w:pPr>
              <w:jc w:val="center"/>
              <w:ind w:right="428"/>
              <w:spacing w:after="0"/>
              <w:rPr>
                <w:sz w:val="20"/>
                <w:szCs w:val="20"/>
                <w:color w:val="auto"/>
              </w:rPr>
            </w:pPr>
            <w:r>
              <w:rPr>
                <w:rFonts w:ascii="Arial" w:cs="Arial" w:eastAsia="Arial" w:hAnsi="Arial"/>
                <w:sz w:val="14"/>
                <w:szCs w:val="14"/>
                <w:color w:val="032E5C"/>
              </w:rPr>
              <w:t>2022</w:t>
            </w:r>
          </w:p>
        </w:tc>
        <w:tc>
          <w:tcPr>
            <w:tcW w:w="2660" w:type="dxa"/>
            <w:vAlign w:val="bottom"/>
          </w:tcPr>
          <w:p>
            <w:pPr>
              <w:jc w:val="right"/>
              <w:ind w:right="88"/>
              <w:spacing w:after="0"/>
              <w:rPr>
                <w:sz w:val="20"/>
                <w:szCs w:val="20"/>
                <w:color w:val="auto"/>
              </w:rPr>
            </w:pPr>
            <w:r>
              <w:rPr>
                <w:rFonts w:ascii="Arial" w:cs="Arial" w:eastAsia="Arial" w:hAnsi="Arial"/>
                <w:sz w:val="14"/>
                <w:szCs w:val="14"/>
                <w:color w:val="032E5C"/>
              </w:rPr>
              <w:t>2,275,391</w:t>
            </w:r>
          </w:p>
        </w:tc>
        <w:tc>
          <w:tcPr>
            <w:tcW w:w="2460" w:type="dxa"/>
            <w:vAlign w:val="bottom"/>
          </w:tcPr>
          <w:p>
            <w:pPr>
              <w:jc w:val="right"/>
              <w:ind w:right="8"/>
              <w:spacing w:after="0"/>
              <w:rPr>
                <w:sz w:val="20"/>
                <w:szCs w:val="20"/>
                <w:color w:val="auto"/>
              </w:rPr>
            </w:pPr>
            <w:r>
              <w:rPr>
                <w:rFonts w:ascii="Arial" w:cs="Arial" w:eastAsia="Arial" w:hAnsi="Arial"/>
                <w:sz w:val="14"/>
                <w:szCs w:val="14"/>
                <w:color w:val="032E5C"/>
              </w:rPr>
              <w:t>(1,331,959)</w:t>
            </w:r>
          </w:p>
        </w:tc>
        <w:tc>
          <w:tcPr>
            <w:tcW w:w="2080" w:type="dxa"/>
            <w:vAlign w:val="bottom"/>
          </w:tcPr>
          <w:p>
            <w:pPr>
              <w:jc w:val="right"/>
              <w:ind w:right="48"/>
              <w:spacing w:after="0"/>
              <w:rPr>
                <w:sz w:val="20"/>
                <w:szCs w:val="20"/>
                <w:color w:val="auto"/>
              </w:rPr>
            </w:pPr>
            <w:r>
              <w:rPr>
                <w:rFonts w:ascii="Arial" w:cs="Arial" w:eastAsia="Arial" w:hAnsi="Arial"/>
                <w:sz w:val="14"/>
                <w:szCs w:val="14"/>
                <w:color w:val="032E5C"/>
              </w:rPr>
              <w:t>645,394</w:t>
            </w:r>
          </w:p>
        </w:tc>
        <w:tc>
          <w:tcPr>
            <w:tcW w:w="1880" w:type="dxa"/>
            <w:vAlign w:val="bottom"/>
            <w:gridSpan w:val="2"/>
          </w:tcPr>
          <w:p>
            <w:pPr>
              <w:jc w:val="right"/>
              <w:spacing w:after="0"/>
              <w:rPr>
                <w:sz w:val="20"/>
                <w:szCs w:val="20"/>
                <w:color w:val="auto"/>
              </w:rPr>
            </w:pPr>
            <w:r>
              <w:rPr>
                <w:rFonts w:ascii="Arial" w:cs="Arial" w:eastAsia="Arial" w:hAnsi="Arial"/>
                <w:sz w:val="14"/>
                <w:szCs w:val="14"/>
                <w:color w:val="032E5C"/>
              </w:rPr>
              <w:t>1,588,826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0" w:type="dxa"/>
            <w:vAlign w:val="bottom"/>
            <w:gridSpan w:val="2"/>
          </w:tcPr>
          <w:p>
            <w:pPr>
              <w:spacing w:after="0" w:line="20" w:lineRule="exact"/>
              <w:rPr>
                <w:sz w:val="1"/>
                <w:szCs w:val="1"/>
                <w:color w:val="auto"/>
              </w:rPr>
            </w:pPr>
          </w:p>
        </w:tc>
        <w:tc>
          <w:tcPr>
            <w:tcW w:w="1260" w:type="dxa"/>
            <w:vAlign w:val="bottom"/>
            <w:tcBorders>
              <w:bottom w:val="single" w:sz="8" w:color="98BDE2"/>
            </w:tcBorders>
          </w:tcPr>
          <w:p>
            <w:pPr>
              <w:spacing w:after="0" w:line="20" w:lineRule="exact"/>
              <w:rPr>
                <w:sz w:val="1"/>
                <w:szCs w:val="1"/>
                <w:color w:val="auto"/>
              </w:rPr>
            </w:pPr>
          </w:p>
        </w:tc>
        <w:tc>
          <w:tcPr>
            <w:tcW w:w="2660" w:type="dxa"/>
            <w:vAlign w:val="bottom"/>
            <w:tcBorders>
              <w:bottom w:val="single" w:sz="8" w:color="98BDE2"/>
            </w:tcBorders>
          </w:tcPr>
          <w:p>
            <w:pPr>
              <w:spacing w:after="0" w:line="20" w:lineRule="exact"/>
              <w:rPr>
                <w:sz w:val="1"/>
                <w:szCs w:val="1"/>
                <w:color w:val="auto"/>
              </w:rPr>
            </w:pPr>
          </w:p>
        </w:tc>
        <w:tc>
          <w:tcPr>
            <w:tcW w:w="2460" w:type="dxa"/>
            <w:vAlign w:val="bottom"/>
            <w:tcBorders>
              <w:bottom w:val="single" w:sz="8" w:color="98BDE2"/>
            </w:tcBorders>
          </w:tcPr>
          <w:p>
            <w:pPr>
              <w:spacing w:after="0" w:line="20" w:lineRule="exact"/>
              <w:rPr>
                <w:sz w:val="1"/>
                <w:szCs w:val="1"/>
                <w:color w:val="auto"/>
              </w:rPr>
            </w:pPr>
          </w:p>
        </w:tc>
        <w:tc>
          <w:tcPr>
            <w:tcW w:w="2080" w:type="dxa"/>
            <w:vAlign w:val="bottom"/>
            <w:tcBorders>
              <w:bottom w:val="single" w:sz="8" w:color="98BDE2"/>
            </w:tcBorders>
          </w:tcPr>
          <w:p>
            <w:pPr>
              <w:spacing w:after="0" w:line="20" w:lineRule="exact"/>
              <w:rPr>
                <w:sz w:val="1"/>
                <w:szCs w:val="1"/>
                <w:color w:val="auto"/>
              </w:rPr>
            </w:pPr>
          </w:p>
        </w:tc>
        <w:tc>
          <w:tcPr>
            <w:tcW w:w="1880" w:type="dxa"/>
            <w:vAlign w:val="bottom"/>
            <w:tcBorders>
              <w:bottom w:val="single" w:sz="8" w:color="98BDE2"/>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660" w:type="dxa"/>
            <w:vAlign w:val="bottom"/>
            <w:gridSpan w:val="3"/>
          </w:tcPr>
          <w:p>
            <w:pPr>
              <w:jc w:val="center"/>
              <w:ind w:right="428"/>
              <w:spacing w:after="0"/>
              <w:rPr>
                <w:sz w:val="20"/>
                <w:szCs w:val="20"/>
                <w:color w:val="auto"/>
              </w:rPr>
            </w:pPr>
            <w:r>
              <w:rPr>
                <w:rFonts w:ascii="Arial" w:cs="Arial" w:eastAsia="Arial" w:hAnsi="Arial"/>
                <w:sz w:val="14"/>
                <w:szCs w:val="14"/>
                <w:color w:val="032E5C"/>
              </w:rPr>
              <w:t>2021</w:t>
            </w:r>
          </w:p>
        </w:tc>
        <w:tc>
          <w:tcPr>
            <w:tcW w:w="2660" w:type="dxa"/>
            <w:vAlign w:val="bottom"/>
          </w:tcPr>
          <w:p>
            <w:pPr>
              <w:jc w:val="right"/>
              <w:ind w:right="88"/>
              <w:spacing w:after="0"/>
              <w:rPr>
                <w:sz w:val="20"/>
                <w:szCs w:val="20"/>
                <w:color w:val="auto"/>
              </w:rPr>
            </w:pPr>
            <w:r>
              <w:rPr>
                <w:rFonts w:ascii="Arial" w:cs="Arial" w:eastAsia="Arial" w:hAnsi="Arial"/>
                <w:sz w:val="14"/>
                <w:szCs w:val="14"/>
                <w:color w:val="032E5C"/>
              </w:rPr>
              <w:t>2,116,605</w:t>
            </w:r>
          </w:p>
        </w:tc>
        <w:tc>
          <w:tcPr>
            <w:tcW w:w="2460" w:type="dxa"/>
            <w:vAlign w:val="bottom"/>
          </w:tcPr>
          <w:p>
            <w:pPr>
              <w:jc w:val="right"/>
              <w:ind w:right="8"/>
              <w:spacing w:after="0"/>
              <w:rPr>
                <w:sz w:val="20"/>
                <w:szCs w:val="20"/>
                <w:color w:val="auto"/>
              </w:rPr>
            </w:pPr>
            <w:r>
              <w:rPr>
                <w:rFonts w:ascii="Arial" w:cs="Arial" w:eastAsia="Arial" w:hAnsi="Arial"/>
                <w:sz w:val="14"/>
                <w:szCs w:val="14"/>
                <w:color w:val="032E5C"/>
              </w:rPr>
              <w:t>(1,495,765)</w:t>
            </w:r>
          </w:p>
        </w:tc>
        <w:tc>
          <w:tcPr>
            <w:tcW w:w="2080" w:type="dxa"/>
            <w:vAlign w:val="bottom"/>
          </w:tcPr>
          <w:p>
            <w:pPr>
              <w:jc w:val="right"/>
              <w:ind w:right="48"/>
              <w:spacing w:after="0"/>
              <w:rPr>
                <w:sz w:val="20"/>
                <w:szCs w:val="20"/>
                <w:color w:val="auto"/>
              </w:rPr>
            </w:pPr>
            <w:r>
              <w:rPr>
                <w:rFonts w:ascii="Arial" w:cs="Arial" w:eastAsia="Arial" w:hAnsi="Arial"/>
                <w:sz w:val="14"/>
                <w:szCs w:val="14"/>
                <w:color w:val="032E5C"/>
              </w:rPr>
              <w:t>3,683,849</w:t>
            </w:r>
          </w:p>
        </w:tc>
        <w:tc>
          <w:tcPr>
            <w:tcW w:w="1880" w:type="dxa"/>
            <w:vAlign w:val="bottom"/>
            <w:gridSpan w:val="2"/>
          </w:tcPr>
          <w:p>
            <w:pPr>
              <w:jc w:val="right"/>
              <w:spacing w:after="0"/>
              <w:rPr>
                <w:sz w:val="20"/>
                <w:szCs w:val="20"/>
                <w:color w:val="auto"/>
              </w:rPr>
            </w:pPr>
            <w:r>
              <w:rPr>
                <w:rFonts w:ascii="Arial" w:cs="Arial" w:eastAsia="Arial" w:hAnsi="Arial"/>
                <w:sz w:val="14"/>
                <w:szCs w:val="14"/>
                <w:color w:val="032E5C"/>
              </w:rPr>
              <w:t>4,304,689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320" w:type="dxa"/>
            <w:vAlign w:val="bottom"/>
          </w:tcPr>
          <w:p>
            <w:pPr>
              <w:spacing w:after="0"/>
              <w:rPr>
                <w:sz w:val="2"/>
                <w:szCs w:val="2"/>
                <w:color w:val="auto"/>
              </w:rPr>
            </w:pPr>
          </w:p>
        </w:tc>
        <w:tc>
          <w:tcPr>
            <w:tcW w:w="80" w:type="dxa"/>
            <w:vAlign w:val="bottom"/>
            <w:tcBorders>
              <w:bottom w:val="single" w:sz="8" w:color="032E5C"/>
            </w:tcBorders>
          </w:tcPr>
          <w:p>
            <w:pPr>
              <w:spacing w:after="0"/>
              <w:rPr>
                <w:sz w:val="2"/>
                <w:szCs w:val="2"/>
                <w:color w:val="auto"/>
              </w:rPr>
            </w:pPr>
          </w:p>
        </w:tc>
        <w:tc>
          <w:tcPr>
            <w:tcW w:w="1260" w:type="dxa"/>
            <w:vAlign w:val="bottom"/>
            <w:tcBorders>
              <w:bottom w:val="single" w:sz="8" w:color="032E5C"/>
            </w:tcBorders>
          </w:tcPr>
          <w:p>
            <w:pPr>
              <w:spacing w:after="0"/>
              <w:rPr>
                <w:sz w:val="2"/>
                <w:szCs w:val="2"/>
                <w:color w:val="auto"/>
              </w:rPr>
            </w:pPr>
          </w:p>
        </w:tc>
        <w:tc>
          <w:tcPr>
            <w:tcW w:w="2660" w:type="dxa"/>
            <w:vAlign w:val="bottom"/>
            <w:tcBorders>
              <w:bottom w:val="single" w:sz="8" w:color="032E5C"/>
            </w:tcBorders>
          </w:tcPr>
          <w:p>
            <w:pPr>
              <w:spacing w:after="0"/>
              <w:rPr>
                <w:sz w:val="2"/>
                <w:szCs w:val="2"/>
                <w:color w:val="auto"/>
              </w:rPr>
            </w:pPr>
          </w:p>
        </w:tc>
        <w:tc>
          <w:tcPr>
            <w:tcW w:w="2460" w:type="dxa"/>
            <w:vAlign w:val="bottom"/>
            <w:tcBorders>
              <w:bottom w:val="single" w:sz="8" w:color="032E5C"/>
            </w:tcBorders>
          </w:tcPr>
          <w:p>
            <w:pPr>
              <w:spacing w:after="0"/>
              <w:rPr>
                <w:sz w:val="2"/>
                <w:szCs w:val="2"/>
                <w:color w:val="auto"/>
              </w:rPr>
            </w:pPr>
          </w:p>
        </w:tc>
        <w:tc>
          <w:tcPr>
            <w:tcW w:w="2080" w:type="dxa"/>
            <w:vAlign w:val="bottom"/>
            <w:tcBorders>
              <w:bottom w:val="single" w:sz="8" w:color="032E5C"/>
            </w:tcBorders>
          </w:tcPr>
          <w:p>
            <w:pPr>
              <w:spacing w:after="0"/>
              <w:rPr>
                <w:sz w:val="2"/>
                <w:szCs w:val="2"/>
                <w:color w:val="auto"/>
              </w:rPr>
            </w:pPr>
          </w:p>
        </w:tc>
        <w:tc>
          <w:tcPr>
            <w:tcW w:w="100" w:type="dxa"/>
            <w:vAlign w:val="bottom"/>
            <w:tcBorders>
              <w:bottom w:val="single" w:sz="8" w:color="032E5C"/>
            </w:tcBorders>
          </w:tcPr>
          <w:p>
            <w:pPr>
              <w:spacing w:after="0"/>
              <w:rPr>
                <w:sz w:val="2"/>
                <w:szCs w:val="2"/>
                <w:color w:val="auto"/>
              </w:rPr>
            </w:pPr>
          </w:p>
        </w:tc>
        <w:tc>
          <w:tcPr>
            <w:tcW w:w="1780" w:type="dxa"/>
            <w:vAlign w:val="bottom"/>
            <w:tcBorders>
              <w:bottom w:val="single" w:sz="8" w:color="032E5C"/>
            </w:tcBorders>
          </w:tcPr>
          <w:p>
            <w:pPr>
              <w:spacing w:after="0"/>
              <w:rPr>
                <w:sz w:val="2"/>
                <w:szCs w:val="2"/>
                <w:color w:val="auto"/>
              </w:rPr>
            </w:pPr>
          </w:p>
        </w:tc>
        <w:tc>
          <w:tcPr>
            <w:tcW w:w="100" w:type="dxa"/>
            <w:vAlign w:val="bottom"/>
            <w:tcBorders>
              <w:bottom w:val="single" w:sz="8" w:color="032E5C"/>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4"/>
          <w:szCs w:val="14"/>
          <w:color w:val="29292B"/>
        </w:rPr>
        <w:t>The amounts in the Inclusion of Adjusted Equity Values in the tables above are derived from the amounts set forth in the following tables:</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700" w:type="dxa"/>
            <w:vAlign w:val="bottom"/>
            <w:shd w:val="clear" w:color="auto" w:fill="98BDE2"/>
          </w:tcPr>
          <w:p>
            <w:pPr>
              <w:spacing w:after="0"/>
              <w:rPr>
                <w:sz w:val="16"/>
                <w:szCs w:val="16"/>
                <w:color w:val="auto"/>
              </w:rPr>
            </w:pP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Year-End Fair Value of</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Change in Fair Value</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Vesting-Date Fair</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Change in Fair Value from</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Fair Value at Last</w:t>
            </w:r>
          </w:p>
        </w:tc>
        <w:tc>
          <w:tcPr>
            <w:tcW w:w="1340" w:type="dxa"/>
            <w:vAlign w:val="bottom"/>
            <w:shd w:val="clear" w:color="auto" w:fill="98BDE2"/>
          </w:tcPr>
          <w:p>
            <w:pPr>
              <w:spacing w:after="0"/>
              <w:rPr>
                <w:sz w:val="16"/>
                <w:szCs w:val="16"/>
                <w:color w:val="auto"/>
              </w:rPr>
            </w:pPr>
          </w:p>
        </w:tc>
      </w:tr>
      <w:tr>
        <w:trPr>
          <w:trHeight w:val="176"/>
        </w:trPr>
        <w:tc>
          <w:tcPr>
            <w:tcW w:w="700" w:type="dxa"/>
            <w:vAlign w:val="bottom"/>
            <w:shd w:val="clear" w:color="auto" w:fill="98BDE2"/>
          </w:tcPr>
          <w:p>
            <w:pPr>
              <w:spacing w:after="0"/>
              <w:rPr>
                <w:sz w:val="15"/>
                <w:szCs w:val="15"/>
                <w:color w:val="auto"/>
              </w:rPr>
            </w:pPr>
          </w:p>
        </w:tc>
        <w:tc>
          <w:tcPr>
            <w:tcW w:w="354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 Granted from Last Day of Prior</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Value of Equity</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Last Day of Prior Year to</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Day of Prior Year of</w:t>
            </w:r>
          </w:p>
        </w:tc>
        <w:tc>
          <w:tcPr>
            <w:tcW w:w="1340" w:type="dxa"/>
            <w:vAlign w:val="bottom"/>
            <w:shd w:val="clear" w:color="auto" w:fill="98BDE2"/>
          </w:tcPr>
          <w:p>
            <w:pPr>
              <w:spacing w:after="0"/>
              <w:rPr>
                <w:sz w:val="15"/>
                <w:szCs w:val="15"/>
                <w:color w:val="auto"/>
              </w:rPr>
            </w:pPr>
          </w:p>
        </w:tc>
      </w:tr>
      <w:tr>
        <w:trPr>
          <w:trHeight w:val="175"/>
        </w:trPr>
        <w:tc>
          <w:tcPr>
            <w:tcW w:w="700" w:type="dxa"/>
            <w:vAlign w:val="bottom"/>
            <w:shd w:val="clear" w:color="auto" w:fill="98BDE2"/>
          </w:tcPr>
          <w:p>
            <w:pPr>
              <w:spacing w:after="0"/>
              <w:rPr>
                <w:sz w:val="15"/>
                <w:szCs w:val="15"/>
                <w:color w:val="auto"/>
              </w:rPr>
            </w:pP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During Year That</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Year to Last Day of</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Awards Granted</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Vesting Date of Unvested</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Total - Inclusion</w:t>
            </w:r>
          </w:p>
        </w:tc>
      </w:tr>
      <w:tr>
        <w:trPr>
          <w:trHeight w:val="162"/>
        </w:trPr>
        <w:tc>
          <w:tcPr>
            <w:tcW w:w="700" w:type="dxa"/>
            <w:vAlign w:val="bottom"/>
            <w:shd w:val="clear" w:color="auto" w:fill="98BDE2"/>
          </w:tcPr>
          <w:p>
            <w:pPr>
              <w:spacing w:after="0"/>
              <w:rPr>
                <w:sz w:val="14"/>
                <w:szCs w:val="14"/>
                <w:color w:val="auto"/>
              </w:rPr>
            </w:pP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Remained Unvested as</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Year of Unvested</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During Year that</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 that Vested</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Forfeited During</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of Adjusted</w:t>
            </w:r>
          </w:p>
        </w:tc>
      </w:tr>
      <w:tr>
        <w:trPr>
          <w:trHeight w:val="175"/>
        </w:trPr>
        <w:tc>
          <w:tcPr>
            <w:tcW w:w="700" w:type="dxa"/>
            <w:vAlign w:val="bottom"/>
            <w:shd w:val="clear" w:color="auto" w:fill="98BDE2"/>
          </w:tcPr>
          <w:p>
            <w:pPr>
              <w:spacing w:after="0"/>
              <w:rPr>
                <w:sz w:val="15"/>
                <w:szCs w:val="15"/>
                <w:color w:val="auto"/>
              </w:rPr>
            </w:pP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of Last Day of Year for</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 for</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Vested During Year</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During Year for Kirsten A.</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Year for Kirsten A.</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Equity Values for</w:t>
            </w:r>
          </w:p>
        </w:tc>
      </w:tr>
      <w:tr>
        <w:trPr>
          <w:trHeight w:val="175"/>
        </w:trPr>
        <w:tc>
          <w:tcPr>
            <w:tcW w:w="700" w:type="dxa"/>
            <w:vAlign w:val="bottom"/>
            <w:shd w:val="clear" w:color="auto" w:fill="98BDE2"/>
          </w:tcPr>
          <w:p>
            <w:pPr>
              <w:spacing w:after="0"/>
              <w:rPr>
                <w:sz w:val="15"/>
                <w:szCs w:val="15"/>
                <w:color w:val="auto"/>
              </w:rPr>
            </w:pP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Kirsten A. Lynch</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Kirsten A. Lynch</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for Kirsten A. Lynch</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Lynch</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Lynch</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Kirsten A. Lynch</w:t>
            </w:r>
          </w:p>
        </w:tc>
      </w:tr>
      <w:tr>
        <w:trPr>
          <w:trHeight w:val="196"/>
        </w:trPr>
        <w:tc>
          <w:tcPr>
            <w:tcW w:w="70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Year</w:t>
            </w: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r>
      <w:tr>
        <w:trPr>
          <w:trHeight w:val="69"/>
        </w:trPr>
        <w:tc>
          <w:tcPr>
            <w:tcW w:w="700" w:type="dxa"/>
            <w:vAlign w:val="bottom"/>
            <w:shd w:val="clear" w:color="auto" w:fill="98BDE2"/>
          </w:tcPr>
          <w:p>
            <w:pPr>
              <w:spacing w:after="0"/>
              <w:rPr>
                <w:sz w:val="6"/>
                <w:szCs w:val="6"/>
                <w:color w:val="auto"/>
              </w:rPr>
            </w:pPr>
          </w:p>
        </w:tc>
        <w:tc>
          <w:tcPr>
            <w:tcW w:w="1980" w:type="dxa"/>
            <w:vAlign w:val="bottom"/>
            <w:shd w:val="clear" w:color="auto" w:fill="98BDE2"/>
          </w:tcPr>
          <w:p>
            <w:pPr>
              <w:spacing w:after="0"/>
              <w:rPr>
                <w:sz w:val="6"/>
                <w:szCs w:val="6"/>
                <w:color w:val="auto"/>
              </w:rPr>
            </w:pPr>
          </w:p>
        </w:tc>
        <w:tc>
          <w:tcPr>
            <w:tcW w:w="1560" w:type="dxa"/>
            <w:vAlign w:val="bottom"/>
            <w:shd w:val="clear" w:color="auto" w:fill="98BDE2"/>
          </w:tcPr>
          <w:p>
            <w:pPr>
              <w:spacing w:after="0"/>
              <w:rPr>
                <w:sz w:val="6"/>
                <w:szCs w:val="6"/>
                <w:color w:val="auto"/>
              </w:rPr>
            </w:pPr>
          </w:p>
        </w:tc>
        <w:tc>
          <w:tcPr>
            <w:tcW w:w="1560" w:type="dxa"/>
            <w:vAlign w:val="bottom"/>
            <w:shd w:val="clear" w:color="auto" w:fill="98BDE2"/>
          </w:tcPr>
          <w:p>
            <w:pPr>
              <w:spacing w:after="0"/>
              <w:rPr>
                <w:sz w:val="6"/>
                <w:szCs w:val="6"/>
                <w:color w:val="auto"/>
              </w:rPr>
            </w:pPr>
          </w:p>
        </w:tc>
        <w:tc>
          <w:tcPr>
            <w:tcW w:w="1920" w:type="dxa"/>
            <w:vAlign w:val="bottom"/>
            <w:shd w:val="clear" w:color="auto" w:fill="98BDE2"/>
          </w:tcPr>
          <w:p>
            <w:pPr>
              <w:spacing w:after="0"/>
              <w:rPr>
                <w:sz w:val="6"/>
                <w:szCs w:val="6"/>
                <w:color w:val="auto"/>
              </w:rPr>
            </w:pPr>
          </w:p>
        </w:tc>
        <w:tc>
          <w:tcPr>
            <w:tcW w:w="1460" w:type="dxa"/>
            <w:vAlign w:val="bottom"/>
            <w:shd w:val="clear" w:color="auto" w:fill="98BDE2"/>
          </w:tcPr>
          <w:p>
            <w:pPr>
              <w:spacing w:after="0"/>
              <w:rPr>
                <w:sz w:val="6"/>
                <w:szCs w:val="6"/>
                <w:color w:val="auto"/>
              </w:rPr>
            </w:pPr>
          </w:p>
        </w:tc>
        <w:tc>
          <w:tcPr>
            <w:tcW w:w="1340" w:type="dxa"/>
            <w:vAlign w:val="bottom"/>
            <w:shd w:val="clear" w:color="auto" w:fill="98BDE2"/>
          </w:tcPr>
          <w:p>
            <w:pPr>
              <w:spacing w:after="0"/>
              <w:rPr>
                <w:sz w:val="6"/>
                <w:szCs w:val="6"/>
                <w:color w:val="auto"/>
              </w:rPr>
            </w:pPr>
          </w:p>
        </w:tc>
      </w:tr>
      <w:tr>
        <w:trPr>
          <w:trHeight w:val="208"/>
        </w:trPr>
        <w:tc>
          <w:tcPr>
            <w:tcW w:w="700" w:type="dxa"/>
            <w:vAlign w:val="bottom"/>
          </w:tcPr>
          <w:p>
            <w:pPr>
              <w:ind w:left="100"/>
              <w:spacing w:after="0"/>
              <w:rPr>
                <w:sz w:val="20"/>
                <w:szCs w:val="20"/>
                <w:color w:val="auto"/>
              </w:rPr>
            </w:pPr>
            <w:r>
              <w:rPr>
                <w:rFonts w:ascii="Arial" w:cs="Arial" w:eastAsia="Arial" w:hAnsi="Arial"/>
                <w:sz w:val="14"/>
                <w:szCs w:val="14"/>
                <w:color w:val="032E5C"/>
              </w:rPr>
              <w:t>2024</w:t>
            </w:r>
          </w:p>
        </w:tc>
        <w:tc>
          <w:tcPr>
            <w:tcW w:w="1980" w:type="dxa"/>
            <w:vAlign w:val="bottom"/>
          </w:tcPr>
          <w:p>
            <w:pPr>
              <w:jc w:val="right"/>
              <w:ind w:right="68"/>
              <w:spacing w:after="0"/>
              <w:rPr>
                <w:sz w:val="20"/>
                <w:szCs w:val="20"/>
                <w:color w:val="auto"/>
              </w:rPr>
            </w:pPr>
            <w:r>
              <w:rPr>
                <w:rFonts w:ascii="Arial" w:cs="Arial" w:eastAsia="Arial" w:hAnsi="Arial"/>
                <w:sz w:val="14"/>
                <w:szCs w:val="14"/>
                <w:color w:val="032E5C"/>
              </w:rPr>
              <w:t>3,138,755</w:t>
            </w:r>
          </w:p>
        </w:tc>
        <w:tc>
          <w:tcPr>
            <w:tcW w:w="1560" w:type="dxa"/>
            <w:vAlign w:val="bottom"/>
          </w:tcPr>
          <w:p>
            <w:pPr>
              <w:jc w:val="right"/>
              <w:spacing w:after="0"/>
              <w:rPr>
                <w:sz w:val="20"/>
                <w:szCs w:val="20"/>
                <w:color w:val="auto"/>
              </w:rPr>
            </w:pPr>
            <w:r>
              <w:rPr>
                <w:rFonts w:ascii="Arial" w:cs="Arial" w:eastAsia="Arial" w:hAnsi="Arial"/>
                <w:sz w:val="14"/>
                <w:szCs w:val="14"/>
                <w:color w:val="032E5C"/>
              </w:rPr>
              <w:t>(2,258,375)</w:t>
            </w:r>
          </w:p>
        </w:tc>
        <w:tc>
          <w:tcPr>
            <w:tcW w:w="156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920" w:type="dxa"/>
            <w:vAlign w:val="bottom"/>
          </w:tcPr>
          <w:p>
            <w:pPr>
              <w:jc w:val="right"/>
              <w:ind w:right="8"/>
              <w:spacing w:after="0"/>
              <w:rPr>
                <w:sz w:val="20"/>
                <w:szCs w:val="20"/>
                <w:color w:val="auto"/>
              </w:rPr>
            </w:pPr>
            <w:r>
              <w:rPr>
                <w:rFonts w:ascii="Arial" w:cs="Arial" w:eastAsia="Arial" w:hAnsi="Arial"/>
                <w:sz w:val="14"/>
                <w:szCs w:val="14"/>
                <w:color w:val="032E5C"/>
              </w:rPr>
              <w:t>(519,536)</w:t>
            </w:r>
          </w:p>
        </w:tc>
        <w:tc>
          <w:tcPr>
            <w:tcW w:w="146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032E5C"/>
              </w:rPr>
              <w:t>360,844</w:t>
            </w:r>
          </w:p>
        </w:tc>
      </w:tr>
      <w:tr>
        <w:trPr>
          <w:trHeight w:val="22"/>
        </w:trPr>
        <w:tc>
          <w:tcPr>
            <w:tcW w:w="700" w:type="dxa"/>
            <w:vAlign w:val="bottom"/>
            <w:tcBorders>
              <w:bottom w:val="single" w:sz="8" w:color="98BDE2"/>
            </w:tcBorders>
          </w:tcPr>
          <w:p>
            <w:pPr>
              <w:spacing w:after="0" w:line="20" w:lineRule="exact"/>
              <w:rPr>
                <w:sz w:val="1"/>
                <w:szCs w:val="1"/>
                <w:color w:val="auto"/>
              </w:rPr>
            </w:pPr>
          </w:p>
        </w:tc>
        <w:tc>
          <w:tcPr>
            <w:tcW w:w="1980" w:type="dxa"/>
            <w:vAlign w:val="bottom"/>
            <w:tcBorders>
              <w:bottom w:val="single" w:sz="8" w:color="98BDE2"/>
            </w:tcBorders>
          </w:tcPr>
          <w:p>
            <w:pPr>
              <w:spacing w:after="0" w:line="20" w:lineRule="exact"/>
              <w:rPr>
                <w:sz w:val="1"/>
                <w:szCs w:val="1"/>
                <w:color w:val="auto"/>
              </w:rPr>
            </w:pPr>
          </w:p>
        </w:tc>
        <w:tc>
          <w:tcPr>
            <w:tcW w:w="1560" w:type="dxa"/>
            <w:vAlign w:val="bottom"/>
            <w:tcBorders>
              <w:bottom w:val="single" w:sz="8" w:color="98BDE2"/>
            </w:tcBorders>
          </w:tcPr>
          <w:p>
            <w:pPr>
              <w:spacing w:after="0" w:line="20" w:lineRule="exact"/>
              <w:rPr>
                <w:sz w:val="1"/>
                <w:szCs w:val="1"/>
                <w:color w:val="auto"/>
              </w:rPr>
            </w:pPr>
          </w:p>
        </w:tc>
        <w:tc>
          <w:tcPr>
            <w:tcW w:w="1560" w:type="dxa"/>
            <w:vAlign w:val="bottom"/>
            <w:tcBorders>
              <w:bottom w:val="single" w:sz="8" w:color="98BDE2"/>
            </w:tcBorders>
          </w:tcPr>
          <w:p>
            <w:pPr>
              <w:spacing w:after="0" w:line="20" w:lineRule="exact"/>
              <w:rPr>
                <w:sz w:val="1"/>
                <w:szCs w:val="1"/>
                <w:color w:val="auto"/>
              </w:rPr>
            </w:pPr>
          </w:p>
        </w:tc>
        <w:tc>
          <w:tcPr>
            <w:tcW w:w="1920" w:type="dxa"/>
            <w:vAlign w:val="bottom"/>
            <w:tcBorders>
              <w:bottom w:val="single" w:sz="8" w:color="98BDE2"/>
            </w:tcBorders>
          </w:tcPr>
          <w:p>
            <w:pPr>
              <w:spacing w:after="0" w:line="20" w:lineRule="exact"/>
              <w:rPr>
                <w:sz w:val="1"/>
                <w:szCs w:val="1"/>
                <w:color w:val="auto"/>
              </w:rPr>
            </w:pPr>
          </w:p>
        </w:tc>
        <w:tc>
          <w:tcPr>
            <w:tcW w:w="1460" w:type="dxa"/>
            <w:vAlign w:val="bottom"/>
            <w:tcBorders>
              <w:bottom w:val="single" w:sz="8" w:color="98BDE2"/>
            </w:tcBorders>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r>
      <w:tr>
        <w:trPr>
          <w:trHeight w:val="201"/>
        </w:trPr>
        <w:tc>
          <w:tcPr>
            <w:tcW w:w="700" w:type="dxa"/>
            <w:vAlign w:val="bottom"/>
          </w:tcPr>
          <w:p>
            <w:pPr>
              <w:ind w:left="100"/>
              <w:spacing w:after="0"/>
              <w:rPr>
                <w:sz w:val="20"/>
                <w:szCs w:val="20"/>
                <w:color w:val="auto"/>
              </w:rPr>
            </w:pPr>
            <w:r>
              <w:rPr>
                <w:rFonts w:ascii="Arial" w:cs="Arial" w:eastAsia="Arial" w:hAnsi="Arial"/>
                <w:sz w:val="14"/>
                <w:szCs w:val="14"/>
                <w:color w:val="032E5C"/>
              </w:rPr>
              <w:t>2023</w:t>
            </w:r>
          </w:p>
        </w:tc>
        <w:tc>
          <w:tcPr>
            <w:tcW w:w="1980" w:type="dxa"/>
            <w:vAlign w:val="bottom"/>
          </w:tcPr>
          <w:p>
            <w:pPr>
              <w:jc w:val="right"/>
              <w:ind w:right="68"/>
              <w:spacing w:after="0"/>
              <w:rPr>
                <w:sz w:val="20"/>
                <w:szCs w:val="20"/>
                <w:color w:val="auto"/>
              </w:rPr>
            </w:pPr>
            <w:r>
              <w:rPr>
                <w:rFonts w:ascii="Arial" w:cs="Arial" w:eastAsia="Arial" w:hAnsi="Arial"/>
                <w:sz w:val="14"/>
                <w:szCs w:val="14"/>
                <w:color w:val="032E5C"/>
              </w:rPr>
              <w:t>6,048,457</w:t>
            </w: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6,587</w:t>
            </w:r>
          </w:p>
        </w:tc>
        <w:tc>
          <w:tcPr>
            <w:tcW w:w="156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920" w:type="dxa"/>
            <w:vAlign w:val="bottom"/>
          </w:tcPr>
          <w:p>
            <w:pPr>
              <w:jc w:val="right"/>
              <w:ind w:right="8"/>
              <w:spacing w:after="0"/>
              <w:rPr>
                <w:sz w:val="20"/>
                <w:szCs w:val="20"/>
                <w:color w:val="auto"/>
              </w:rPr>
            </w:pPr>
            <w:r>
              <w:rPr>
                <w:rFonts w:ascii="Arial" w:cs="Arial" w:eastAsia="Arial" w:hAnsi="Arial"/>
                <w:sz w:val="14"/>
                <w:szCs w:val="14"/>
                <w:color w:val="032E5C"/>
              </w:rPr>
              <w:t>(319,063)</w:t>
            </w:r>
          </w:p>
        </w:tc>
        <w:tc>
          <w:tcPr>
            <w:tcW w:w="146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032E5C"/>
              </w:rPr>
              <w:t>5,735,981</w:t>
            </w:r>
          </w:p>
        </w:tc>
      </w:tr>
      <w:tr>
        <w:trPr>
          <w:trHeight w:val="22"/>
        </w:trPr>
        <w:tc>
          <w:tcPr>
            <w:tcW w:w="700" w:type="dxa"/>
            <w:vAlign w:val="bottom"/>
            <w:tcBorders>
              <w:bottom w:val="single" w:sz="8" w:color="98BDE2"/>
            </w:tcBorders>
          </w:tcPr>
          <w:p>
            <w:pPr>
              <w:spacing w:after="0" w:line="20" w:lineRule="exact"/>
              <w:rPr>
                <w:sz w:val="1"/>
                <w:szCs w:val="1"/>
                <w:color w:val="auto"/>
              </w:rPr>
            </w:pPr>
          </w:p>
        </w:tc>
        <w:tc>
          <w:tcPr>
            <w:tcW w:w="1980" w:type="dxa"/>
            <w:vAlign w:val="bottom"/>
            <w:tcBorders>
              <w:bottom w:val="single" w:sz="8" w:color="98BDE2"/>
            </w:tcBorders>
          </w:tcPr>
          <w:p>
            <w:pPr>
              <w:spacing w:after="0" w:line="20" w:lineRule="exact"/>
              <w:rPr>
                <w:sz w:val="1"/>
                <w:szCs w:val="1"/>
                <w:color w:val="auto"/>
              </w:rPr>
            </w:pPr>
          </w:p>
        </w:tc>
        <w:tc>
          <w:tcPr>
            <w:tcW w:w="1560" w:type="dxa"/>
            <w:vAlign w:val="bottom"/>
            <w:tcBorders>
              <w:bottom w:val="single" w:sz="8" w:color="98BDE2"/>
            </w:tcBorders>
          </w:tcPr>
          <w:p>
            <w:pPr>
              <w:spacing w:after="0" w:line="20" w:lineRule="exact"/>
              <w:rPr>
                <w:sz w:val="1"/>
                <w:szCs w:val="1"/>
                <w:color w:val="auto"/>
              </w:rPr>
            </w:pPr>
          </w:p>
        </w:tc>
        <w:tc>
          <w:tcPr>
            <w:tcW w:w="1560" w:type="dxa"/>
            <w:vAlign w:val="bottom"/>
            <w:tcBorders>
              <w:bottom w:val="single" w:sz="8" w:color="98BDE2"/>
            </w:tcBorders>
          </w:tcPr>
          <w:p>
            <w:pPr>
              <w:spacing w:after="0" w:line="20" w:lineRule="exact"/>
              <w:rPr>
                <w:sz w:val="1"/>
                <w:szCs w:val="1"/>
                <w:color w:val="auto"/>
              </w:rPr>
            </w:pPr>
          </w:p>
        </w:tc>
        <w:tc>
          <w:tcPr>
            <w:tcW w:w="1920" w:type="dxa"/>
            <w:vAlign w:val="bottom"/>
            <w:tcBorders>
              <w:bottom w:val="single" w:sz="8" w:color="98BDE2"/>
            </w:tcBorders>
          </w:tcPr>
          <w:p>
            <w:pPr>
              <w:spacing w:after="0" w:line="20" w:lineRule="exact"/>
              <w:rPr>
                <w:sz w:val="1"/>
                <w:szCs w:val="1"/>
                <w:color w:val="auto"/>
              </w:rPr>
            </w:pPr>
          </w:p>
        </w:tc>
        <w:tc>
          <w:tcPr>
            <w:tcW w:w="1460" w:type="dxa"/>
            <w:vAlign w:val="bottom"/>
            <w:tcBorders>
              <w:bottom w:val="single" w:sz="8" w:color="98BDE2"/>
            </w:tcBorders>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r>
      <w:tr>
        <w:trPr>
          <w:trHeight w:val="201"/>
        </w:trPr>
        <w:tc>
          <w:tcPr>
            <w:tcW w:w="700" w:type="dxa"/>
            <w:vAlign w:val="bottom"/>
          </w:tcPr>
          <w:p>
            <w:pPr>
              <w:ind w:left="100"/>
              <w:spacing w:after="0"/>
              <w:rPr>
                <w:sz w:val="20"/>
                <w:szCs w:val="20"/>
                <w:color w:val="auto"/>
              </w:rPr>
            </w:pPr>
            <w:r>
              <w:rPr>
                <w:rFonts w:ascii="Arial" w:cs="Arial" w:eastAsia="Arial" w:hAnsi="Arial"/>
                <w:sz w:val="14"/>
                <w:szCs w:val="14"/>
                <w:color w:val="032E5C"/>
              </w:rPr>
              <w:t>2022</w:t>
            </w:r>
          </w:p>
        </w:tc>
        <w:tc>
          <w:tcPr>
            <w:tcW w:w="1980" w:type="dxa"/>
            <w:vAlign w:val="bottom"/>
          </w:tcPr>
          <w:p>
            <w:pPr>
              <w:jc w:val="right"/>
              <w:ind w:right="68"/>
              <w:spacing w:after="0"/>
              <w:rPr>
                <w:sz w:val="20"/>
                <w:szCs w:val="20"/>
                <w:color w:val="auto"/>
              </w:rPr>
            </w:pPr>
            <w:r>
              <w:rPr>
                <w:rFonts w:ascii="Arial" w:cs="Arial" w:eastAsia="Arial" w:hAnsi="Arial"/>
                <w:sz w:val="14"/>
                <w:szCs w:val="14"/>
                <w:color w:val="032E5C"/>
              </w:rPr>
              <w:t>2,575,970</w:t>
            </w:r>
          </w:p>
        </w:tc>
        <w:tc>
          <w:tcPr>
            <w:tcW w:w="1560" w:type="dxa"/>
            <w:vAlign w:val="bottom"/>
          </w:tcPr>
          <w:p>
            <w:pPr>
              <w:jc w:val="right"/>
              <w:spacing w:after="0"/>
              <w:rPr>
                <w:sz w:val="20"/>
                <w:szCs w:val="20"/>
                <w:color w:val="auto"/>
              </w:rPr>
            </w:pPr>
            <w:r>
              <w:rPr>
                <w:rFonts w:ascii="Arial" w:cs="Arial" w:eastAsia="Arial" w:hAnsi="Arial"/>
                <w:sz w:val="14"/>
                <w:szCs w:val="14"/>
                <w:color w:val="032E5C"/>
              </w:rPr>
              <w:t>(845,576)</w:t>
            </w:r>
          </w:p>
        </w:tc>
        <w:tc>
          <w:tcPr>
            <w:tcW w:w="156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920" w:type="dxa"/>
            <w:vAlign w:val="bottom"/>
          </w:tcPr>
          <w:p>
            <w:pPr>
              <w:jc w:val="right"/>
              <w:ind w:right="48"/>
              <w:spacing w:after="0"/>
              <w:rPr>
                <w:sz w:val="20"/>
                <w:szCs w:val="20"/>
                <w:color w:val="auto"/>
              </w:rPr>
            </w:pPr>
            <w:r>
              <w:rPr>
                <w:rFonts w:ascii="Arial" w:cs="Arial" w:eastAsia="Arial" w:hAnsi="Arial"/>
                <w:sz w:val="14"/>
                <w:szCs w:val="14"/>
                <w:color w:val="032E5C"/>
              </w:rPr>
              <w:t>844,477</w:t>
            </w:r>
          </w:p>
        </w:tc>
        <w:tc>
          <w:tcPr>
            <w:tcW w:w="146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032E5C"/>
              </w:rPr>
              <w:t>2,574,871</w:t>
            </w:r>
          </w:p>
        </w:tc>
      </w:tr>
      <w:tr>
        <w:trPr>
          <w:trHeight w:val="29"/>
        </w:trPr>
        <w:tc>
          <w:tcPr>
            <w:tcW w:w="700" w:type="dxa"/>
            <w:vAlign w:val="bottom"/>
            <w:tcBorders>
              <w:bottom w:val="single" w:sz="8" w:color="032E5C"/>
            </w:tcBorders>
          </w:tcPr>
          <w:p>
            <w:pPr>
              <w:spacing w:after="0"/>
              <w:rPr>
                <w:sz w:val="2"/>
                <w:szCs w:val="2"/>
                <w:color w:val="auto"/>
              </w:rPr>
            </w:pPr>
          </w:p>
        </w:tc>
        <w:tc>
          <w:tcPr>
            <w:tcW w:w="1980" w:type="dxa"/>
            <w:vAlign w:val="bottom"/>
            <w:tcBorders>
              <w:bottom w:val="single" w:sz="8" w:color="032E5C"/>
            </w:tcBorders>
          </w:tcPr>
          <w:p>
            <w:pPr>
              <w:spacing w:after="0"/>
              <w:rPr>
                <w:sz w:val="2"/>
                <w:szCs w:val="2"/>
                <w:color w:val="auto"/>
              </w:rPr>
            </w:pPr>
          </w:p>
        </w:tc>
        <w:tc>
          <w:tcPr>
            <w:tcW w:w="1560" w:type="dxa"/>
            <w:vAlign w:val="bottom"/>
            <w:tcBorders>
              <w:bottom w:val="single" w:sz="8" w:color="032E5C"/>
            </w:tcBorders>
          </w:tcPr>
          <w:p>
            <w:pPr>
              <w:spacing w:after="0"/>
              <w:rPr>
                <w:sz w:val="2"/>
                <w:szCs w:val="2"/>
                <w:color w:val="auto"/>
              </w:rPr>
            </w:pPr>
          </w:p>
        </w:tc>
        <w:tc>
          <w:tcPr>
            <w:tcW w:w="1560" w:type="dxa"/>
            <w:vAlign w:val="bottom"/>
            <w:tcBorders>
              <w:bottom w:val="single" w:sz="8" w:color="032E5C"/>
            </w:tcBorders>
          </w:tcPr>
          <w:p>
            <w:pPr>
              <w:spacing w:after="0"/>
              <w:rPr>
                <w:sz w:val="2"/>
                <w:szCs w:val="2"/>
                <w:color w:val="auto"/>
              </w:rPr>
            </w:pPr>
          </w:p>
        </w:tc>
        <w:tc>
          <w:tcPr>
            <w:tcW w:w="1920" w:type="dxa"/>
            <w:vAlign w:val="bottom"/>
            <w:tcBorders>
              <w:bottom w:val="single" w:sz="8" w:color="032E5C"/>
            </w:tcBorders>
          </w:tcPr>
          <w:p>
            <w:pPr>
              <w:spacing w:after="0"/>
              <w:rPr>
                <w:sz w:val="2"/>
                <w:szCs w:val="2"/>
                <w:color w:val="auto"/>
              </w:rPr>
            </w:pPr>
          </w:p>
        </w:tc>
        <w:tc>
          <w:tcPr>
            <w:tcW w:w="1460" w:type="dxa"/>
            <w:vAlign w:val="bottom"/>
            <w:tcBorders>
              <w:bottom w:val="single" w:sz="8" w:color="032E5C"/>
            </w:tcBorders>
          </w:tcPr>
          <w:p>
            <w:pPr>
              <w:spacing w:after="0"/>
              <w:rPr>
                <w:sz w:val="2"/>
                <w:szCs w:val="2"/>
                <w:color w:val="auto"/>
              </w:rPr>
            </w:pPr>
          </w:p>
        </w:tc>
        <w:tc>
          <w:tcPr>
            <w:tcW w:w="1340" w:type="dxa"/>
            <w:vAlign w:val="bottom"/>
            <w:tcBorders>
              <w:bottom w:val="single" w:sz="8" w:color="032E5C"/>
            </w:tcBorders>
          </w:tcPr>
          <w:p>
            <w:pPr>
              <w:spacing w:after="0"/>
              <w:rPr>
                <w:sz w:val="2"/>
                <w:szCs w:val="2"/>
                <w:color w:val="auto"/>
              </w:rPr>
            </w:pPr>
          </w:p>
        </w:tc>
      </w:tr>
      <w:tr>
        <w:trPr>
          <w:trHeight w:val="257"/>
        </w:trPr>
        <w:tc>
          <w:tcPr>
            <w:tcW w:w="7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193"/>
        </w:trPr>
        <w:tc>
          <w:tcPr>
            <w:tcW w:w="700" w:type="dxa"/>
            <w:vAlign w:val="bottom"/>
            <w:shd w:val="clear" w:color="auto" w:fill="98BDE2"/>
          </w:tcPr>
          <w:p>
            <w:pPr>
              <w:spacing w:after="0"/>
              <w:rPr>
                <w:sz w:val="16"/>
                <w:szCs w:val="16"/>
                <w:color w:val="auto"/>
              </w:rPr>
            </w:pP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Year-End Fair Value of</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Change in Fair Value</w:t>
            </w:r>
          </w:p>
        </w:tc>
        <w:tc>
          <w:tcPr>
            <w:tcW w:w="1560" w:type="dxa"/>
            <w:vAlign w:val="bottom"/>
            <w:shd w:val="clear" w:color="auto" w:fill="98BDE2"/>
          </w:tcPr>
          <w:p>
            <w:pPr>
              <w:spacing w:after="0"/>
              <w:rPr>
                <w:sz w:val="16"/>
                <w:szCs w:val="16"/>
                <w:color w:val="auto"/>
              </w:rPr>
            </w:pP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Change in Fair Value from</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Fair Value at Last</w:t>
            </w:r>
          </w:p>
        </w:tc>
        <w:tc>
          <w:tcPr>
            <w:tcW w:w="1340" w:type="dxa"/>
            <w:vAlign w:val="bottom"/>
            <w:shd w:val="clear" w:color="auto" w:fill="98BDE2"/>
          </w:tcPr>
          <w:p>
            <w:pPr>
              <w:spacing w:after="0"/>
              <w:rPr>
                <w:sz w:val="16"/>
                <w:szCs w:val="16"/>
                <w:color w:val="auto"/>
              </w:rPr>
            </w:pPr>
          </w:p>
        </w:tc>
      </w:tr>
      <w:tr>
        <w:trPr>
          <w:trHeight w:val="162"/>
        </w:trPr>
        <w:tc>
          <w:tcPr>
            <w:tcW w:w="700" w:type="dxa"/>
            <w:vAlign w:val="bottom"/>
            <w:shd w:val="clear" w:color="auto" w:fill="98BDE2"/>
          </w:tcPr>
          <w:p>
            <w:pPr>
              <w:spacing w:after="0"/>
              <w:rPr>
                <w:sz w:val="14"/>
                <w:szCs w:val="14"/>
                <w:color w:val="auto"/>
              </w:rPr>
            </w:pPr>
          </w:p>
        </w:tc>
        <w:tc>
          <w:tcPr>
            <w:tcW w:w="354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 Granted from Last Day of Prior</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Vesting-Date Fair</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Last Day of Prior Year to</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Day of Prior Year of</w:t>
            </w:r>
          </w:p>
        </w:tc>
        <w:tc>
          <w:tcPr>
            <w:tcW w:w="1340" w:type="dxa"/>
            <w:vAlign w:val="bottom"/>
            <w:shd w:val="clear" w:color="auto" w:fill="98BDE2"/>
          </w:tcPr>
          <w:p>
            <w:pPr>
              <w:spacing w:after="0"/>
              <w:rPr>
                <w:sz w:val="14"/>
                <w:szCs w:val="14"/>
                <w:color w:val="auto"/>
              </w:rPr>
            </w:pPr>
          </w:p>
        </w:tc>
      </w:tr>
      <w:tr>
        <w:trPr>
          <w:trHeight w:val="175"/>
        </w:trPr>
        <w:tc>
          <w:tcPr>
            <w:tcW w:w="700" w:type="dxa"/>
            <w:vAlign w:val="bottom"/>
            <w:shd w:val="clear" w:color="auto" w:fill="98BDE2"/>
          </w:tcPr>
          <w:p>
            <w:pPr>
              <w:spacing w:after="0"/>
              <w:rPr>
                <w:sz w:val="15"/>
                <w:szCs w:val="15"/>
                <w:color w:val="auto"/>
              </w:rPr>
            </w:pP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During Year That</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Year to Last Day of</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Value of Equity</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Vesting Date of Unvested</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Total - Inclusion</w:t>
            </w:r>
          </w:p>
        </w:tc>
      </w:tr>
      <w:tr>
        <w:trPr>
          <w:trHeight w:val="175"/>
        </w:trPr>
        <w:tc>
          <w:tcPr>
            <w:tcW w:w="700" w:type="dxa"/>
            <w:vAlign w:val="bottom"/>
            <w:shd w:val="clear" w:color="auto" w:fill="98BDE2"/>
          </w:tcPr>
          <w:p>
            <w:pPr>
              <w:spacing w:after="0"/>
              <w:rPr>
                <w:sz w:val="15"/>
                <w:szCs w:val="15"/>
                <w:color w:val="auto"/>
              </w:rPr>
            </w:pP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Remained Unvested as</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Year of Unvested</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Awards Granted</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 that Vested</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Forfeited During</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of Adjusted</w:t>
            </w:r>
          </w:p>
        </w:tc>
      </w:tr>
      <w:tr>
        <w:trPr>
          <w:trHeight w:val="175"/>
        </w:trPr>
        <w:tc>
          <w:tcPr>
            <w:tcW w:w="700" w:type="dxa"/>
            <w:vAlign w:val="bottom"/>
            <w:shd w:val="clear" w:color="auto" w:fill="98BDE2"/>
          </w:tcPr>
          <w:p>
            <w:pPr>
              <w:spacing w:after="0"/>
              <w:rPr>
                <w:sz w:val="15"/>
                <w:szCs w:val="15"/>
                <w:color w:val="auto"/>
              </w:rPr>
            </w:pP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of Last Day of Year for</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 for</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During Year that</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During Year for Robert A.</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Year for Robert A.</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Equity Values for</w:t>
            </w:r>
          </w:p>
        </w:tc>
      </w:tr>
      <w:tr>
        <w:trPr>
          <w:trHeight w:val="175"/>
        </w:trPr>
        <w:tc>
          <w:tcPr>
            <w:tcW w:w="700" w:type="dxa"/>
            <w:vAlign w:val="bottom"/>
            <w:shd w:val="clear" w:color="auto" w:fill="98BDE2"/>
          </w:tcPr>
          <w:p>
            <w:pPr>
              <w:spacing w:after="0"/>
              <w:rPr>
                <w:sz w:val="15"/>
                <w:szCs w:val="15"/>
                <w:color w:val="auto"/>
              </w:rPr>
            </w:pP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Robert A. Katz</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Robert A. Katz</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Vested During Year</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Katz</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Katz</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Robert A. Katz</w:t>
            </w:r>
          </w:p>
        </w:tc>
      </w:tr>
      <w:tr>
        <w:trPr>
          <w:trHeight w:val="196"/>
        </w:trPr>
        <w:tc>
          <w:tcPr>
            <w:tcW w:w="70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Year</w:t>
            </w:r>
          </w:p>
        </w:tc>
        <w:tc>
          <w:tcPr>
            <w:tcW w:w="19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for Robert A. Katz ($)</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4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r>
      <w:tr>
        <w:trPr>
          <w:trHeight w:val="70"/>
        </w:trPr>
        <w:tc>
          <w:tcPr>
            <w:tcW w:w="700" w:type="dxa"/>
            <w:vAlign w:val="bottom"/>
            <w:shd w:val="clear" w:color="auto" w:fill="98BDE2"/>
          </w:tcPr>
          <w:p>
            <w:pPr>
              <w:spacing w:after="0"/>
              <w:rPr>
                <w:sz w:val="6"/>
                <w:szCs w:val="6"/>
                <w:color w:val="auto"/>
              </w:rPr>
            </w:pPr>
          </w:p>
        </w:tc>
        <w:tc>
          <w:tcPr>
            <w:tcW w:w="1980" w:type="dxa"/>
            <w:vAlign w:val="bottom"/>
            <w:shd w:val="clear" w:color="auto" w:fill="98BDE2"/>
          </w:tcPr>
          <w:p>
            <w:pPr>
              <w:spacing w:after="0"/>
              <w:rPr>
                <w:sz w:val="6"/>
                <w:szCs w:val="6"/>
                <w:color w:val="auto"/>
              </w:rPr>
            </w:pPr>
          </w:p>
        </w:tc>
        <w:tc>
          <w:tcPr>
            <w:tcW w:w="1560" w:type="dxa"/>
            <w:vAlign w:val="bottom"/>
            <w:shd w:val="clear" w:color="auto" w:fill="98BDE2"/>
          </w:tcPr>
          <w:p>
            <w:pPr>
              <w:spacing w:after="0"/>
              <w:rPr>
                <w:sz w:val="6"/>
                <w:szCs w:val="6"/>
                <w:color w:val="auto"/>
              </w:rPr>
            </w:pPr>
          </w:p>
        </w:tc>
        <w:tc>
          <w:tcPr>
            <w:tcW w:w="1560" w:type="dxa"/>
            <w:vAlign w:val="bottom"/>
            <w:shd w:val="clear" w:color="auto" w:fill="98BDE2"/>
          </w:tcPr>
          <w:p>
            <w:pPr>
              <w:spacing w:after="0"/>
              <w:rPr>
                <w:sz w:val="6"/>
                <w:szCs w:val="6"/>
                <w:color w:val="auto"/>
              </w:rPr>
            </w:pPr>
          </w:p>
        </w:tc>
        <w:tc>
          <w:tcPr>
            <w:tcW w:w="1920" w:type="dxa"/>
            <w:vAlign w:val="bottom"/>
            <w:shd w:val="clear" w:color="auto" w:fill="98BDE2"/>
          </w:tcPr>
          <w:p>
            <w:pPr>
              <w:spacing w:after="0"/>
              <w:rPr>
                <w:sz w:val="6"/>
                <w:szCs w:val="6"/>
                <w:color w:val="auto"/>
              </w:rPr>
            </w:pPr>
          </w:p>
        </w:tc>
        <w:tc>
          <w:tcPr>
            <w:tcW w:w="1460" w:type="dxa"/>
            <w:vAlign w:val="bottom"/>
            <w:shd w:val="clear" w:color="auto" w:fill="98BDE2"/>
          </w:tcPr>
          <w:p>
            <w:pPr>
              <w:spacing w:after="0"/>
              <w:rPr>
                <w:sz w:val="6"/>
                <w:szCs w:val="6"/>
                <w:color w:val="auto"/>
              </w:rPr>
            </w:pPr>
          </w:p>
        </w:tc>
        <w:tc>
          <w:tcPr>
            <w:tcW w:w="1340" w:type="dxa"/>
            <w:vAlign w:val="bottom"/>
            <w:shd w:val="clear" w:color="auto" w:fill="98BDE2"/>
          </w:tcPr>
          <w:p>
            <w:pPr>
              <w:spacing w:after="0"/>
              <w:rPr>
                <w:sz w:val="6"/>
                <w:szCs w:val="6"/>
                <w:color w:val="auto"/>
              </w:rPr>
            </w:pPr>
          </w:p>
        </w:tc>
      </w:tr>
      <w:tr>
        <w:trPr>
          <w:trHeight w:val="208"/>
        </w:trPr>
        <w:tc>
          <w:tcPr>
            <w:tcW w:w="700" w:type="dxa"/>
            <w:vAlign w:val="bottom"/>
          </w:tcPr>
          <w:p>
            <w:pPr>
              <w:ind w:left="100"/>
              <w:spacing w:after="0"/>
              <w:rPr>
                <w:sz w:val="20"/>
                <w:szCs w:val="20"/>
                <w:color w:val="auto"/>
              </w:rPr>
            </w:pPr>
            <w:r>
              <w:rPr>
                <w:rFonts w:ascii="Arial" w:cs="Arial" w:eastAsia="Arial" w:hAnsi="Arial"/>
                <w:sz w:val="14"/>
                <w:szCs w:val="14"/>
                <w:color w:val="032E5C"/>
              </w:rPr>
              <w:t>2022</w:t>
            </w:r>
          </w:p>
        </w:tc>
        <w:tc>
          <w:tcPr>
            <w:tcW w:w="1980" w:type="dxa"/>
            <w:vAlign w:val="bottom"/>
          </w:tcPr>
          <w:p>
            <w:pPr>
              <w:jc w:val="right"/>
              <w:ind w:right="68"/>
              <w:spacing w:after="0"/>
              <w:rPr>
                <w:sz w:val="20"/>
                <w:szCs w:val="20"/>
                <w:color w:val="auto"/>
              </w:rPr>
            </w:pPr>
            <w:r>
              <w:rPr>
                <w:rFonts w:ascii="Arial" w:cs="Arial" w:eastAsia="Arial" w:hAnsi="Arial"/>
                <w:sz w:val="14"/>
                <w:szCs w:val="14"/>
                <w:color w:val="032E5C"/>
              </w:rPr>
              <w:t>570,565</w:t>
            </w:r>
          </w:p>
        </w:tc>
        <w:tc>
          <w:tcPr>
            <w:tcW w:w="1560" w:type="dxa"/>
            <w:vAlign w:val="bottom"/>
          </w:tcPr>
          <w:p>
            <w:pPr>
              <w:jc w:val="right"/>
              <w:spacing w:after="0"/>
              <w:rPr>
                <w:sz w:val="20"/>
                <w:szCs w:val="20"/>
                <w:color w:val="auto"/>
              </w:rPr>
            </w:pPr>
            <w:r>
              <w:rPr>
                <w:rFonts w:ascii="Arial" w:cs="Arial" w:eastAsia="Arial" w:hAnsi="Arial"/>
                <w:sz w:val="14"/>
                <w:szCs w:val="14"/>
                <w:color w:val="032E5C"/>
              </w:rPr>
              <w:t>(1,250,375)</w:t>
            </w:r>
          </w:p>
        </w:tc>
        <w:tc>
          <w:tcPr>
            <w:tcW w:w="156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920" w:type="dxa"/>
            <w:vAlign w:val="bottom"/>
          </w:tcPr>
          <w:p>
            <w:pPr>
              <w:jc w:val="right"/>
              <w:ind w:right="48"/>
              <w:spacing w:after="0"/>
              <w:rPr>
                <w:sz w:val="20"/>
                <w:szCs w:val="20"/>
                <w:color w:val="auto"/>
              </w:rPr>
            </w:pPr>
            <w:r>
              <w:rPr>
                <w:rFonts w:ascii="Arial" w:cs="Arial" w:eastAsia="Arial" w:hAnsi="Arial"/>
                <w:sz w:val="14"/>
                <w:szCs w:val="14"/>
                <w:color w:val="032E5C"/>
              </w:rPr>
              <w:t>1,523,317</w:t>
            </w:r>
          </w:p>
        </w:tc>
        <w:tc>
          <w:tcPr>
            <w:tcW w:w="146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032E5C"/>
              </w:rPr>
              <w:t>843,507</w:t>
            </w:r>
          </w:p>
        </w:tc>
      </w:tr>
      <w:tr>
        <w:trPr>
          <w:trHeight w:val="22"/>
        </w:trPr>
        <w:tc>
          <w:tcPr>
            <w:tcW w:w="700" w:type="dxa"/>
            <w:vAlign w:val="bottom"/>
            <w:tcBorders>
              <w:bottom w:val="single" w:sz="8" w:color="98BDE2"/>
            </w:tcBorders>
          </w:tcPr>
          <w:p>
            <w:pPr>
              <w:spacing w:after="0" w:line="20" w:lineRule="exact"/>
              <w:rPr>
                <w:sz w:val="1"/>
                <w:szCs w:val="1"/>
                <w:color w:val="auto"/>
              </w:rPr>
            </w:pPr>
          </w:p>
        </w:tc>
        <w:tc>
          <w:tcPr>
            <w:tcW w:w="1980" w:type="dxa"/>
            <w:vAlign w:val="bottom"/>
            <w:tcBorders>
              <w:bottom w:val="single" w:sz="8" w:color="98BDE2"/>
            </w:tcBorders>
          </w:tcPr>
          <w:p>
            <w:pPr>
              <w:spacing w:after="0" w:line="20" w:lineRule="exact"/>
              <w:rPr>
                <w:sz w:val="1"/>
                <w:szCs w:val="1"/>
                <w:color w:val="auto"/>
              </w:rPr>
            </w:pPr>
          </w:p>
        </w:tc>
        <w:tc>
          <w:tcPr>
            <w:tcW w:w="1560" w:type="dxa"/>
            <w:vAlign w:val="bottom"/>
            <w:tcBorders>
              <w:bottom w:val="single" w:sz="8" w:color="98BDE2"/>
            </w:tcBorders>
          </w:tcPr>
          <w:p>
            <w:pPr>
              <w:spacing w:after="0" w:line="20" w:lineRule="exact"/>
              <w:rPr>
                <w:sz w:val="1"/>
                <w:szCs w:val="1"/>
                <w:color w:val="auto"/>
              </w:rPr>
            </w:pPr>
          </w:p>
        </w:tc>
        <w:tc>
          <w:tcPr>
            <w:tcW w:w="1560" w:type="dxa"/>
            <w:vAlign w:val="bottom"/>
            <w:tcBorders>
              <w:bottom w:val="single" w:sz="8" w:color="98BDE2"/>
            </w:tcBorders>
          </w:tcPr>
          <w:p>
            <w:pPr>
              <w:spacing w:after="0" w:line="20" w:lineRule="exact"/>
              <w:rPr>
                <w:sz w:val="1"/>
                <w:szCs w:val="1"/>
                <w:color w:val="auto"/>
              </w:rPr>
            </w:pPr>
          </w:p>
        </w:tc>
        <w:tc>
          <w:tcPr>
            <w:tcW w:w="1920" w:type="dxa"/>
            <w:vAlign w:val="bottom"/>
            <w:tcBorders>
              <w:bottom w:val="single" w:sz="8" w:color="98BDE2"/>
            </w:tcBorders>
          </w:tcPr>
          <w:p>
            <w:pPr>
              <w:spacing w:after="0" w:line="20" w:lineRule="exact"/>
              <w:rPr>
                <w:sz w:val="1"/>
                <w:szCs w:val="1"/>
                <w:color w:val="auto"/>
              </w:rPr>
            </w:pPr>
          </w:p>
        </w:tc>
        <w:tc>
          <w:tcPr>
            <w:tcW w:w="1460" w:type="dxa"/>
            <w:vAlign w:val="bottom"/>
            <w:tcBorders>
              <w:bottom w:val="single" w:sz="8" w:color="98BDE2"/>
            </w:tcBorders>
          </w:tcPr>
          <w:p>
            <w:pPr>
              <w:spacing w:after="0" w:line="20" w:lineRule="exact"/>
              <w:rPr>
                <w:sz w:val="1"/>
                <w:szCs w:val="1"/>
                <w:color w:val="auto"/>
              </w:rPr>
            </w:pPr>
          </w:p>
        </w:tc>
        <w:tc>
          <w:tcPr>
            <w:tcW w:w="1340" w:type="dxa"/>
            <w:vAlign w:val="bottom"/>
            <w:tcBorders>
              <w:bottom w:val="single" w:sz="8" w:color="98BDE2"/>
            </w:tcBorders>
          </w:tcPr>
          <w:p>
            <w:pPr>
              <w:spacing w:after="0" w:line="20" w:lineRule="exact"/>
              <w:rPr>
                <w:sz w:val="1"/>
                <w:szCs w:val="1"/>
                <w:color w:val="auto"/>
              </w:rPr>
            </w:pPr>
          </w:p>
        </w:tc>
      </w:tr>
      <w:tr>
        <w:trPr>
          <w:trHeight w:val="202"/>
        </w:trPr>
        <w:tc>
          <w:tcPr>
            <w:tcW w:w="700" w:type="dxa"/>
            <w:vAlign w:val="bottom"/>
          </w:tcPr>
          <w:p>
            <w:pPr>
              <w:ind w:left="100"/>
              <w:spacing w:after="0"/>
              <w:rPr>
                <w:sz w:val="20"/>
                <w:szCs w:val="20"/>
                <w:color w:val="auto"/>
              </w:rPr>
            </w:pPr>
            <w:r>
              <w:rPr>
                <w:rFonts w:ascii="Arial" w:cs="Arial" w:eastAsia="Arial" w:hAnsi="Arial"/>
                <w:sz w:val="14"/>
                <w:szCs w:val="14"/>
                <w:color w:val="032E5C"/>
              </w:rPr>
              <w:t>2021</w:t>
            </w:r>
          </w:p>
        </w:tc>
        <w:tc>
          <w:tcPr>
            <w:tcW w:w="1980" w:type="dxa"/>
            <w:vAlign w:val="bottom"/>
          </w:tcPr>
          <w:p>
            <w:pPr>
              <w:jc w:val="right"/>
              <w:ind w:right="68"/>
              <w:spacing w:after="0"/>
              <w:rPr>
                <w:sz w:val="20"/>
                <w:szCs w:val="20"/>
                <w:color w:val="auto"/>
              </w:rPr>
            </w:pPr>
            <w:r>
              <w:rPr>
                <w:rFonts w:ascii="Arial" w:cs="Arial" w:eastAsia="Arial" w:hAnsi="Arial"/>
                <w:sz w:val="14"/>
                <w:szCs w:val="14"/>
                <w:color w:val="032E5C"/>
              </w:rPr>
              <w:t>5,624,664</w:t>
            </w: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1,541,752</w:t>
            </w:r>
          </w:p>
        </w:tc>
        <w:tc>
          <w:tcPr>
            <w:tcW w:w="156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920" w:type="dxa"/>
            <w:vAlign w:val="bottom"/>
          </w:tcPr>
          <w:p>
            <w:pPr>
              <w:jc w:val="right"/>
              <w:ind w:right="48"/>
              <w:spacing w:after="0"/>
              <w:rPr>
                <w:sz w:val="20"/>
                <w:szCs w:val="20"/>
                <w:color w:val="auto"/>
              </w:rPr>
            </w:pPr>
            <w:r>
              <w:rPr>
                <w:rFonts w:ascii="Arial" w:cs="Arial" w:eastAsia="Arial" w:hAnsi="Arial"/>
                <w:sz w:val="14"/>
                <w:szCs w:val="14"/>
                <w:color w:val="032E5C"/>
              </w:rPr>
              <w:t>370,021</w:t>
            </w:r>
          </w:p>
        </w:tc>
        <w:tc>
          <w:tcPr>
            <w:tcW w:w="146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032E5C"/>
              </w:rPr>
              <w:t>7,536,437</w:t>
            </w:r>
          </w:p>
        </w:tc>
      </w:tr>
      <w:tr>
        <w:trPr>
          <w:trHeight w:val="28"/>
        </w:trPr>
        <w:tc>
          <w:tcPr>
            <w:tcW w:w="700" w:type="dxa"/>
            <w:vAlign w:val="bottom"/>
            <w:tcBorders>
              <w:bottom w:val="single" w:sz="8" w:color="3E5C7C"/>
            </w:tcBorders>
          </w:tcPr>
          <w:p>
            <w:pPr>
              <w:spacing w:after="0"/>
              <w:rPr>
                <w:sz w:val="2"/>
                <w:szCs w:val="2"/>
                <w:color w:val="auto"/>
              </w:rPr>
            </w:pPr>
          </w:p>
        </w:tc>
        <w:tc>
          <w:tcPr>
            <w:tcW w:w="1980" w:type="dxa"/>
            <w:vAlign w:val="bottom"/>
            <w:tcBorders>
              <w:bottom w:val="single" w:sz="8" w:color="3E5C7C"/>
            </w:tcBorders>
          </w:tcPr>
          <w:p>
            <w:pPr>
              <w:spacing w:after="0"/>
              <w:rPr>
                <w:sz w:val="2"/>
                <w:szCs w:val="2"/>
                <w:color w:val="auto"/>
              </w:rPr>
            </w:pPr>
          </w:p>
        </w:tc>
        <w:tc>
          <w:tcPr>
            <w:tcW w:w="1560" w:type="dxa"/>
            <w:vAlign w:val="bottom"/>
            <w:tcBorders>
              <w:bottom w:val="single" w:sz="8" w:color="3E5C7C"/>
            </w:tcBorders>
          </w:tcPr>
          <w:p>
            <w:pPr>
              <w:spacing w:after="0"/>
              <w:rPr>
                <w:sz w:val="2"/>
                <w:szCs w:val="2"/>
                <w:color w:val="auto"/>
              </w:rPr>
            </w:pPr>
          </w:p>
        </w:tc>
        <w:tc>
          <w:tcPr>
            <w:tcW w:w="1560" w:type="dxa"/>
            <w:vAlign w:val="bottom"/>
            <w:tcBorders>
              <w:bottom w:val="single" w:sz="8" w:color="3E5C7C"/>
            </w:tcBorders>
          </w:tcPr>
          <w:p>
            <w:pPr>
              <w:spacing w:after="0"/>
              <w:rPr>
                <w:sz w:val="2"/>
                <w:szCs w:val="2"/>
                <w:color w:val="auto"/>
              </w:rPr>
            </w:pPr>
          </w:p>
        </w:tc>
        <w:tc>
          <w:tcPr>
            <w:tcW w:w="1920" w:type="dxa"/>
            <w:vAlign w:val="bottom"/>
            <w:tcBorders>
              <w:bottom w:val="single" w:sz="8" w:color="3E5C7C"/>
            </w:tcBorders>
          </w:tcPr>
          <w:p>
            <w:pPr>
              <w:spacing w:after="0"/>
              <w:rPr>
                <w:sz w:val="2"/>
                <w:szCs w:val="2"/>
                <w:color w:val="auto"/>
              </w:rPr>
            </w:pPr>
          </w:p>
        </w:tc>
        <w:tc>
          <w:tcPr>
            <w:tcW w:w="1460" w:type="dxa"/>
            <w:vAlign w:val="bottom"/>
            <w:tcBorders>
              <w:bottom w:val="single" w:sz="8" w:color="3E5C7C"/>
            </w:tcBorders>
          </w:tcPr>
          <w:p>
            <w:pPr>
              <w:spacing w:after="0"/>
              <w:rPr>
                <w:sz w:val="2"/>
                <w:szCs w:val="2"/>
                <w:color w:val="auto"/>
              </w:rPr>
            </w:pPr>
          </w:p>
        </w:tc>
        <w:tc>
          <w:tcPr>
            <w:tcW w:w="1340" w:type="dxa"/>
            <w:vAlign w:val="bottom"/>
            <w:tcBorders>
              <w:bottom w:val="single" w:sz="8" w:color="3E5C7C"/>
            </w:tcBorders>
          </w:tcPr>
          <w:p>
            <w:pPr>
              <w:spacing w:after="0"/>
              <w:rPr>
                <w:sz w:val="2"/>
                <w:szCs w:val="2"/>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75</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20"/>
              <w:spacing w:after="0"/>
              <w:rPr>
                <w:sz w:val="20"/>
                <w:szCs w:val="20"/>
                <w:color w:val="auto"/>
              </w:rPr>
            </w:pPr>
            <w:r>
              <w:rPr>
                <w:rFonts w:ascii="Arial" w:cs="Arial" w:eastAsia="Arial" w:hAnsi="Arial"/>
                <w:sz w:val="13"/>
                <w:szCs w:val="13"/>
                <w:b w:val="1"/>
                <w:bCs w:val="1"/>
                <w:color w:val="032E5C"/>
              </w:rPr>
              <w:t>PAY VERSUS PERFORMANCE</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640" w:type="dxa"/>
            <w:vAlign w:val="bottom"/>
            <w:shd w:val="clear" w:color="auto" w:fill="98BDE2"/>
          </w:tcPr>
          <w:p>
            <w:pPr>
              <w:spacing w:after="0"/>
              <w:rPr>
                <w:sz w:val="15"/>
                <w:szCs w:val="15"/>
                <w:color w:val="auto"/>
              </w:rPr>
            </w:pPr>
          </w:p>
        </w:tc>
        <w:tc>
          <w:tcPr>
            <w:tcW w:w="2040" w:type="dxa"/>
            <w:vAlign w:val="bottom"/>
            <w:shd w:val="clear" w:color="auto" w:fill="98BDE2"/>
          </w:tcPr>
          <w:p>
            <w:pPr>
              <w:spacing w:after="0"/>
              <w:rPr>
                <w:sz w:val="15"/>
                <w:szCs w:val="15"/>
                <w:color w:val="auto"/>
              </w:rPr>
            </w:pPr>
          </w:p>
        </w:tc>
        <w:tc>
          <w:tcPr>
            <w:tcW w:w="30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Average Change in Average Vesting-Date</w:t>
            </w:r>
          </w:p>
        </w:tc>
        <w:tc>
          <w:tcPr>
            <w:tcW w:w="1960" w:type="dxa"/>
            <w:vAlign w:val="bottom"/>
            <w:shd w:val="clear" w:color="auto" w:fill="98BDE2"/>
          </w:tcPr>
          <w:p>
            <w:pPr>
              <w:spacing w:after="0"/>
              <w:rPr>
                <w:sz w:val="15"/>
                <w:szCs w:val="15"/>
                <w:color w:val="auto"/>
              </w:rPr>
            </w:pPr>
          </w:p>
        </w:tc>
        <w:tc>
          <w:tcPr>
            <w:tcW w:w="1500" w:type="dxa"/>
            <w:vAlign w:val="bottom"/>
            <w:shd w:val="clear" w:color="auto" w:fill="98BDE2"/>
          </w:tcPr>
          <w:p>
            <w:pPr>
              <w:spacing w:after="0"/>
              <w:rPr>
                <w:sz w:val="15"/>
                <w:szCs w:val="15"/>
                <w:color w:val="auto"/>
              </w:rPr>
            </w:pPr>
          </w:p>
        </w:tc>
        <w:tc>
          <w:tcPr>
            <w:tcW w:w="1300" w:type="dxa"/>
            <w:vAlign w:val="bottom"/>
            <w:shd w:val="clear" w:color="auto" w:fill="98BDE2"/>
          </w:tcPr>
          <w:p>
            <w:pPr>
              <w:spacing w:after="0"/>
              <w:rPr>
                <w:sz w:val="15"/>
                <w:szCs w:val="15"/>
                <w:color w:val="auto"/>
              </w:rPr>
            </w:pPr>
          </w:p>
        </w:tc>
      </w:tr>
      <w:tr>
        <w:trPr>
          <w:trHeight w:val="162"/>
        </w:trPr>
        <w:tc>
          <w:tcPr>
            <w:tcW w:w="640" w:type="dxa"/>
            <w:vAlign w:val="bottom"/>
            <w:shd w:val="clear" w:color="auto" w:fill="98BDE2"/>
          </w:tcPr>
          <w:p>
            <w:pPr>
              <w:spacing w:after="0"/>
              <w:rPr>
                <w:sz w:val="14"/>
                <w:szCs w:val="14"/>
                <w:color w:val="auto"/>
              </w:rPr>
            </w:pPr>
          </w:p>
        </w:tc>
        <w:tc>
          <w:tcPr>
            <w:tcW w:w="20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Average Year-End Fair</w:t>
            </w:r>
          </w:p>
        </w:tc>
        <w:tc>
          <w:tcPr>
            <w:tcW w:w="15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Fair Value from Last</w:t>
            </w:r>
          </w:p>
        </w:tc>
        <w:tc>
          <w:tcPr>
            <w:tcW w:w="15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Fair Value of Equity</w:t>
            </w:r>
          </w:p>
        </w:tc>
        <w:tc>
          <w:tcPr>
            <w:tcW w:w="19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Average Change in Fair</w:t>
            </w: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Average Fair Value</w:t>
            </w:r>
          </w:p>
        </w:tc>
        <w:tc>
          <w:tcPr>
            <w:tcW w:w="1300" w:type="dxa"/>
            <w:vAlign w:val="bottom"/>
            <w:shd w:val="clear" w:color="auto" w:fill="98BDE2"/>
          </w:tcPr>
          <w:p>
            <w:pPr>
              <w:spacing w:after="0"/>
              <w:rPr>
                <w:sz w:val="14"/>
                <w:szCs w:val="14"/>
                <w:color w:val="auto"/>
              </w:rPr>
            </w:pPr>
          </w:p>
        </w:tc>
      </w:tr>
      <w:tr>
        <w:trPr>
          <w:trHeight w:val="176"/>
        </w:trPr>
        <w:tc>
          <w:tcPr>
            <w:tcW w:w="640" w:type="dxa"/>
            <w:vAlign w:val="bottom"/>
            <w:shd w:val="clear" w:color="auto" w:fill="98BDE2"/>
          </w:tcPr>
          <w:p>
            <w:pPr>
              <w:spacing w:after="0"/>
              <w:rPr>
                <w:sz w:val="15"/>
                <w:szCs w:val="15"/>
                <w:color w:val="auto"/>
              </w:rPr>
            </w:pPr>
          </w:p>
        </w:tc>
        <w:tc>
          <w:tcPr>
            <w:tcW w:w="20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Value of Equity Awards</w:t>
            </w:r>
          </w:p>
        </w:tc>
        <w:tc>
          <w:tcPr>
            <w:tcW w:w="15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Day of Prior Year to</w:t>
            </w:r>
          </w:p>
        </w:tc>
        <w:tc>
          <w:tcPr>
            <w:tcW w:w="15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Awards</w:t>
            </w:r>
          </w:p>
        </w:tc>
        <w:tc>
          <w:tcPr>
            <w:tcW w:w="19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Value from Last Day of</w:t>
            </w: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at Last Day of Prior</w:t>
            </w:r>
          </w:p>
        </w:tc>
        <w:tc>
          <w:tcPr>
            <w:tcW w:w="13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Total - Average</w:t>
            </w:r>
          </w:p>
        </w:tc>
      </w:tr>
      <w:tr>
        <w:trPr>
          <w:trHeight w:val="175"/>
        </w:trPr>
        <w:tc>
          <w:tcPr>
            <w:tcW w:w="640" w:type="dxa"/>
            <w:vAlign w:val="bottom"/>
            <w:shd w:val="clear" w:color="auto" w:fill="98BDE2"/>
          </w:tcPr>
          <w:p>
            <w:pPr>
              <w:spacing w:after="0"/>
              <w:rPr>
                <w:sz w:val="15"/>
                <w:szCs w:val="15"/>
                <w:color w:val="auto"/>
              </w:rPr>
            </w:pPr>
          </w:p>
        </w:tc>
        <w:tc>
          <w:tcPr>
            <w:tcW w:w="20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Granted During Year That</w:t>
            </w:r>
          </w:p>
        </w:tc>
        <w:tc>
          <w:tcPr>
            <w:tcW w:w="15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Last Day of Year of</w:t>
            </w:r>
          </w:p>
        </w:tc>
        <w:tc>
          <w:tcPr>
            <w:tcW w:w="15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Granted During Year</w:t>
            </w:r>
          </w:p>
        </w:tc>
        <w:tc>
          <w:tcPr>
            <w:tcW w:w="19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Prior Year to Vesting Date</w:t>
            </w: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Year of Equity</w:t>
            </w:r>
          </w:p>
        </w:tc>
        <w:tc>
          <w:tcPr>
            <w:tcW w:w="13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Inclusion of</w:t>
            </w:r>
          </w:p>
        </w:tc>
      </w:tr>
      <w:tr>
        <w:trPr>
          <w:trHeight w:val="176"/>
        </w:trPr>
        <w:tc>
          <w:tcPr>
            <w:tcW w:w="640" w:type="dxa"/>
            <w:vAlign w:val="bottom"/>
            <w:shd w:val="clear" w:color="auto" w:fill="98BDE2"/>
          </w:tcPr>
          <w:p>
            <w:pPr>
              <w:spacing w:after="0"/>
              <w:rPr>
                <w:sz w:val="15"/>
                <w:szCs w:val="15"/>
                <w:color w:val="auto"/>
              </w:rPr>
            </w:pPr>
          </w:p>
        </w:tc>
        <w:tc>
          <w:tcPr>
            <w:tcW w:w="20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Remained Unvested as</w:t>
            </w:r>
          </w:p>
        </w:tc>
        <w:tc>
          <w:tcPr>
            <w:tcW w:w="15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Unvested Equity</w:t>
            </w:r>
          </w:p>
        </w:tc>
        <w:tc>
          <w:tcPr>
            <w:tcW w:w="15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that Vested</w:t>
            </w:r>
          </w:p>
        </w:tc>
        <w:tc>
          <w:tcPr>
            <w:tcW w:w="19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of Unvested Equity Awards</w:t>
            </w: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Awards Forfeited</w:t>
            </w:r>
          </w:p>
        </w:tc>
        <w:tc>
          <w:tcPr>
            <w:tcW w:w="13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Adjusted Equity</w:t>
            </w:r>
          </w:p>
        </w:tc>
      </w:tr>
      <w:tr>
        <w:trPr>
          <w:trHeight w:val="175"/>
        </w:trPr>
        <w:tc>
          <w:tcPr>
            <w:tcW w:w="640" w:type="dxa"/>
            <w:vAlign w:val="bottom"/>
            <w:shd w:val="clear" w:color="auto" w:fill="98BDE2"/>
          </w:tcPr>
          <w:p>
            <w:pPr>
              <w:spacing w:after="0"/>
              <w:rPr>
                <w:sz w:val="15"/>
                <w:szCs w:val="15"/>
                <w:color w:val="auto"/>
              </w:rPr>
            </w:pPr>
          </w:p>
        </w:tc>
        <w:tc>
          <w:tcPr>
            <w:tcW w:w="20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of Last Day of Year for</w:t>
            </w:r>
          </w:p>
        </w:tc>
        <w:tc>
          <w:tcPr>
            <w:tcW w:w="15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Awards for Non-PEO</w:t>
            </w:r>
          </w:p>
        </w:tc>
        <w:tc>
          <w:tcPr>
            <w:tcW w:w="15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During Year for</w:t>
            </w:r>
          </w:p>
        </w:tc>
        <w:tc>
          <w:tcPr>
            <w:tcW w:w="3460" w:type="dxa"/>
            <w:vAlign w:val="bottom"/>
            <w:gridSpan w:val="2"/>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that Vested During Year for During Year for Non-</w:t>
            </w:r>
          </w:p>
        </w:tc>
        <w:tc>
          <w:tcPr>
            <w:tcW w:w="13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Values for Non-</w:t>
            </w:r>
          </w:p>
        </w:tc>
      </w:tr>
      <w:tr>
        <w:trPr>
          <w:trHeight w:val="162"/>
        </w:trPr>
        <w:tc>
          <w:tcPr>
            <w:tcW w:w="640" w:type="dxa"/>
            <w:vAlign w:val="bottom"/>
            <w:shd w:val="clear" w:color="auto" w:fill="98BDE2"/>
          </w:tcPr>
          <w:p>
            <w:pPr>
              <w:spacing w:after="0"/>
              <w:rPr>
                <w:sz w:val="14"/>
                <w:szCs w:val="14"/>
                <w:color w:val="auto"/>
              </w:rPr>
            </w:pPr>
          </w:p>
        </w:tc>
        <w:tc>
          <w:tcPr>
            <w:tcW w:w="20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Non-PEO NEOs</w:t>
            </w:r>
          </w:p>
        </w:tc>
        <w:tc>
          <w:tcPr>
            <w:tcW w:w="15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NEOs</w:t>
            </w:r>
          </w:p>
        </w:tc>
        <w:tc>
          <w:tcPr>
            <w:tcW w:w="15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Non-PEO NEOs</w:t>
            </w:r>
          </w:p>
        </w:tc>
        <w:tc>
          <w:tcPr>
            <w:tcW w:w="19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Non-PEO NEOs</w:t>
            </w: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PEO NEOs</w:t>
            </w:r>
          </w:p>
        </w:tc>
        <w:tc>
          <w:tcPr>
            <w:tcW w:w="13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PEO NEOs</w:t>
            </w:r>
          </w:p>
        </w:tc>
      </w:tr>
      <w:tr>
        <w:trPr>
          <w:trHeight w:val="210"/>
        </w:trPr>
        <w:tc>
          <w:tcPr>
            <w:tcW w:w="64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Year</w:t>
            </w:r>
          </w:p>
        </w:tc>
        <w:tc>
          <w:tcPr>
            <w:tcW w:w="20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15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15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9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w:t>
            </w:r>
          </w:p>
        </w:tc>
        <w:tc>
          <w:tcPr>
            <w:tcW w:w="13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r>
      <w:tr>
        <w:trPr>
          <w:trHeight w:val="70"/>
        </w:trPr>
        <w:tc>
          <w:tcPr>
            <w:tcW w:w="640" w:type="dxa"/>
            <w:vAlign w:val="bottom"/>
            <w:shd w:val="clear" w:color="auto" w:fill="98BDE2"/>
          </w:tcPr>
          <w:p>
            <w:pPr>
              <w:spacing w:after="0"/>
              <w:rPr>
                <w:sz w:val="6"/>
                <w:szCs w:val="6"/>
                <w:color w:val="auto"/>
              </w:rPr>
            </w:pPr>
          </w:p>
        </w:tc>
        <w:tc>
          <w:tcPr>
            <w:tcW w:w="2040" w:type="dxa"/>
            <w:vAlign w:val="bottom"/>
            <w:shd w:val="clear" w:color="auto" w:fill="98BDE2"/>
          </w:tcPr>
          <w:p>
            <w:pPr>
              <w:spacing w:after="0"/>
              <w:rPr>
                <w:sz w:val="6"/>
                <w:szCs w:val="6"/>
                <w:color w:val="auto"/>
              </w:rPr>
            </w:pPr>
          </w:p>
        </w:tc>
        <w:tc>
          <w:tcPr>
            <w:tcW w:w="1580" w:type="dxa"/>
            <w:vAlign w:val="bottom"/>
            <w:shd w:val="clear" w:color="auto" w:fill="98BDE2"/>
          </w:tcPr>
          <w:p>
            <w:pPr>
              <w:spacing w:after="0"/>
              <w:rPr>
                <w:sz w:val="6"/>
                <w:szCs w:val="6"/>
                <w:color w:val="auto"/>
              </w:rPr>
            </w:pPr>
          </w:p>
        </w:tc>
        <w:tc>
          <w:tcPr>
            <w:tcW w:w="1500" w:type="dxa"/>
            <w:vAlign w:val="bottom"/>
            <w:shd w:val="clear" w:color="auto" w:fill="98BDE2"/>
          </w:tcPr>
          <w:p>
            <w:pPr>
              <w:spacing w:after="0"/>
              <w:rPr>
                <w:sz w:val="6"/>
                <w:szCs w:val="6"/>
                <w:color w:val="auto"/>
              </w:rPr>
            </w:pPr>
          </w:p>
        </w:tc>
        <w:tc>
          <w:tcPr>
            <w:tcW w:w="1960" w:type="dxa"/>
            <w:vAlign w:val="bottom"/>
            <w:shd w:val="clear" w:color="auto" w:fill="98BDE2"/>
          </w:tcPr>
          <w:p>
            <w:pPr>
              <w:spacing w:after="0"/>
              <w:rPr>
                <w:sz w:val="6"/>
                <w:szCs w:val="6"/>
                <w:color w:val="auto"/>
              </w:rPr>
            </w:pPr>
          </w:p>
        </w:tc>
        <w:tc>
          <w:tcPr>
            <w:tcW w:w="1500" w:type="dxa"/>
            <w:vAlign w:val="bottom"/>
            <w:shd w:val="clear" w:color="auto" w:fill="98BDE2"/>
          </w:tcPr>
          <w:p>
            <w:pPr>
              <w:spacing w:after="0"/>
              <w:rPr>
                <w:sz w:val="6"/>
                <w:szCs w:val="6"/>
                <w:color w:val="auto"/>
              </w:rPr>
            </w:pPr>
          </w:p>
        </w:tc>
        <w:tc>
          <w:tcPr>
            <w:tcW w:w="1300" w:type="dxa"/>
            <w:vAlign w:val="bottom"/>
            <w:shd w:val="clear" w:color="auto" w:fill="98BDE2"/>
          </w:tcPr>
          <w:p>
            <w:pPr>
              <w:spacing w:after="0"/>
              <w:rPr>
                <w:sz w:val="6"/>
                <w:szCs w:val="6"/>
                <w:color w:val="auto"/>
              </w:rPr>
            </w:pPr>
          </w:p>
        </w:tc>
      </w:tr>
      <w:tr>
        <w:trPr>
          <w:trHeight w:val="208"/>
        </w:trPr>
        <w:tc>
          <w:tcPr>
            <w:tcW w:w="640" w:type="dxa"/>
            <w:vAlign w:val="bottom"/>
          </w:tcPr>
          <w:p>
            <w:pPr>
              <w:ind w:left="100"/>
              <w:spacing w:after="0"/>
              <w:rPr>
                <w:sz w:val="20"/>
                <w:szCs w:val="20"/>
                <w:color w:val="auto"/>
              </w:rPr>
            </w:pPr>
            <w:r>
              <w:rPr>
                <w:rFonts w:ascii="Arial" w:cs="Arial" w:eastAsia="Arial" w:hAnsi="Arial"/>
                <w:sz w:val="14"/>
                <w:szCs w:val="14"/>
                <w:color w:val="032E5C"/>
              </w:rPr>
              <w:t>2024</w:t>
            </w:r>
          </w:p>
        </w:tc>
        <w:tc>
          <w:tcPr>
            <w:tcW w:w="2040" w:type="dxa"/>
            <w:vAlign w:val="bottom"/>
          </w:tcPr>
          <w:p>
            <w:pPr>
              <w:jc w:val="right"/>
              <w:ind w:right="68"/>
              <w:spacing w:after="0"/>
              <w:rPr>
                <w:sz w:val="20"/>
                <w:szCs w:val="20"/>
                <w:color w:val="auto"/>
              </w:rPr>
            </w:pPr>
            <w:r>
              <w:rPr>
                <w:rFonts w:ascii="Arial" w:cs="Arial" w:eastAsia="Arial" w:hAnsi="Arial"/>
                <w:sz w:val="14"/>
                <w:szCs w:val="14"/>
                <w:color w:val="032E5C"/>
              </w:rPr>
              <w:t>524,212</w:t>
            </w:r>
          </w:p>
        </w:tc>
        <w:tc>
          <w:tcPr>
            <w:tcW w:w="1580" w:type="dxa"/>
            <w:vAlign w:val="bottom"/>
          </w:tcPr>
          <w:p>
            <w:pPr>
              <w:jc w:val="right"/>
              <w:ind w:right="8"/>
              <w:spacing w:after="0"/>
              <w:rPr>
                <w:sz w:val="20"/>
                <w:szCs w:val="20"/>
                <w:color w:val="auto"/>
              </w:rPr>
            </w:pPr>
            <w:r>
              <w:rPr>
                <w:rFonts w:ascii="Arial" w:cs="Arial" w:eastAsia="Arial" w:hAnsi="Arial"/>
                <w:sz w:val="14"/>
                <w:szCs w:val="14"/>
                <w:color w:val="032E5C"/>
              </w:rPr>
              <w:t>(233,159)</w:t>
            </w:r>
          </w:p>
        </w:tc>
        <w:tc>
          <w:tcPr>
            <w:tcW w:w="15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960" w:type="dxa"/>
            <w:vAlign w:val="bottom"/>
          </w:tcPr>
          <w:p>
            <w:pPr>
              <w:jc w:val="right"/>
              <w:ind w:right="8"/>
              <w:spacing w:after="0"/>
              <w:rPr>
                <w:sz w:val="20"/>
                <w:szCs w:val="20"/>
                <w:color w:val="auto"/>
              </w:rPr>
            </w:pPr>
            <w:r>
              <w:rPr>
                <w:rFonts w:ascii="Arial" w:cs="Arial" w:eastAsia="Arial" w:hAnsi="Arial"/>
                <w:sz w:val="14"/>
                <w:szCs w:val="14"/>
                <w:color w:val="032E5C"/>
              </w:rPr>
              <w:t>(94,818)</w:t>
            </w:r>
          </w:p>
        </w:tc>
        <w:tc>
          <w:tcPr>
            <w:tcW w:w="1500" w:type="dxa"/>
            <w:vAlign w:val="bottom"/>
          </w:tcPr>
          <w:p>
            <w:pPr>
              <w:jc w:val="right"/>
              <w:ind w:right="48"/>
              <w:spacing w:after="0"/>
              <w:rPr>
                <w:sz w:val="20"/>
                <w:szCs w:val="20"/>
                <w:color w:val="auto"/>
              </w:rPr>
            </w:pPr>
            <w:r>
              <w:rPr>
                <w:rFonts w:ascii="Arial" w:cs="Arial" w:eastAsia="Arial" w:hAnsi="Arial"/>
                <w:sz w:val="14"/>
                <w:szCs w:val="14"/>
                <w:color w:val="032E5C"/>
              </w:rPr>
              <w:t>(350,540)</w:t>
            </w:r>
          </w:p>
        </w:tc>
        <w:tc>
          <w:tcPr>
            <w:tcW w:w="1300" w:type="dxa"/>
            <w:vAlign w:val="bottom"/>
          </w:tcPr>
          <w:p>
            <w:pPr>
              <w:jc w:val="right"/>
              <w:ind w:right="48"/>
              <w:spacing w:after="0"/>
              <w:rPr>
                <w:sz w:val="20"/>
                <w:szCs w:val="20"/>
                <w:color w:val="auto"/>
              </w:rPr>
            </w:pPr>
            <w:r>
              <w:rPr>
                <w:rFonts w:ascii="Arial" w:cs="Arial" w:eastAsia="Arial" w:hAnsi="Arial"/>
                <w:sz w:val="14"/>
                <w:szCs w:val="14"/>
                <w:color w:val="032E5C"/>
              </w:rPr>
              <w:t>(154,305)</w:t>
            </w:r>
          </w:p>
        </w:tc>
      </w:tr>
      <w:tr>
        <w:trPr>
          <w:trHeight w:val="22"/>
        </w:trPr>
        <w:tc>
          <w:tcPr>
            <w:tcW w:w="640" w:type="dxa"/>
            <w:vAlign w:val="bottom"/>
            <w:tcBorders>
              <w:bottom w:val="single" w:sz="8" w:color="98BDE2"/>
            </w:tcBorders>
          </w:tcPr>
          <w:p>
            <w:pPr>
              <w:spacing w:after="0" w:line="20" w:lineRule="exact"/>
              <w:rPr>
                <w:sz w:val="1"/>
                <w:szCs w:val="1"/>
                <w:color w:val="auto"/>
              </w:rPr>
            </w:pPr>
          </w:p>
        </w:tc>
        <w:tc>
          <w:tcPr>
            <w:tcW w:w="2040" w:type="dxa"/>
            <w:vAlign w:val="bottom"/>
            <w:tcBorders>
              <w:bottom w:val="single" w:sz="8" w:color="98BDE2"/>
            </w:tcBorders>
          </w:tcPr>
          <w:p>
            <w:pPr>
              <w:spacing w:after="0" w:line="20" w:lineRule="exact"/>
              <w:rPr>
                <w:sz w:val="1"/>
                <w:szCs w:val="1"/>
                <w:color w:val="auto"/>
              </w:rPr>
            </w:pPr>
          </w:p>
        </w:tc>
        <w:tc>
          <w:tcPr>
            <w:tcW w:w="1580" w:type="dxa"/>
            <w:vAlign w:val="bottom"/>
            <w:tcBorders>
              <w:bottom w:val="single" w:sz="8" w:color="98BDE2"/>
            </w:tcBorders>
          </w:tcPr>
          <w:p>
            <w:pPr>
              <w:spacing w:after="0" w:line="20" w:lineRule="exact"/>
              <w:rPr>
                <w:sz w:val="1"/>
                <w:szCs w:val="1"/>
                <w:color w:val="auto"/>
              </w:rPr>
            </w:pPr>
          </w:p>
        </w:tc>
        <w:tc>
          <w:tcPr>
            <w:tcW w:w="150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1500" w:type="dxa"/>
            <w:vAlign w:val="bottom"/>
            <w:tcBorders>
              <w:bottom w:val="single" w:sz="8" w:color="98BDE2"/>
            </w:tcBorders>
          </w:tcPr>
          <w:p>
            <w:pPr>
              <w:spacing w:after="0" w:line="20" w:lineRule="exact"/>
              <w:rPr>
                <w:sz w:val="1"/>
                <w:szCs w:val="1"/>
                <w:color w:val="auto"/>
              </w:rPr>
            </w:pPr>
          </w:p>
        </w:tc>
        <w:tc>
          <w:tcPr>
            <w:tcW w:w="1300" w:type="dxa"/>
            <w:vAlign w:val="bottom"/>
            <w:tcBorders>
              <w:bottom w:val="single" w:sz="8" w:color="98BDE2"/>
            </w:tcBorders>
          </w:tcPr>
          <w:p>
            <w:pPr>
              <w:spacing w:after="0" w:line="20" w:lineRule="exact"/>
              <w:rPr>
                <w:sz w:val="1"/>
                <w:szCs w:val="1"/>
                <w:color w:val="auto"/>
              </w:rPr>
            </w:pPr>
          </w:p>
        </w:tc>
      </w:tr>
      <w:tr>
        <w:trPr>
          <w:trHeight w:val="201"/>
        </w:trPr>
        <w:tc>
          <w:tcPr>
            <w:tcW w:w="640" w:type="dxa"/>
            <w:vAlign w:val="bottom"/>
          </w:tcPr>
          <w:p>
            <w:pPr>
              <w:ind w:left="100"/>
              <w:spacing w:after="0"/>
              <w:rPr>
                <w:sz w:val="20"/>
                <w:szCs w:val="20"/>
                <w:color w:val="auto"/>
              </w:rPr>
            </w:pPr>
            <w:r>
              <w:rPr>
                <w:rFonts w:ascii="Arial" w:cs="Arial" w:eastAsia="Arial" w:hAnsi="Arial"/>
                <w:sz w:val="14"/>
                <w:szCs w:val="14"/>
                <w:color w:val="032E5C"/>
              </w:rPr>
              <w:t>2023</w:t>
            </w:r>
          </w:p>
        </w:tc>
        <w:tc>
          <w:tcPr>
            <w:tcW w:w="2040" w:type="dxa"/>
            <w:vAlign w:val="bottom"/>
          </w:tcPr>
          <w:p>
            <w:pPr>
              <w:jc w:val="right"/>
              <w:ind w:right="68"/>
              <w:spacing w:after="0"/>
              <w:rPr>
                <w:sz w:val="20"/>
                <w:szCs w:val="20"/>
                <w:color w:val="auto"/>
              </w:rPr>
            </w:pPr>
            <w:r>
              <w:rPr>
                <w:rFonts w:ascii="Arial" w:cs="Arial" w:eastAsia="Arial" w:hAnsi="Arial"/>
                <w:sz w:val="14"/>
                <w:szCs w:val="14"/>
                <w:color w:val="032E5C"/>
              </w:rPr>
              <w:t>900,201</w:t>
            </w:r>
          </w:p>
        </w:tc>
        <w:tc>
          <w:tcPr>
            <w:tcW w:w="1580" w:type="dxa"/>
            <w:vAlign w:val="bottom"/>
          </w:tcPr>
          <w:p>
            <w:pPr>
              <w:jc w:val="right"/>
              <w:ind w:right="8"/>
              <w:spacing w:after="0"/>
              <w:rPr>
                <w:sz w:val="20"/>
                <w:szCs w:val="20"/>
                <w:color w:val="auto"/>
              </w:rPr>
            </w:pPr>
            <w:r>
              <w:rPr>
                <w:rFonts w:ascii="Arial" w:cs="Arial" w:eastAsia="Arial" w:hAnsi="Arial"/>
                <w:sz w:val="14"/>
                <w:szCs w:val="14"/>
                <w:color w:val="032E5C"/>
              </w:rPr>
              <w:t>(189)</w:t>
            </w:r>
          </w:p>
        </w:tc>
        <w:tc>
          <w:tcPr>
            <w:tcW w:w="15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960" w:type="dxa"/>
            <w:vAlign w:val="bottom"/>
          </w:tcPr>
          <w:p>
            <w:pPr>
              <w:jc w:val="right"/>
              <w:ind w:right="8"/>
              <w:spacing w:after="0"/>
              <w:rPr>
                <w:sz w:val="20"/>
                <w:szCs w:val="20"/>
                <w:color w:val="auto"/>
              </w:rPr>
            </w:pPr>
            <w:r>
              <w:rPr>
                <w:rFonts w:ascii="Arial" w:cs="Arial" w:eastAsia="Arial" w:hAnsi="Arial"/>
                <w:sz w:val="14"/>
                <w:szCs w:val="14"/>
                <w:color w:val="032E5C"/>
              </w:rPr>
              <w:t>(150,012)</w:t>
            </w:r>
          </w:p>
        </w:tc>
        <w:tc>
          <w:tcPr>
            <w:tcW w:w="1500" w:type="dxa"/>
            <w:vAlign w:val="bottom"/>
          </w:tcPr>
          <w:p>
            <w:pPr>
              <w:jc w:val="right"/>
              <w:ind w:right="48"/>
              <w:spacing w:after="0"/>
              <w:rPr>
                <w:sz w:val="20"/>
                <w:szCs w:val="20"/>
                <w:color w:val="auto"/>
              </w:rPr>
            </w:pPr>
            <w:r>
              <w:rPr>
                <w:rFonts w:ascii="Arial" w:cs="Arial" w:eastAsia="Arial" w:hAnsi="Arial"/>
                <w:sz w:val="14"/>
                <w:szCs w:val="14"/>
                <w:color w:val="032E5C"/>
              </w:rPr>
              <w:t>(341,212)</w:t>
            </w:r>
          </w:p>
        </w:tc>
        <w:tc>
          <w:tcPr>
            <w:tcW w:w="1300" w:type="dxa"/>
            <w:vAlign w:val="bottom"/>
          </w:tcPr>
          <w:p>
            <w:pPr>
              <w:jc w:val="right"/>
              <w:ind w:right="88"/>
              <w:spacing w:after="0"/>
              <w:rPr>
                <w:sz w:val="20"/>
                <w:szCs w:val="20"/>
                <w:color w:val="auto"/>
              </w:rPr>
            </w:pPr>
            <w:r>
              <w:rPr>
                <w:rFonts w:ascii="Arial" w:cs="Arial" w:eastAsia="Arial" w:hAnsi="Arial"/>
                <w:sz w:val="14"/>
                <w:szCs w:val="14"/>
                <w:color w:val="032E5C"/>
              </w:rPr>
              <w:t>408,788</w:t>
            </w:r>
          </w:p>
        </w:tc>
      </w:tr>
      <w:tr>
        <w:trPr>
          <w:trHeight w:val="22"/>
        </w:trPr>
        <w:tc>
          <w:tcPr>
            <w:tcW w:w="640" w:type="dxa"/>
            <w:vAlign w:val="bottom"/>
            <w:tcBorders>
              <w:bottom w:val="single" w:sz="8" w:color="98BDE2"/>
            </w:tcBorders>
          </w:tcPr>
          <w:p>
            <w:pPr>
              <w:spacing w:after="0" w:line="20" w:lineRule="exact"/>
              <w:rPr>
                <w:sz w:val="1"/>
                <w:szCs w:val="1"/>
                <w:color w:val="auto"/>
              </w:rPr>
            </w:pPr>
          </w:p>
        </w:tc>
        <w:tc>
          <w:tcPr>
            <w:tcW w:w="2040" w:type="dxa"/>
            <w:vAlign w:val="bottom"/>
            <w:tcBorders>
              <w:bottom w:val="single" w:sz="8" w:color="98BDE2"/>
            </w:tcBorders>
          </w:tcPr>
          <w:p>
            <w:pPr>
              <w:spacing w:after="0" w:line="20" w:lineRule="exact"/>
              <w:rPr>
                <w:sz w:val="1"/>
                <w:szCs w:val="1"/>
                <w:color w:val="auto"/>
              </w:rPr>
            </w:pPr>
          </w:p>
        </w:tc>
        <w:tc>
          <w:tcPr>
            <w:tcW w:w="1580" w:type="dxa"/>
            <w:vAlign w:val="bottom"/>
            <w:tcBorders>
              <w:bottom w:val="single" w:sz="8" w:color="98BDE2"/>
            </w:tcBorders>
          </w:tcPr>
          <w:p>
            <w:pPr>
              <w:spacing w:after="0" w:line="20" w:lineRule="exact"/>
              <w:rPr>
                <w:sz w:val="1"/>
                <w:szCs w:val="1"/>
                <w:color w:val="auto"/>
              </w:rPr>
            </w:pPr>
          </w:p>
        </w:tc>
        <w:tc>
          <w:tcPr>
            <w:tcW w:w="150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1500" w:type="dxa"/>
            <w:vAlign w:val="bottom"/>
            <w:tcBorders>
              <w:bottom w:val="single" w:sz="8" w:color="98BDE2"/>
            </w:tcBorders>
          </w:tcPr>
          <w:p>
            <w:pPr>
              <w:spacing w:after="0" w:line="20" w:lineRule="exact"/>
              <w:rPr>
                <w:sz w:val="1"/>
                <w:szCs w:val="1"/>
                <w:color w:val="auto"/>
              </w:rPr>
            </w:pPr>
          </w:p>
        </w:tc>
        <w:tc>
          <w:tcPr>
            <w:tcW w:w="1300" w:type="dxa"/>
            <w:vAlign w:val="bottom"/>
            <w:tcBorders>
              <w:bottom w:val="single" w:sz="8" w:color="98BDE2"/>
            </w:tcBorders>
          </w:tcPr>
          <w:p>
            <w:pPr>
              <w:spacing w:after="0" w:line="20" w:lineRule="exact"/>
              <w:rPr>
                <w:sz w:val="1"/>
                <w:szCs w:val="1"/>
                <w:color w:val="auto"/>
              </w:rPr>
            </w:pPr>
          </w:p>
        </w:tc>
      </w:tr>
      <w:tr>
        <w:trPr>
          <w:trHeight w:val="202"/>
        </w:trPr>
        <w:tc>
          <w:tcPr>
            <w:tcW w:w="640" w:type="dxa"/>
            <w:vAlign w:val="bottom"/>
          </w:tcPr>
          <w:p>
            <w:pPr>
              <w:ind w:left="100"/>
              <w:spacing w:after="0"/>
              <w:rPr>
                <w:sz w:val="20"/>
                <w:szCs w:val="20"/>
                <w:color w:val="auto"/>
              </w:rPr>
            </w:pPr>
            <w:r>
              <w:rPr>
                <w:rFonts w:ascii="Arial" w:cs="Arial" w:eastAsia="Arial" w:hAnsi="Arial"/>
                <w:sz w:val="14"/>
                <w:szCs w:val="14"/>
                <w:color w:val="032E5C"/>
              </w:rPr>
              <w:t>2022</w:t>
            </w:r>
          </w:p>
        </w:tc>
        <w:tc>
          <w:tcPr>
            <w:tcW w:w="2040" w:type="dxa"/>
            <w:vAlign w:val="bottom"/>
          </w:tcPr>
          <w:p>
            <w:pPr>
              <w:jc w:val="right"/>
              <w:ind w:right="68"/>
              <w:spacing w:after="0"/>
              <w:rPr>
                <w:sz w:val="20"/>
                <w:szCs w:val="20"/>
                <w:color w:val="auto"/>
              </w:rPr>
            </w:pPr>
            <w:r>
              <w:rPr>
                <w:rFonts w:ascii="Arial" w:cs="Arial" w:eastAsia="Arial" w:hAnsi="Arial"/>
                <w:sz w:val="14"/>
                <w:szCs w:val="14"/>
                <w:color w:val="032E5C"/>
              </w:rPr>
              <w:t>760,099</w:t>
            </w:r>
          </w:p>
        </w:tc>
        <w:tc>
          <w:tcPr>
            <w:tcW w:w="1580" w:type="dxa"/>
            <w:vAlign w:val="bottom"/>
          </w:tcPr>
          <w:p>
            <w:pPr>
              <w:jc w:val="right"/>
              <w:ind w:right="8"/>
              <w:spacing w:after="0"/>
              <w:rPr>
                <w:sz w:val="20"/>
                <w:szCs w:val="20"/>
                <w:color w:val="auto"/>
              </w:rPr>
            </w:pPr>
            <w:r>
              <w:rPr>
                <w:rFonts w:ascii="Arial" w:cs="Arial" w:eastAsia="Arial" w:hAnsi="Arial"/>
                <w:sz w:val="14"/>
                <w:szCs w:val="14"/>
                <w:color w:val="032E5C"/>
              </w:rPr>
              <w:t>(494,312)</w:t>
            </w:r>
          </w:p>
        </w:tc>
        <w:tc>
          <w:tcPr>
            <w:tcW w:w="15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960" w:type="dxa"/>
            <w:vAlign w:val="bottom"/>
          </w:tcPr>
          <w:p>
            <w:pPr>
              <w:jc w:val="right"/>
              <w:ind w:right="48"/>
              <w:spacing w:after="0"/>
              <w:rPr>
                <w:sz w:val="20"/>
                <w:szCs w:val="20"/>
                <w:color w:val="auto"/>
              </w:rPr>
            </w:pPr>
            <w:r>
              <w:rPr>
                <w:rFonts w:ascii="Arial" w:cs="Arial" w:eastAsia="Arial" w:hAnsi="Arial"/>
                <w:sz w:val="14"/>
                <w:szCs w:val="14"/>
                <w:color w:val="032E5C"/>
              </w:rPr>
              <w:t>379,607</w:t>
            </w:r>
          </w:p>
        </w:tc>
        <w:tc>
          <w:tcPr>
            <w:tcW w:w="15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1300" w:type="dxa"/>
            <w:vAlign w:val="bottom"/>
          </w:tcPr>
          <w:p>
            <w:pPr>
              <w:jc w:val="right"/>
              <w:ind w:right="88"/>
              <w:spacing w:after="0"/>
              <w:rPr>
                <w:sz w:val="20"/>
                <w:szCs w:val="20"/>
                <w:color w:val="auto"/>
              </w:rPr>
            </w:pPr>
            <w:r>
              <w:rPr>
                <w:rFonts w:ascii="Arial" w:cs="Arial" w:eastAsia="Arial" w:hAnsi="Arial"/>
                <w:sz w:val="14"/>
                <w:szCs w:val="14"/>
                <w:color w:val="032E5C"/>
              </w:rPr>
              <w:t>645,394</w:t>
            </w:r>
          </w:p>
        </w:tc>
      </w:tr>
      <w:tr>
        <w:trPr>
          <w:trHeight w:val="22"/>
        </w:trPr>
        <w:tc>
          <w:tcPr>
            <w:tcW w:w="640" w:type="dxa"/>
            <w:vAlign w:val="bottom"/>
            <w:tcBorders>
              <w:bottom w:val="single" w:sz="8" w:color="98BDE2"/>
            </w:tcBorders>
          </w:tcPr>
          <w:p>
            <w:pPr>
              <w:spacing w:after="0" w:line="20" w:lineRule="exact"/>
              <w:rPr>
                <w:sz w:val="1"/>
                <w:szCs w:val="1"/>
                <w:color w:val="auto"/>
              </w:rPr>
            </w:pPr>
          </w:p>
        </w:tc>
        <w:tc>
          <w:tcPr>
            <w:tcW w:w="2040" w:type="dxa"/>
            <w:vAlign w:val="bottom"/>
            <w:tcBorders>
              <w:bottom w:val="single" w:sz="8" w:color="98BDE2"/>
            </w:tcBorders>
          </w:tcPr>
          <w:p>
            <w:pPr>
              <w:spacing w:after="0" w:line="20" w:lineRule="exact"/>
              <w:rPr>
                <w:sz w:val="1"/>
                <w:szCs w:val="1"/>
                <w:color w:val="auto"/>
              </w:rPr>
            </w:pPr>
          </w:p>
        </w:tc>
        <w:tc>
          <w:tcPr>
            <w:tcW w:w="1580" w:type="dxa"/>
            <w:vAlign w:val="bottom"/>
            <w:tcBorders>
              <w:bottom w:val="single" w:sz="8" w:color="98BDE2"/>
            </w:tcBorders>
          </w:tcPr>
          <w:p>
            <w:pPr>
              <w:spacing w:after="0" w:line="20" w:lineRule="exact"/>
              <w:rPr>
                <w:sz w:val="1"/>
                <w:szCs w:val="1"/>
                <w:color w:val="auto"/>
              </w:rPr>
            </w:pPr>
          </w:p>
        </w:tc>
        <w:tc>
          <w:tcPr>
            <w:tcW w:w="1500" w:type="dxa"/>
            <w:vAlign w:val="bottom"/>
            <w:tcBorders>
              <w:bottom w:val="single" w:sz="8" w:color="98BDE2"/>
            </w:tcBorders>
          </w:tcPr>
          <w:p>
            <w:pPr>
              <w:spacing w:after="0" w:line="20" w:lineRule="exact"/>
              <w:rPr>
                <w:sz w:val="1"/>
                <w:szCs w:val="1"/>
                <w:color w:val="auto"/>
              </w:rPr>
            </w:pPr>
          </w:p>
        </w:tc>
        <w:tc>
          <w:tcPr>
            <w:tcW w:w="1960" w:type="dxa"/>
            <w:vAlign w:val="bottom"/>
            <w:tcBorders>
              <w:bottom w:val="single" w:sz="8" w:color="98BDE2"/>
            </w:tcBorders>
          </w:tcPr>
          <w:p>
            <w:pPr>
              <w:spacing w:after="0" w:line="20" w:lineRule="exact"/>
              <w:rPr>
                <w:sz w:val="1"/>
                <w:szCs w:val="1"/>
                <w:color w:val="auto"/>
              </w:rPr>
            </w:pPr>
          </w:p>
        </w:tc>
        <w:tc>
          <w:tcPr>
            <w:tcW w:w="1500" w:type="dxa"/>
            <w:vAlign w:val="bottom"/>
            <w:tcBorders>
              <w:bottom w:val="single" w:sz="8" w:color="98BDE2"/>
            </w:tcBorders>
          </w:tcPr>
          <w:p>
            <w:pPr>
              <w:spacing w:after="0" w:line="20" w:lineRule="exact"/>
              <w:rPr>
                <w:sz w:val="1"/>
                <w:szCs w:val="1"/>
                <w:color w:val="auto"/>
              </w:rPr>
            </w:pPr>
          </w:p>
        </w:tc>
        <w:tc>
          <w:tcPr>
            <w:tcW w:w="1300" w:type="dxa"/>
            <w:vAlign w:val="bottom"/>
            <w:tcBorders>
              <w:bottom w:val="single" w:sz="8" w:color="98BDE2"/>
            </w:tcBorders>
          </w:tcPr>
          <w:p>
            <w:pPr>
              <w:spacing w:after="0" w:line="20" w:lineRule="exact"/>
              <w:rPr>
                <w:sz w:val="1"/>
                <w:szCs w:val="1"/>
                <w:color w:val="auto"/>
              </w:rPr>
            </w:pPr>
          </w:p>
        </w:tc>
      </w:tr>
      <w:tr>
        <w:trPr>
          <w:trHeight w:val="201"/>
        </w:trPr>
        <w:tc>
          <w:tcPr>
            <w:tcW w:w="640" w:type="dxa"/>
            <w:vAlign w:val="bottom"/>
          </w:tcPr>
          <w:p>
            <w:pPr>
              <w:ind w:left="100"/>
              <w:spacing w:after="0"/>
              <w:rPr>
                <w:sz w:val="20"/>
                <w:szCs w:val="20"/>
                <w:color w:val="auto"/>
              </w:rPr>
            </w:pPr>
            <w:r>
              <w:rPr>
                <w:rFonts w:ascii="Arial" w:cs="Arial" w:eastAsia="Arial" w:hAnsi="Arial"/>
                <w:sz w:val="14"/>
                <w:szCs w:val="14"/>
                <w:color w:val="032E5C"/>
              </w:rPr>
              <w:t>2021</w:t>
            </w:r>
          </w:p>
        </w:tc>
        <w:tc>
          <w:tcPr>
            <w:tcW w:w="2040" w:type="dxa"/>
            <w:vAlign w:val="bottom"/>
          </w:tcPr>
          <w:p>
            <w:pPr>
              <w:jc w:val="right"/>
              <w:ind w:right="68"/>
              <w:spacing w:after="0"/>
              <w:rPr>
                <w:sz w:val="20"/>
                <w:szCs w:val="20"/>
                <w:color w:val="auto"/>
              </w:rPr>
            </w:pPr>
            <w:r>
              <w:rPr>
                <w:rFonts w:ascii="Arial" w:cs="Arial" w:eastAsia="Arial" w:hAnsi="Arial"/>
                <w:sz w:val="14"/>
                <w:szCs w:val="14"/>
                <w:color w:val="032E5C"/>
              </w:rPr>
              <w:t>2,633,281</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873,537</w:t>
            </w:r>
          </w:p>
        </w:tc>
        <w:tc>
          <w:tcPr>
            <w:tcW w:w="15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960" w:type="dxa"/>
            <w:vAlign w:val="bottom"/>
          </w:tcPr>
          <w:p>
            <w:pPr>
              <w:jc w:val="right"/>
              <w:ind w:right="48"/>
              <w:spacing w:after="0"/>
              <w:rPr>
                <w:sz w:val="20"/>
                <w:szCs w:val="20"/>
                <w:color w:val="auto"/>
              </w:rPr>
            </w:pPr>
            <w:r>
              <w:rPr>
                <w:rFonts w:ascii="Arial" w:cs="Arial" w:eastAsia="Arial" w:hAnsi="Arial"/>
                <w:sz w:val="14"/>
                <w:szCs w:val="14"/>
                <w:color w:val="032E5C"/>
              </w:rPr>
              <w:t>177,031</w:t>
            </w:r>
          </w:p>
        </w:tc>
        <w:tc>
          <w:tcPr>
            <w:tcW w:w="150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1300" w:type="dxa"/>
            <w:vAlign w:val="bottom"/>
          </w:tcPr>
          <w:p>
            <w:pPr>
              <w:jc w:val="right"/>
              <w:ind w:right="88"/>
              <w:spacing w:after="0"/>
              <w:rPr>
                <w:sz w:val="20"/>
                <w:szCs w:val="20"/>
                <w:color w:val="auto"/>
              </w:rPr>
            </w:pPr>
            <w:r>
              <w:rPr>
                <w:rFonts w:ascii="Arial" w:cs="Arial" w:eastAsia="Arial" w:hAnsi="Arial"/>
                <w:sz w:val="14"/>
                <w:szCs w:val="14"/>
                <w:color w:val="032E5C"/>
              </w:rPr>
              <w:t>3,683,849</w:t>
            </w:r>
          </w:p>
        </w:tc>
      </w:tr>
      <w:tr>
        <w:trPr>
          <w:trHeight w:val="29"/>
        </w:trPr>
        <w:tc>
          <w:tcPr>
            <w:tcW w:w="640" w:type="dxa"/>
            <w:vAlign w:val="bottom"/>
            <w:tcBorders>
              <w:bottom w:val="single" w:sz="8" w:color="3E5C7C"/>
            </w:tcBorders>
          </w:tcPr>
          <w:p>
            <w:pPr>
              <w:spacing w:after="0"/>
              <w:rPr>
                <w:sz w:val="2"/>
                <w:szCs w:val="2"/>
                <w:color w:val="auto"/>
              </w:rPr>
            </w:pPr>
          </w:p>
        </w:tc>
        <w:tc>
          <w:tcPr>
            <w:tcW w:w="2040" w:type="dxa"/>
            <w:vAlign w:val="bottom"/>
            <w:tcBorders>
              <w:bottom w:val="single" w:sz="8" w:color="3E5C7C"/>
            </w:tcBorders>
          </w:tcPr>
          <w:p>
            <w:pPr>
              <w:spacing w:after="0"/>
              <w:rPr>
                <w:sz w:val="2"/>
                <w:szCs w:val="2"/>
                <w:color w:val="auto"/>
              </w:rPr>
            </w:pPr>
          </w:p>
        </w:tc>
        <w:tc>
          <w:tcPr>
            <w:tcW w:w="1580" w:type="dxa"/>
            <w:vAlign w:val="bottom"/>
            <w:tcBorders>
              <w:bottom w:val="single" w:sz="8" w:color="3E5C7C"/>
            </w:tcBorders>
          </w:tcPr>
          <w:p>
            <w:pPr>
              <w:spacing w:after="0"/>
              <w:rPr>
                <w:sz w:val="2"/>
                <w:szCs w:val="2"/>
                <w:color w:val="auto"/>
              </w:rPr>
            </w:pPr>
          </w:p>
        </w:tc>
        <w:tc>
          <w:tcPr>
            <w:tcW w:w="1500" w:type="dxa"/>
            <w:vAlign w:val="bottom"/>
            <w:tcBorders>
              <w:bottom w:val="single" w:sz="8" w:color="3E5C7C"/>
            </w:tcBorders>
          </w:tcPr>
          <w:p>
            <w:pPr>
              <w:spacing w:after="0"/>
              <w:rPr>
                <w:sz w:val="2"/>
                <w:szCs w:val="2"/>
                <w:color w:val="auto"/>
              </w:rPr>
            </w:pPr>
          </w:p>
        </w:tc>
        <w:tc>
          <w:tcPr>
            <w:tcW w:w="1960" w:type="dxa"/>
            <w:vAlign w:val="bottom"/>
            <w:tcBorders>
              <w:bottom w:val="single" w:sz="8" w:color="3E5C7C"/>
            </w:tcBorders>
          </w:tcPr>
          <w:p>
            <w:pPr>
              <w:spacing w:after="0"/>
              <w:rPr>
                <w:sz w:val="2"/>
                <w:szCs w:val="2"/>
                <w:color w:val="auto"/>
              </w:rPr>
            </w:pPr>
          </w:p>
        </w:tc>
        <w:tc>
          <w:tcPr>
            <w:tcW w:w="1500" w:type="dxa"/>
            <w:vAlign w:val="bottom"/>
            <w:tcBorders>
              <w:bottom w:val="single" w:sz="8" w:color="3E5C7C"/>
            </w:tcBorders>
          </w:tcPr>
          <w:p>
            <w:pPr>
              <w:spacing w:after="0"/>
              <w:rPr>
                <w:sz w:val="2"/>
                <w:szCs w:val="2"/>
                <w:color w:val="auto"/>
              </w:rPr>
            </w:pPr>
          </w:p>
        </w:tc>
        <w:tc>
          <w:tcPr>
            <w:tcW w:w="1300" w:type="dxa"/>
            <w:vAlign w:val="bottom"/>
            <w:tcBorders>
              <w:bottom w:val="single" w:sz="8" w:color="3E5C7C"/>
            </w:tcBorders>
          </w:tcPr>
          <w:p>
            <w:pPr>
              <w:spacing w:after="0"/>
              <w:rPr>
                <w:sz w:val="2"/>
                <w:szCs w:val="2"/>
                <w:color w:val="auto"/>
              </w:rPr>
            </w:pPr>
          </w:p>
        </w:tc>
      </w:tr>
    </w:tbl>
    <w:p>
      <w:pPr>
        <w:spacing w:after="0" w:line="153" w:lineRule="exact"/>
        <w:rPr>
          <w:sz w:val="20"/>
          <w:szCs w:val="20"/>
          <w:color w:val="auto"/>
        </w:rPr>
      </w:pPr>
    </w:p>
    <w:p>
      <w:pPr>
        <w:ind w:left="340" w:right="100" w:hanging="332"/>
        <w:spacing w:after="0" w:line="269" w:lineRule="auto"/>
        <w:tabs>
          <w:tab w:leader="none" w:pos="340" w:val="left"/>
        </w:tabs>
        <w:numPr>
          <w:ilvl w:val="0"/>
          <w:numId w:val="71"/>
        </w:numPr>
        <w:rPr>
          <w:rFonts w:ascii="Arial" w:cs="Arial" w:eastAsia="Arial" w:hAnsi="Arial"/>
          <w:sz w:val="14"/>
          <w:szCs w:val="14"/>
          <w:color w:val="29292B"/>
        </w:rPr>
      </w:pPr>
      <w:r>
        <w:rPr>
          <w:rFonts w:ascii="Arial" w:cs="Arial" w:eastAsia="Arial" w:hAnsi="Arial"/>
          <w:sz w:val="14"/>
          <w:szCs w:val="14"/>
          <w:color w:val="29292B"/>
        </w:rPr>
        <w:t>The Peer Group Total Shareholder Return (“TSR”) set forth in this table utilizes the Dow Jones U.S. Travel &amp; Leisure Index, which we also utilize in the stock performance graph required by Item 201(e) of Regulation S-K included in our Annual Report for the year ended July 31, 2024. The comparison assumes $100 was invested for the period starting July 31, 2020, through the end of the listed year in the Company and in the Dow Jones U.S. Travel and Leisure Index, respectively. Historical stock performance is not necessarily indicative of future stock performance.</w:t>
      </w:r>
    </w:p>
    <w:p>
      <w:pPr>
        <w:spacing w:after="0" w:line="61" w:lineRule="exact"/>
        <w:rPr>
          <w:rFonts w:ascii="Arial" w:cs="Arial" w:eastAsia="Arial" w:hAnsi="Arial"/>
          <w:sz w:val="14"/>
          <w:szCs w:val="14"/>
          <w:color w:val="29292B"/>
        </w:rPr>
      </w:pPr>
    </w:p>
    <w:p>
      <w:pPr>
        <w:ind w:left="340" w:hanging="332"/>
        <w:spacing w:after="0" w:line="267" w:lineRule="auto"/>
        <w:tabs>
          <w:tab w:leader="none" w:pos="340" w:val="left"/>
        </w:tabs>
        <w:numPr>
          <w:ilvl w:val="0"/>
          <w:numId w:val="71"/>
        </w:numPr>
        <w:rPr>
          <w:rFonts w:ascii="Arial" w:cs="Arial" w:eastAsia="Arial" w:hAnsi="Arial"/>
          <w:sz w:val="14"/>
          <w:szCs w:val="14"/>
          <w:color w:val="29292B"/>
        </w:rPr>
      </w:pPr>
      <w:r>
        <w:rPr>
          <w:rFonts w:ascii="Arial" w:cs="Arial" w:eastAsia="Arial" w:hAnsi="Arial"/>
          <w:sz w:val="14"/>
          <w:szCs w:val="14"/>
          <w:color w:val="29292B"/>
        </w:rPr>
        <w:t>We determined Resort Reported EBITDA to be the most important financial performance measure used to link Company performance to Compensation Actually Paid to our PEOs and Non-PEO NEOs in 2024. Resort Reported EBITDA is a non-GAAP financial measure, calculated as earnings before interest, taxes, depreciation, and amortization, as reported for our Mountain and Lodging segments combined. For a reconciliation of the differences between Resort Reported EBITDA and the most directly comparable GAAP financial measure, see Appendix A of this proxy statement. This performance measure may not have been the most important financial performance measure in prior years and we may determine a different financial performance measure to be the most important financial performance measure in future years.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76</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59"/>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40" w:type="dxa"/>
            <w:vAlign w:val="bottom"/>
            <w:vMerge w:val="restart"/>
          </w:tcPr>
          <w:p>
            <w:pPr>
              <w:ind w:left="4020"/>
              <w:spacing w:after="0"/>
              <w:rPr>
                <w:sz w:val="20"/>
                <w:szCs w:val="20"/>
                <w:color w:val="auto"/>
              </w:rPr>
            </w:pPr>
            <w:r>
              <w:rPr>
                <w:rFonts w:ascii="Arial" w:cs="Arial" w:eastAsia="Arial" w:hAnsi="Arial"/>
                <w:sz w:val="13"/>
                <w:szCs w:val="13"/>
                <w:b w:val="1"/>
                <w:bCs w:val="1"/>
                <w:color w:val="032E5C"/>
                <w:w w:val="95"/>
              </w:rPr>
              <w:t>PAY VERSUS PERFORMANCE</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360"/>
        <w:spacing w:after="0" w:line="309" w:lineRule="auto"/>
        <w:rPr>
          <w:sz w:val="20"/>
          <w:szCs w:val="20"/>
          <w:color w:val="auto"/>
        </w:rPr>
      </w:pPr>
      <w:r>
        <w:rPr>
          <w:rFonts w:ascii="Arial" w:cs="Arial" w:eastAsia="Arial" w:hAnsi="Arial"/>
          <w:sz w:val="25"/>
          <w:szCs w:val="25"/>
          <w:b w:val="1"/>
          <w:bCs w:val="1"/>
          <w:color w:val="032E5C"/>
        </w:rPr>
        <w:t>Relationship Between PEOs and Non-PEO NEO Compensation Actually Paid and Company TSR</w:t>
      </w:r>
    </w:p>
    <w:p>
      <w:pPr>
        <w:spacing w:after="0" w:line="53" w:lineRule="exact"/>
        <w:rPr>
          <w:sz w:val="20"/>
          <w:szCs w:val="20"/>
          <w:color w:val="auto"/>
        </w:rPr>
      </w:pPr>
    </w:p>
    <w:p>
      <w:pPr>
        <w:jc w:val="both"/>
        <w:ind w:right="240"/>
        <w:spacing w:after="0" w:line="339" w:lineRule="auto"/>
        <w:rPr>
          <w:sz w:val="20"/>
          <w:szCs w:val="20"/>
          <w:color w:val="auto"/>
        </w:rPr>
      </w:pPr>
      <w:r>
        <w:rPr>
          <w:rFonts w:ascii="Arial" w:cs="Arial" w:eastAsia="Arial" w:hAnsi="Arial"/>
          <w:sz w:val="16"/>
          <w:szCs w:val="16"/>
          <w:color w:val="29292B"/>
        </w:rPr>
        <w:t>The following chart sets forth the relationship between Compensation Actually Paid to our PEOs, the average of Compensation Actually Paid to our Non-PEO NEOs, and the cumulative TSR over the four most recently completed fiscal years for the Company and the Dow Jones U.S. Travel &amp; Leisure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47625</wp:posOffset>
            </wp:positionV>
            <wp:extent cx="5966460" cy="32575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646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77</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0"/>
        </w:trPr>
        <w:tc>
          <w:tcPr>
            <w:tcW w:w="2240" w:type="dxa"/>
            <w:vAlign w:val="bottom"/>
            <w:vMerge w:val="restart"/>
            <w:shd w:val="clear" w:color="auto" w:fill="98BDE2"/>
          </w:tcPr>
          <w:p>
            <w:pPr>
              <w:ind w:left="220"/>
              <w:spacing w:after="0"/>
              <w:rPr>
                <w:sz w:val="20"/>
                <w:szCs w:val="20"/>
                <w:color w:val="auto"/>
              </w:rPr>
            </w:pPr>
            <w:r>
              <w:rPr>
                <w:rFonts w:ascii="Arial" w:cs="Arial" w:eastAsia="Arial" w:hAnsi="Arial"/>
                <w:sz w:val="13"/>
                <w:szCs w:val="13"/>
                <w:b w:val="1"/>
                <w:bCs w:val="1"/>
                <w:color w:val="032E5C"/>
              </w:rPr>
              <w:t>PAY VERSUS PERFORMANCE</w:t>
            </w:r>
          </w:p>
        </w:tc>
        <w:tc>
          <w:tcPr>
            <w:tcW w:w="8980" w:type="dxa"/>
            <w:vAlign w:val="bottom"/>
          </w:tcPr>
          <w:p>
            <w:pPr>
              <w:ind w:left="786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240" w:type="dxa"/>
            <w:vAlign w:val="bottom"/>
            <w:vMerge w:val="continue"/>
            <w:shd w:val="clear" w:color="auto" w:fill="98BDE2"/>
          </w:tcPr>
          <w:p>
            <w:pPr>
              <w:spacing w:after="0"/>
              <w:rPr>
                <w:sz w:val="4"/>
                <w:szCs w:val="4"/>
                <w:color w:val="auto"/>
              </w:rPr>
            </w:pPr>
          </w:p>
        </w:tc>
        <w:tc>
          <w:tcPr>
            <w:tcW w:w="8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240" w:type="dxa"/>
            <w:vAlign w:val="bottom"/>
            <w:shd w:val="clear" w:color="auto" w:fill="98BDE2"/>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Relationship Between PEO and Non-PEO NEO Compensation Actually Paid and Net Income</w:t>
      </w:r>
    </w:p>
    <w:p>
      <w:pPr>
        <w:spacing w:after="0" w:line="209"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29292B"/>
        </w:rPr>
        <w:t>The following chart sets forth the relationship between Compensation Actually Paid to our PEOs, the average of Compensation Actually Paid to our Non-PEO NEOs, and our Net Income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38735</wp:posOffset>
            </wp:positionV>
            <wp:extent cx="5966460" cy="32575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646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78</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83" w:name="page84"/>
    <w:bookmarkEnd w:id="83"/>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20"/>
                <w:szCs w:val="20"/>
                <w:color w:val="auto"/>
              </w:rPr>
            </w:pPr>
            <w:r>
              <w:rPr>
                <w:rFonts w:ascii="Arial" w:cs="Arial" w:eastAsia="Arial" w:hAnsi="Arial"/>
                <w:sz w:val="14"/>
                <w:szCs w:val="14"/>
                <w:color w:val="032E5C"/>
              </w:rPr>
              <w:t>Table of Contents</w:t>
            </w:r>
          </w:p>
        </w:tc>
        <w:tc>
          <w:tcPr>
            <w:tcW w:w="5840" w:type="dxa"/>
            <w:vAlign w:val="bottom"/>
            <w:vMerge w:val="restart"/>
          </w:tcPr>
          <w:p>
            <w:pPr>
              <w:ind w:left="4020"/>
              <w:spacing w:after="0"/>
              <w:rPr>
                <w:sz w:val="20"/>
                <w:szCs w:val="20"/>
                <w:color w:val="auto"/>
              </w:rPr>
            </w:pPr>
            <w:r>
              <w:rPr>
                <w:rFonts w:ascii="Arial" w:cs="Arial" w:eastAsia="Arial" w:hAnsi="Arial"/>
                <w:sz w:val="13"/>
                <w:szCs w:val="13"/>
                <w:b w:val="1"/>
                <w:bCs w:val="1"/>
                <w:color w:val="032E5C"/>
                <w:w w:val="95"/>
              </w:rPr>
              <w:t>PAY VERSUS PERFORMANCE</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106045</wp:posOffset>
            </wp:positionV>
            <wp:extent cx="1431925" cy="2400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840"/>
        <w:spacing w:after="0" w:line="309" w:lineRule="auto"/>
        <w:rPr>
          <w:sz w:val="20"/>
          <w:szCs w:val="20"/>
          <w:color w:val="auto"/>
        </w:rPr>
      </w:pPr>
      <w:r>
        <w:rPr>
          <w:rFonts w:ascii="Arial" w:cs="Arial" w:eastAsia="Arial" w:hAnsi="Arial"/>
          <w:sz w:val="25"/>
          <w:szCs w:val="25"/>
          <w:b w:val="1"/>
          <w:bCs w:val="1"/>
          <w:color w:val="032E5C"/>
        </w:rPr>
        <w:t>Relationship Between PEO and Non-PEO NEO Compensation Actually Paid and Resort Reported EBITDA</w:t>
      </w:r>
    </w:p>
    <w:p>
      <w:pPr>
        <w:spacing w:after="0" w:line="53"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29292B"/>
        </w:rPr>
        <w:t>The following chart sets forth the relationship between Compensation Actually Paid to our PEOs, the average of Compensation Actually Paid to our Non-PEO NEOs, and our Resort Reported EBITDA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47625</wp:posOffset>
            </wp:positionV>
            <wp:extent cx="5966460" cy="32575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646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Tabular List of Most Important Financial Performance Measures</w:t>
      </w:r>
    </w:p>
    <w:p>
      <w:pPr>
        <w:spacing w:after="0" w:line="209"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29292B"/>
        </w:rPr>
        <w:t>Resort Reported EBITDA was the only financial performance measure that the Company used to link Compensation Actually Paid to our PEO and Non-PEO NEOs for 2024 to Company Performance.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79</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4" w:name="page85"/>
    <w:bookmarkEnd w:id="84"/>
    <w:p>
      <w:pPr>
        <w:ind w:right="320"/>
        <w:spacing w:after="0" w:line="278" w:lineRule="auto"/>
        <w:rPr>
          <w:sz w:val="20"/>
          <w:szCs w:val="20"/>
          <w:color w:val="auto"/>
        </w:rPr>
      </w:pPr>
      <w:r>
        <w:rPr>
          <w:rFonts w:ascii="Arial" w:cs="Arial" w:eastAsia="Arial" w:hAnsi="Arial"/>
          <w:sz w:val="50"/>
          <w:szCs w:val="50"/>
          <w:b w:val="1"/>
          <w:bCs w:val="1"/>
          <w:color w:val="032E5C"/>
        </w:rPr>
        <w:t>PROPOSAL 2. RATIFICATION OF THE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53975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Selection of Independent Registered Public Accounting Firm</w:t>
      </w:r>
    </w:p>
    <w:p>
      <w:pPr>
        <w:spacing w:after="0" w:line="209"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color w:val="29292B"/>
        </w:rPr>
        <w:t>The Audit Committee has selected, and the Board has ratified the selection of, PricewaterhouseCoopers LLP to serve as our independent registered public accounting firm for fiscal 2024, and has further directed that management submit the selection of independent auditors for ratification by the stockholders at the Annual Meeting. PricewaterhouseCoopers LLP has been the Company’s independent registered public accounting firm since 2002.</w:t>
      </w:r>
    </w:p>
    <w:p>
      <w:pPr>
        <w:spacing w:after="0" w:line="1"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29292B"/>
        </w:rPr>
        <w:t>PricewaterhouseCoopers LLP expects to have a representative at the Annual Meeting who will have the opportunity to make a statement and who will be available to answer appropriate questions.</w:t>
      </w:r>
    </w:p>
    <w:p>
      <w:pPr>
        <w:spacing w:after="0" w:line="7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Neither the Company’s Bylaws nor other governing documents or law require stockholder ratification of the selection of PricewaterhouseCoopers LLP as the Company’s independent registered public accounting firm. However, the Audit Committee is submitting the selection of PricewaterhouseCoopers LLP to the stockholders for ratification as a matter of good corporate practice. If the stockholders fail to ratify the selection, the Audit Committee will reconsider whether or not to retain PricewaterhouseCoopers LLP. It is understood that even if the selection is ratified, the Audit Committee, in its discretion, may direct the appointment of a new independent accounting firm at any time during the year if the Audit Committee believes that such a change would be in the best interests of the Company and its stockholders.</w:t>
      </w:r>
    </w:p>
    <w:p>
      <w:pPr>
        <w:spacing w:after="0" w:line="81" w:lineRule="exact"/>
        <w:rPr>
          <w:sz w:val="20"/>
          <w:szCs w:val="20"/>
          <w:color w:val="auto"/>
        </w:rPr>
      </w:pPr>
    </w:p>
    <w:p>
      <w:pPr>
        <w:ind w:right="440"/>
        <w:spacing w:after="0" w:line="298" w:lineRule="auto"/>
        <w:rPr>
          <w:sz w:val="20"/>
          <w:szCs w:val="20"/>
          <w:color w:val="auto"/>
        </w:rPr>
      </w:pPr>
      <w:r>
        <w:rPr>
          <w:rFonts w:ascii="Arial" w:cs="Arial" w:eastAsia="Arial" w:hAnsi="Arial"/>
          <w:sz w:val="25"/>
          <w:szCs w:val="25"/>
          <w:b w:val="1"/>
          <w:bCs w:val="1"/>
          <w:color w:val="032E5C"/>
        </w:rPr>
        <w:t>Fees Billed to Vail Resorts by PricewaterhouseCoopers LLP During Fiscal 2024 and Fiscal 2023</w:t>
      </w:r>
    </w:p>
    <w:p>
      <w:pPr>
        <w:spacing w:after="0" w:line="66" w:lineRule="exact"/>
        <w:rPr>
          <w:sz w:val="20"/>
          <w:szCs w:val="20"/>
          <w:color w:val="auto"/>
        </w:rPr>
      </w:pPr>
    </w:p>
    <w:p>
      <w:pPr>
        <w:ind w:left="660" w:hanging="328"/>
        <w:spacing w:after="0" w:line="312" w:lineRule="auto"/>
        <w:tabs>
          <w:tab w:leader="none" w:pos="657" w:val="left"/>
        </w:tabs>
        <w:numPr>
          <w:ilvl w:val="0"/>
          <w:numId w:val="7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 xml:space="preserve">Audit Fees. </w:t>
      </w:r>
      <w:r>
        <w:rPr>
          <w:rFonts w:ascii="Arial" w:cs="Arial" w:eastAsia="Arial" w:hAnsi="Arial"/>
          <w:sz w:val="16"/>
          <w:szCs w:val="16"/>
          <w:color w:val="29292B"/>
        </w:rPr>
        <w:t>Audit fees (including expenses) billed (or billable) to the Company by PricewaterhouseCoopers LLP for the audit of our annual financial</w:t>
      </w:r>
      <w:r>
        <w:rPr>
          <w:rFonts w:ascii="Arial" w:cs="Arial" w:eastAsia="Arial" w:hAnsi="Arial"/>
          <w:sz w:val="16"/>
          <w:szCs w:val="16"/>
          <w:b w:val="1"/>
          <w:bCs w:val="1"/>
          <w:color w:val="29292B"/>
        </w:rPr>
        <w:t xml:space="preserve"> </w:t>
      </w:r>
      <w:r>
        <w:rPr>
          <w:rFonts w:ascii="Arial" w:cs="Arial" w:eastAsia="Arial" w:hAnsi="Arial"/>
          <w:sz w:val="16"/>
          <w:szCs w:val="16"/>
          <w:color w:val="29292B"/>
        </w:rPr>
        <w:t>statements included in our Form 10-K and the review of the financial statements included in our Forms 10-Q with respect to fiscal 2024 and fiscal 2023 were $4,208,000 and $3,945,000, respectively. For both fiscal years, such fees included fees for PricewaterhouseCoopers LLP’s examination of the effectiveness of the Company’s internal control over financial reporting.</w:t>
      </w:r>
    </w:p>
    <w:p>
      <w:pPr>
        <w:spacing w:after="0" w:line="96"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7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 xml:space="preserve">Audit-Related Fees. </w:t>
      </w:r>
      <w:r>
        <w:rPr>
          <w:rFonts w:ascii="Arial" w:cs="Arial" w:eastAsia="Arial" w:hAnsi="Arial"/>
          <w:sz w:val="16"/>
          <w:szCs w:val="16"/>
          <w:color w:val="29292B"/>
        </w:rPr>
        <w:t>There were no audit-related fees billed by PricewaterhouseCoopers LLP with respect to fiscal 2024 and fiscal 2023.</w:t>
      </w:r>
    </w:p>
    <w:p>
      <w:pPr>
        <w:spacing w:after="0" w:line="167" w:lineRule="exact"/>
        <w:rPr>
          <w:rFonts w:ascii="Wingdings" w:cs="Wingdings" w:eastAsia="Wingdings" w:hAnsi="Wingdings"/>
          <w:sz w:val="16"/>
          <w:szCs w:val="16"/>
          <w:b w:val="1"/>
          <w:bCs w:val="1"/>
          <w:color w:val="auto"/>
          <w:shd w:val="clear" w:color="auto" w:fill="3E5C7C"/>
        </w:rPr>
      </w:pPr>
    </w:p>
    <w:p>
      <w:pPr>
        <w:ind w:left="660" w:right="760" w:hanging="328"/>
        <w:spacing w:after="0" w:line="339" w:lineRule="auto"/>
        <w:tabs>
          <w:tab w:leader="none" w:pos="657" w:val="left"/>
        </w:tabs>
        <w:numPr>
          <w:ilvl w:val="0"/>
          <w:numId w:val="7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 xml:space="preserve">Tax Fees. </w:t>
      </w:r>
      <w:r>
        <w:rPr>
          <w:rFonts w:ascii="Arial" w:cs="Arial" w:eastAsia="Arial" w:hAnsi="Arial"/>
          <w:sz w:val="16"/>
          <w:szCs w:val="16"/>
          <w:color w:val="29292B"/>
        </w:rPr>
        <w:t>Tax fees billed (or billable) by PricewaterhouseCoopers LLP with respect to fiscal 2024 and fiscal 2023 were $0 and $190,000,</w:t>
      </w:r>
      <w:r>
        <w:rPr>
          <w:rFonts w:ascii="Arial" w:cs="Arial" w:eastAsia="Arial" w:hAnsi="Arial"/>
          <w:sz w:val="16"/>
          <w:szCs w:val="16"/>
          <w:b w:val="1"/>
          <w:bCs w:val="1"/>
          <w:color w:val="29292B"/>
        </w:rPr>
        <w:t xml:space="preserve"> </w:t>
      </w:r>
      <w:r>
        <w:rPr>
          <w:rFonts w:ascii="Arial" w:cs="Arial" w:eastAsia="Arial" w:hAnsi="Arial"/>
          <w:sz w:val="16"/>
          <w:szCs w:val="16"/>
          <w:color w:val="29292B"/>
        </w:rPr>
        <w:t>respectively. Such fees were related to tax services provided to the Company in connection with international tax compliance.</w:t>
      </w:r>
    </w:p>
    <w:p>
      <w:pPr>
        <w:spacing w:after="0" w:line="74" w:lineRule="exact"/>
        <w:rPr>
          <w:rFonts w:ascii="Wingdings" w:cs="Wingdings" w:eastAsia="Wingdings" w:hAnsi="Wingdings"/>
          <w:sz w:val="16"/>
          <w:szCs w:val="16"/>
          <w:b w:val="1"/>
          <w:bCs w:val="1"/>
          <w:color w:val="auto"/>
          <w:shd w:val="clear" w:color="auto" w:fill="3E5C7C"/>
        </w:rPr>
      </w:pPr>
    </w:p>
    <w:p>
      <w:pPr>
        <w:jc w:val="both"/>
        <w:ind w:left="660" w:hanging="328"/>
        <w:spacing w:after="0" w:line="319" w:lineRule="auto"/>
        <w:tabs>
          <w:tab w:leader="none" w:pos="657" w:val="left"/>
        </w:tabs>
        <w:numPr>
          <w:ilvl w:val="0"/>
          <w:numId w:val="7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 xml:space="preserve">All Other Fees. </w:t>
      </w:r>
      <w:r>
        <w:rPr>
          <w:rFonts w:ascii="Arial" w:cs="Arial" w:eastAsia="Arial" w:hAnsi="Arial"/>
          <w:sz w:val="16"/>
          <w:szCs w:val="16"/>
          <w:color w:val="29292B"/>
        </w:rPr>
        <w:t>All other fees (including expenses) billed by PricewaterhouseCoopers LLP with respect to fiscal 2024 and fiscal 2023 were $19,000</w:t>
      </w:r>
      <w:r>
        <w:rPr>
          <w:rFonts w:ascii="Arial" w:cs="Arial" w:eastAsia="Arial" w:hAnsi="Arial"/>
          <w:sz w:val="16"/>
          <w:szCs w:val="16"/>
          <w:b w:val="1"/>
          <w:bCs w:val="1"/>
          <w:color w:val="29292B"/>
        </w:rPr>
        <w:t xml:space="preserve"> </w:t>
      </w:r>
      <w:r>
        <w:rPr>
          <w:rFonts w:ascii="Arial" w:cs="Arial" w:eastAsia="Arial" w:hAnsi="Arial"/>
          <w:sz w:val="16"/>
          <w:szCs w:val="16"/>
          <w:color w:val="29292B"/>
        </w:rPr>
        <w:t>and $2,000, respectively. Such fees were related to software licensing fees for technical research tools, and agreed-upon procedures related to our 6.50% Notes issued in May 2024.</w:t>
      </w:r>
    </w:p>
    <w:p>
      <w:pPr>
        <w:spacing w:after="0" w:line="76"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29292B"/>
        </w:rPr>
        <w:t>The Audit Committee determined that the provision of services other than audit services by PricewaterhouseCoopers LLP was compatible with maintaining PricewaterhouseCoopers LLP’s independence.</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80</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85" w:name="page86"/>
    <w:bookmarkEnd w:id="85"/>
    <w:tbl>
      <w:tblPr>
        <w:tblLayout w:type="fixed"/>
        <w:tblInd w:w="20" w:type="dxa"/>
        <w:tblCellMar>
          <w:top w:w="0" w:type="dxa"/>
          <w:left w:w="0" w:type="dxa"/>
          <w:bottom w:w="0" w:type="dxa"/>
          <w:right w:w="0" w:type="dxa"/>
        </w:tblCellMar>
      </w:tblPr>
      <w:tr>
        <w:trPr>
          <w:trHeight w:val="190"/>
        </w:trPr>
        <w:tc>
          <w:tcPr>
            <w:tcW w:w="5680" w:type="dxa"/>
            <w:vAlign w:val="bottom"/>
          </w:tcPr>
          <w:p>
            <w:pPr>
              <w:spacing w:after="0"/>
              <w:rPr>
                <w:sz w:val="20"/>
                <w:szCs w:val="20"/>
                <w:color w:val="auto"/>
              </w:rPr>
            </w:pPr>
            <w:r>
              <w:rPr>
                <w:rFonts w:ascii="Arial" w:cs="Arial" w:eastAsia="Arial" w:hAnsi="Arial"/>
                <w:sz w:val="14"/>
                <w:szCs w:val="14"/>
                <w:color w:val="032E5C"/>
              </w:rPr>
              <w:t>Table of Contents</w:t>
            </w:r>
          </w:p>
        </w:tc>
        <w:tc>
          <w:tcPr>
            <w:tcW w:w="536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3"/>
              </w:rPr>
              <w:t>PROPOSAL 2</w:t>
            </w:r>
          </w:p>
        </w:tc>
        <w:tc>
          <w:tcPr>
            <w:tcW w:w="0" w:type="dxa"/>
            <w:vAlign w:val="bottom"/>
          </w:tcPr>
          <w:p>
            <w:pPr>
              <w:spacing w:after="0"/>
              <w:rPr>
                <w:sz w:val="1"/>
                <w:szCs w:val="1"/>
                <w:color w:val="auto"/>
              </w:rPr>
            </w:pPr>
          </w:p>
        </w:tc>
      </w:tr>
      <w:tr>
        <w:trPr>
          <w:trHeight w:val="54"/>
        </w:trPr>
        <w:tc>
          <w:tcPr>
            <w:tcW w:w="5680" w:type="dxa"/>
            <w:vAlign w:val="bottom"/>
          </w:tcPr>
          <w:p>
            <w:pPr>
              <w:spacing w:after="0"/>
              <w:rPr>
                <w:sz w:val="4"/>
                <w:szCs w:val="4"/>
                <w:color w:val="auto"/>
              </w:rPr>
            </w:pPr>
          </w:p>
        </w:tc>
        <w:tc>
          <w:tcPr>
            <w:tcW w:w="5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6603365</wp:posOffset>
            </wp:positionH>
            <wp:positionV relativeFrom="page">
              <wp:posOffset>106045</wp:posOffset>
            </wp:positionV>
            <wp:extent cx="737235" cy="2400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37235" cy="240030"/>
                    </a:xfrm>
                    <a:prstGeom prst="rect">
                      <a:avLst/>
                    </a:prstGeom>
                    <a:noFill/>
                  </pic:spPr>
                </pic:pic>
              </a:graphicData>
            </a:graphic>
          </wp:anchor>
        </w:drawing>
      </w:r>
    </w:p>
    <w:p>
      <w:pPr>
        <w:spacing w:after="0" w:line="361"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29292B"/>
        </w:rPr>
        <w:t>The Audit Committee has the sole authority to approve all audit engagement fees and terms and pre-approve all audit and permissible non-audit services provided by the Company’s independent registered public accounting firm. The Audit Committee has delegated authority to the Chair of the Audit Committee to pre-approve services between Audit Committee meetings, which must be reported to the full Audit Committee at its next meeting. Fees for permissible non-audit services that are not pre-approved must be less than 5% of total fees paid. For fiscal 2024 and fiscal 2023, all of the fees included under the headings “Tax Fees” and “All Other Fees” above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523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52324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389"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032E5C"/>
        </w:rPr>
        <w:t>FOR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500"/>
        <w:spacing w:after="0" w:line="322" w:lineRule="auto"/>
        <w:rPr>
          <w:sz w:val="20"/>
          <w:szCs w:val="20"/>
          <w:color w:val="auto"/>
        </w:rPr>
      </w:pPr>
      <w:r>
        <w:rPr>
          <w:rFonts w:ascii="Arial" w:cs="Arial" w:eastAsia="Arial" w:hAnsi="Arial"/>
          <w:sz w:val="16"/>
          <w:szCs w:val="16"/>
          <w:color w:val="032E5C"/>
        </w:rPr>
        <w:t xml:space="preserve">The Board recommends that you vote </w:t>
      </w:r>
      <w:r>
        <w:rPr>
          <w:rFonts w:ascii="Arial" w:cs="Arial" w:eastAsia="Arial" w:hAnsi="Arial"/>
          <w:sz w:val="16"/>
          <w:szCs w:val="16"/>
          <w:b w:val="1"/>
          <w:bCs w:val="1"/>
          <w:color w:val="032E5C"/>
        </w:rPr>
        <w:t>"FOR"</w:t>
      </w:r>
      <w:r>
        <w:rPr>
          <w:rFonts w:ascii="Arial" w:cs="Arial" w:eastAsia="Arial" w:hAnsi="Arial"/>
          <w:sz w:val="16"/>
          <w:szCs w:val="16"/>
          <w:color w:val="032E5C"/>
        </w:rPr>
        <w:t xml:space="preserve"> the ratification of the selection of PricewaterhouseCoopers LLP as the Company's independent registered public accounting form for the fiscal year ending July 31, 2025.</w:t>
      </w:r>
    </w:p>
    <w:p>
      <w:pPr>
        <w:spacing w:after="0" w:line="210" w:lineRule="exact"/>
        <w:rPr>
          <w:sz w:val="20"/>
          <w:szCs w:val="20"/>
          <w:color w:val="auto"/>
        </w:rPr>
      </w:pPr>
    </w:p>
    <w:p>
      <w:pPr>
        <w:sectPr>
          <w:pgSz w:w="11900" w:h="16838" w:orient="portrait"/>
          <w:cols w:equalWidth="0" w:num="2">
            <w:col w:w="980" w:space="620"/>
            <w:col w:w="9640"/>
          </w:cols>
          <w:pgMar w:left="320" w:top="184" w:right="339" w:bottom="1440" w:gutter="0" w:footer="0" w:header="0"/>
          <w:type w:val="continuous"/>
        </w:sect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81</w:t>
            </w:r>
          </w:p>
        </w:tc>
        <w:tc>
          <w:tcPr>
            <w:tcW w:w="0" w:type="dxa"/>
            <w:vAlign w:val="bottom"/>
          </w:tcPr>
          <w:p>
            <w:pPr>
              <w:spacing w:after="0"/>
              <w:rPr>
                <w:sz w:val="1"/>
                <w:szCs w:val="1"/>
                <w:color w:val="auto"/>
              </w:rPr>
            </w:pPr>
          </w:p>
        </w:tc>
      </w:tr>
      <w:tr>
        <w:trPr>
          <w:trHeight w:val="59"/>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50"/>
          <w:szCs w:val="50"/>
          <w:b w:val="1"/>
          <w:bCs w:val="1"/>
          <w:color w:val="032E5C"/>
        </w:rPr>
        <w:t>PROPOSAL 3. ADVISORY VOTE</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53975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29292B"/>
        </w:rPr>
        <w:t>As required by Section 14A of the Exchange Act, we are asking stockholders to approve an advisory resolution, commonly referred to as a “say-on-pay” resolution, approving our executive compensation as reported in this proxy statement. As described in the CD&amp;A section of this proxy statement, our executive compensation program is designed to incentivize achievement of short and long-term Company and individual performance. We believe this compensation approach aligns the interests of our executive officers with those of our stockholders.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29292B"/>
        </w:rPr>
        <w:t>The Compensation Committee has structured our executive compensation program to achieve the following key objectives:</w:t>
      </w:r>
    </w:p>
    <w:p>
      <w:pPr>
        <w:spacing w:after="0" w:line="167" w:lineRule="exact"/>
        <w:rPr>
          <w:sz w:val="20"/>
          <w:szCs w:val="20"/>
          <w:color w:val="auto"/>
        </w:rPr>
      </w:pPr>
    </w:p>
    <w:p>
      <w:pPr>
        <w:ind w:left="660" w:right="380" w:hanging="328"/>
        <w:spacing w:after="0" w:line="339" w:lineRule="auto"/>
        <w:tabs>
          <w:tab w:leader="none" w:pos="657" w:val="left"/>
        </w:tabs>
        <w:numPr>
          <w:ilvl w:val="0"/>
          <w:numId w:val="7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Emphasizing Pay-for-Performance. </w:t>
      </w:r>
      <w:r>
        <w:rPr>
          <w:rFonts w:ascii="Arial" w:cs="Arial" w:eastAsia="Arial" w:hAnsi="Arial"/>
          <w:sz w:val="16"/>
          <w:szCs w:val="16"/>
          <w:color w:val="29292B"/>
        </w:rPr>
        <w:t>Emphasize pay-for-performance by tying annual and long-term compensation incentives to achievement of</w:t>
      </w:r>
      <w:r>
        <w:rPr>
          <w:rFonts w:ascii="Arial" w:cs="Arial" w:eastAsia="Arial" w:hAnsi="Arial"/>
          <w:sz w:val="16"/>
          <w:szCs w:val="16"/>
          <w:i w:val="1"/>
          <w:iCs w:val="1"/>
          <w:color w:val="29292B"/>
        </w:rPr>
        <w:t xml:space="preserve"> </w:t>
      </w:r>
      <w:r>
        <w:rPr>
          <w:rFonts w:ascii="Arial" w:cs="Arial" w:eastAsia="Arial" w:hAnsi="Arial"/>
          <w:sz w:val="16"/>
          <w:szCs w:val="16"/>
          <w:color w:val="29292B"/>
        </w:rPr>
        <w:t>specified performance objectives or overall stock performance.</w:t>
      </w:r>
    </w:p>
    <w:p>
      <w:pPr>
        <w:spacing w:after="0" w:line="47" w:lineRule="exact"/>
        <w:rPr>
          <w:rFonts w:ascii="Wingdings" w:cs="Wingdings" w:eastAsia="Wingdings" w:hAnsi="Wingdings"/>
          <w:sz w:val="16"/>
          <w:szCs w:val="16"/>
          <w:b w:val="1"/>
          <w:bCs w:val="1"/>
          <w:color w:val="auto"/>
          <w:shd w:val="clear" w:color="auto" w:fill="3E5C7C"/>
        </w:rPr>
      </w:pPr>
    </w:p>
    <w:p>
      <w:pPr>
        <w:ind w:left="660" w:right="140" w:hanging="328"/>
        <w:spacing w:after="0" w:line="339" w:lineRule="auto"/>
        <w:tabs>
          <w:tab w:leader="none" w:pos="657" w:val="left"/>
        </w:tabs>
        <w:numPr>
          <w:ilvl w:val="0"/>
          <w:numId w:val="7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Attracting, Retaining and Motivating. </w:t>
      </w:r>
      <w:r>
        <w:rPr>
          <w:rFonts w:ascii="Arial" w:cs="Arial" w:eastAsia="Arial" w:hAnsi="Arial"/>
          <w:sz w:val="16"/>
          <w:szCs w:val="16"/>
          <w:color w:val="29292B"/>
        </w:rPr>
        <w:t>Attract, retain, and motivate talented executives who will determine our long-term success through a program</w:t>
      </w:r>
      <w:r>
        <w:rPr>
          <w:rFonts w:ascii="Arial" w:cs="Arial" w:eastAsia="Arial" w:hAnsi="Arial"/>
          <w:sz w:val="16"/>
          <w:szCs w:val="16"/>
          <w:i w:val="1"/>
          <w:iCs w:val="1"/>
          <w:color w:val="29292B"/>
        </w:rPr>
        <w:t xml:space="preserve"> </w:t>
      </w:r>
      <w:r>
        <w:rPr>
          <w:rFonts w:ascii="Arial" w:cs="Arial" w:eastAsia="Arial" w:hAnsi="Arial"/>
          <w:sz w:val="16"/>
          <w:szCs w:val="16"/>
          <w:color w:val="29292B"/>
        </w:rPr>
        <w:t>competitive with compensation paid by companies in the same market for executive talent.</w:t>
      </w:r>
    </w:p>
    <w:p>
      <w:pPr>
        <w:spacing w:after="0" w:line="47" w:lineRule="exact"/>
        <w:rPr>
          <w:rFonts w:ascii="Wingdings" w:cs="Wingdings" w:eastAsia="Wingdings" w:hAnsi="Wingdings"/>
          <w:sz w:val="16"/>
          <w:szCs w:val="16"/>
          <w:b w:val="1"/>
          <w:bCs w:val="1"/>
          <w:color w:val="auto"/>
          <w:shd w:val="clear" w:color="auto" w:fill="3E5C7C"/>
        </w:rPr>
      </w:pPr>
    </w:p>
    <w:p>
      <w:pPr>
        <w:ind w:left="660" w:right="440" w:hanging="328"/>
        <w:spacing w:after="0" w:line="339" w:lineRule="auto"/>
        <w:tabs>
          <w:tab w:leader="none" w:pos="657" w:val="left"/>
        </w:tabs>
        <w:numPr>
          <w:ilvl w:val="0"/>
          <w:numId w:val="7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Rewarding Contributions and Creating Long-Term Value. </w:t>
      </w:r>
      <w:r>
        <w:rPr>
          <w:rFonts w:ascii="Arial" w:cs="Arial" w:eastAsia="Arial" w:hAnsi="Arial"/>
          <w:sz w:val="16"/>
          <w:szCs w:val="16"/>
          <w:color w:val="29292B"/>
        </w:rPr>
        <w:t>Recognize and reward contributions of all employees, including executive officers, in</w:t>
      </w:r>
      <w:r>
        <w:rPr>
          <w:rFonts w:ascii="Arial" w:cs="Arial" w:eastAsia="Arial" w:hAnsi="Arial"/>
          <w:sz w:val="16"/>
          <w:szCs w:val="16"/>
          <w:i w:val="1"/>
          <w:iCs w:val="1"/>
          <w:color w:val="29292B"/>
        </w:rPr>
        <w:t xml:space="preserve"> </w:t>
      </w:r>
      <w:r>
        <w:rPr>
          <w:rFonts w:ascii="Arial" w:cs="Arial" w:eastAsia="Arial" w:hAnsi="Arial"/>
          <w:sz w:val="16"/>
          <w:szCs w:val="16"/>
          <w:color w:val="29292B"/>
        </w:rPr>
        <w:t>achieving strategic goals and business objectives, while aligning the program with stockholder interests.</w:t>
      </w:r>
    </w:p>
    <w:p>
      <w:pPr>
        <w:spacing w:after="0" w:line="6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We encourage stockholders to read the CD&amp;A (as well as the other tables and narrative disclosures included in this proxy statement), which describes in more detail how our executive compensation program operates and is designed to achieve our compensation objectives, including through the use of annual incentive awards, long-term equity awards, a high percentage of compensation that is variable or “at-risk,” and performance-based stock awards for our CEO. The Compensation Committee and the Board believe that the policies and procedures articulated in the CD&amp;A are effective in achieving our goals and that the compensation of our named executive officers reported in this proxy statement has supported and contributed to the Company’s recent and long-term success and is aligned with the interests of our stockholders.</w:t>
      </w:r>
    </w:p>
    <w:p>
      <w:pPr>
        <w:spacing w:after="0" w:line="78" w:lineRule="exact"/>
        <w:rPr>
          <w:sz w:val="20"/>
          <w:szCs w:val="20"/>
          <w:color w:val="auto"/>
        </w:rPr>
      </w:pPr>
    </w:p>
    <w:p>
      <w:pPr>
        <w:spacing w:after="0" w:line="306" w:lineRule="auto"/>
        <w:rPr>
          <w:sz w:val="20"/>
          <w:szCs w:val="20"/>
          <w:color w:val="auto"/>
        </w:rPr>
      </w:pPr>
      <w:r>
        <w:rPr>
          <w:rFonts w:ascii="Arial" w:cs="Arial" w:eastAsia="Arial" w:hAnsi="Arial"/>
          <w:sz w:val="16"/>
          <w:szCs w:val="16"/>
          <w:color w:val="29292B"/>
        </w:rPr>
        <w:t>At the 2023 Annual Meeting, we submitted a “say-on-pay” resolution to our stockholders. Our stockholders approved this proposal with approximately 96% of the votes cast on the proposal voting in favor of the resolution. Because our Board views the annual advisory vote as a good corporate governance practice, and because at our 2023 Annual Meeting approximately 99% of the votes cast on the frequency proposal were in favor of an annual advisory vote, we are again asking stockholders to approve the compensation of our NEOs as disclosed in this proxy statement.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9292B"/>
        </w:rPr>
        <w:t>Accordingly, the Board unanimously recommends that stockholders approve the following advisory resolution at the Annual Meeting:</w:t>
      </w:r>
    </w:p>
    <w:p>
      <w:pPr>
        <w:spacing w:after="0" w:line="154" w:lineRule="exact"/>
        <w:rPr>
          <w:sz w:val="20"/>
          <w:szCs w:val="20"/>
          <w:color w:val="auto"/>
        </w:rPr>
      </w:pPr>
    </w:p>
    <w:p>
      <w:pPr>
        <w:ind w:left="660" w:right="660"/>
        <w:spacing w:after="0" w:line="339" w:lineRule="auto"/>
        <w:rPr>
          <w:sz w:val="20"/>
          <w:szCs w:val="20"/>
          <w:color w:val="auto"/>
        </w:rPr>
      </w:pPr>
      <w:r>
        <w:rPr>
          <w:rFonts w:ascii="Arial" w:cs="Arial" w:eastAsia="Arial" w:hAnsi="Arial"/>
          <w:sz w:val="16"/>
          <w:szCs w:val="16"/>
          <w:color w:val="29292B"/>
        </w:rPr>
        <w:t>“RESOLVED, that the compensation paid to the named executive officers of Vail Resorts, Inc., as disclosed pursuant to the rules of the Securities and Exchange Commission, including the CD&amp;A, compensation tables and related narrative discussion, is hereby APPROVED.”</w:t>
      </w:r>
    </w:p>
    <w:p>
      <w:pPr>
        <w:spacing w:after="0" w:line="61"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29292B"/>
        </w:rPr>
        <w:t>Although this vote is advisory and is not binding on the Company, the Compensation Committee will take into account the outcome of the vote when considering future executive compensation decisions.</w:t>
      </w:r>
    </w:p>
    <w:p>
      <w:pPr>
        <w:sectPr>
          <w:pgSz w:w="11900" w:h="16838" w:orient="portrait"/>
          <w:cols w:equalWidth="0" w:num="1">
            <w:col w:w="11240"/>
          </w:cols>
          <w:pgMar w:left="320" w:top="1170" w:right="339" w:bottom="1440" w:gutter="0" w:footer="0" w:header="0"/>
        </w:sectPr>
      </w:pPr>
    </w:p>
    <w:p>
      <w:pPr>
        <w:spacing w:after="0" w:line="190"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032E5C"/>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848360" cy="2571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32E5C"/>
        </w:rPr>
        <w:t>82</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032E5C"/>
        </w:rPr>
        <w:t xml:space="preserve">The Board recommends that you vote </w:t>
      </w:r>
      <w:r>
        <w:rPr>
          <w:rFonts w:ascii="Arial" w:cs="Arial" w:eastAsia="Arial" w:hAnsi="Arial"/>
          <w:sz w:val="16"/>
          <w:szCs w:val="16"/>
          <w:b w:val="1"/>
          <w:bCs w:val="1"/>
          <w:color w:val="032E5C"/>
        </w:rPr>
        <w:t>"FOR"</w:t>
      </w:r>
      <w:r>
        <w:rPr>
          <w:rFonts w:ascii="Arial" w:cs="Arial" w:eastAsia="Arial" w:hAnsi="Arial"/>
          <w:sz w:val="16"/>
          <w:szCs w:val="16"/>
          <w:color w:val="032E5C"/>
        </w:rPr>
        <w:t xml:space="preserve"> the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-124460</wp:posOffset>
            </wp:positionV>
            <wp:extent cx="6283325" cy="2571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83325" cy="257175"/>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243840</wp:posOffset>
            </wp:positionV>
            <wp:extent cx="925830" cy="857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pacing w:after="0" w:line="377" w:lineRule="exact"/>
        <w:rPr>
          <w:sz w:val="20"/>
          <w:szCs w:val="20"/>
          <w:color w:val="auto"/>
        </w:rPr>
      </w:pPr>
    </w:p>
    <w:p>
      <w:pPr>
        <w:ind w:left="3200"/>
        <w:spacing w:after="0"/>
        <w:rPr>
          <w:sz w:val="20"/>
          <w:szCs w:val="20"/>
          <w:color w:val="auto"/>
        </w:rPr>
      </w:pPr>
      <w:r>
        <w:rPr>
          <w:rFonts w:ascii="Arial" w:cs="Arial" w:eastAsia="Arial" w:hAnsi="Arial"/>
          <w:sz w:val="16"/>
          <w:szCs w:val="16"/>
          <w:color w:val="98BDE2"/>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290830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80" w:space="620"/>
            <w:col w:w="9640"/>
          </w:cols>
          <w:pgMar w:left="320" w:top="1170" w:right="339" w:bottom="1440" w:gutter="0" w:footer="0" w:header="0"/>
          <w:type w:val="continuous"/>
        </w:sectPr>
      </w:pPr>
    </w:p>
    <w:bookmarkStart w:id="87" w:name="page88"/>
    <w:bookmarkEnd w:id="87"/>
    <w:p>
      <w:pPr>
        <w:ind w:right="500"/>
        <w:spacing w:after="0" w:line="278" w:lineRule="auto"/>
        <w:rPr>
          <w:sz w:val="20"/>
          <w:szCs w:val="20"/>
          <w:color w:val="auto"/>
        </w:rPr>
      </w:pPr>
      <w:r>
        <w:rPr>
          <w:rFonts w:ascii="Arial" w:cs="Arial" w:eastAsia="Arial" w:hAnsi="Arial"/>
          <w:sz w:val="50"/>
          <w:szCs w:val="50"/>
          <w:b w:val="1"/>
          <w:bCs w:val="1"/>
          <w:color w:val="032E5C"/>
        </w:rPr>
        <w:t>PROPOSAL 4. VOTE TO APPROVE THE VAIL RESORTS, INC. 2024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53975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29292B"/>
        </w:rPr>
        <w:t>The Board is seeking stockholder approval of the Vail Resorts, Inc. 2024 Omnibus Incentive Plan (the "2024 Plan"). The Board believes the adoption of the 2024 Plan is in the best interests of stockholders and the Company because cash- and equity-based awards help to attract, motivate, and retain talented employees, directors, and other service providers, align employee and stockholder interests, link employee compensation with performance, and maintain a culture based upon employee stock ownership.</w:t>
      </w:r>
    </w:p>
    <w:p>
      <w:pPr>
        <w:spacing w:after="0" w:line="96"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29292B"/>
        </w:rPr>
        <w:t>Stockholder approval of the 2024 Plan is necessary in order for the Company to (i) meet the NYSE stockholder approval requirements, and (ii) meet stockholder approval requirements for the grant of stock options that qualify as "incentive stock options" under Section 422 of the Internal Revenue Code of 1986, as amended (the "Code"). Capitalized terms herein will have the meanings ascribed to them in the 2024 Plan.</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Background</w:t>
      </w:r>
    </w:p>
    <w:p>
      <w:pPr>
        <w:spacing w:after="0" w:line="195" w:lineRule="exact"/>
        <w:rPr>
          <w:sz w:val="20"/>
          <w:szCs w:val="20"/>
          <w:color w:val="auto"/>
        </w:rPr>
      </w:pPr>
    </w:p>
    <w:p>
      <w:pPr>
        <w:spacing w:after="0" w:line="298" w:lineRule="auto"/>
        <w:rPr>
          <w:sz w:val="20"/>
          <w:szCs w:val="20"/>
          <w:color w:val="auto"/>
        </w:rPr>
      </w:pPr>
      <w:r>
        <w:rPr>
          <w:rFonts w:ascii="Arial" w:cs="Arial" w:eastAsia="Arial" w:hAnsi="Arial"/>
          <w:sz w:val="16"/>
          <w:szCs w:val="16"/>
          <w:color w:val="29292B"/>
        </w:rPr>
        <w:t>On September 25, 2024, upon the recommendation and approval of the Company’s Compensation Committee (the “Compensation Committee”), the Board adopted the 2024 Plan, subject to stockholder approval. The 2024 Plan will become effective upon approval by the Company's stockholders (the "Effective Date"). The 2024 Plan is intended to replace the Company's existing equity compensation plan, the Vail Resorts, Inc. 2015 Omnibus Incentive Plan ("2015 Plan"), which replaced the Amended and Restated 2002 Long-Term Incentive and Share Award Plan ("2002 Plan") in its entirety. Upon the effectiveness of the 2015 Plan, no additional awards were available for grant issuances under the 2002 Plan. If the Company's stockholders approve the 2024 Plan, from and after the Effective Date, no additional awards will be granted under the 2015 Plan after the date of such approval. Outstanding awards under the 2015 Plan and 2002 Plan, however, will continue to be governed by their applicable plan and the respective agreements under which they were granted. If the Company's stockholders do not approve the 2024 Plan, the 2015 Plan will continue in effect until its stated expiration date of December 4, 2025, unless the 2015 Plan is otherwise amended or a new plan is approved by the Compensation Committee and stockholders in the interim. We estimate that, based on the number of shares that will be available for issuance under the 2015 Plan (absent shareholder approval of the 2024 Plan), we will have sufficient shares available under the 2015 Plan to continue making awards for approximately one and a half years from the date of the 2024 Annual Meeting of Stockholders based on our historical usage, stock price assumptions, and expected practices at such time. As of October 8, 2024, there were a total of 1,096,721 shares of common stock available for issuance under the 2015 Plan, and awards (net of canceled or expired awards) covering an aggregate of 3,319,331 shares of common stock had been granted under the terms of the 2015 Plan. The per share closing price of the Company's common stock on October 8, 2024 was $170.36. The Company will limit additional grants under the 2015 Plan between October 8, 2024, and through the 2024 Annual Meeting of Stockholders to be held on December 5, 2024 to no more than 50,000 shares in total. As of October 8, 2024, there were outstanding awards of 895,240 share appreciation rights ("SARs"), which have a weighted-average exercise price of $227.40 per share and a weighted-average remaining term of 7.2 years; and 265,266 restricted share units under the 2015 Plan and 2002 Plan. If approved, the 2024 Plan will replace the 2015 Plan in its entirety and shares under the 2015 Plan will no longer remain available for grant as of the Effective Date.</w:t>
      </w:r>
    </w:p>
    <w:p>
      <w:pPr>
        <w:spacing w:after="0" w:line="114"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29292B"/>
        </w:rPr>
        <w:t>The 2024 Plan provides for the grant of awards of options (nonqualified stock options or incentive stock options), SARs, restricted shares, restricted share units, performance shares, performance units, performance cash awards, dividend equivalent rights, and other share-based awards (each, an "Award" and collectively, the "Awards"). Subject to adjustment as provided in the 2024 Plan, the maximum number of shares of stock reserved for issuance under the 2024 Plan will be 1,500,000 shares. The number of shares, if any, that are subject to Awards issued under the 2015 Plan or 2002 Plan that are forfeited, canceled, terminated, or surrendered on or after the Effective Date shall be extinguished and unavailable for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83</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4</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29292B"/>
        </w:rPr>
        <w:t>Awards under the 2002 Plan, 2015 Plan, or 2024 Plan. Therefore, only 1,500,000 shares will be issuable under the 2024 Plan as of the Effective Date. Awards under the 2024 Plan that are forfeited, canceled, terminated, exchanged, or surrendered, or such Award is settled in cash or otherwise terminates without a distribution of shares to the participant, any shares counted against the number of shares reserved and available under the 2024 Plan with respect to such Award will, to the extent of any such forfeiture, settlement, termination, cancellation, exchange, or surrender, again be available for Awards under the 2024 Plan.</w:t>
      </w:r>
    </w:p>
    <w:p>
      <w:pPr>
        <w:spacing w:after="0" w:line="85"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29292B"/>
        </w:rPr>
        <w:t>The following summary of the 2024 Plan is qualified in its entirety by reference to the full text of the 2024 Plan, a copy of which is attached as Appendix B to this proxy statement.</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Key Features of the 2024 Plan</w:t>
      </w:r>
    </w:p>
    <w:p>
      <w:pPr>
        <w:spacing w:after="0" w:line="195"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The Board believes the 2024 Plan contains several features that are consistent with protecting the interests of stockholders and sound corporate governance practices, including the following:</w:t>
      </w:r>
    </w:p>
    <w:p>
      <w:pPr>
        <w:spacing w:after="0" w:line="74" w:lineRule="exact"/>
        <w:rPr>
          <w:sz w:val="20"/>
          <w:szCs w:val="20"/>
          <w:color w:val="auto"/>
        </w:rPr>
      </w:pPr>
    </w:p>
    <w:p>
      <w:pPr>
        <w:ind w:left="660" w:right="460" w:hanging="328"/>
        <w:spacing w:after="0" w:line="339" w:lineRule="auto"/>
        <w:tabs>
          <w:tab w:leader="none" w:pos="657"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1:1 share count approach. </w:t>
      </w:r>
      <w:r>
        <w:rPr>
          <w:rFonts w:ascii="Arial" w:cs="Arial" w:eastAsia="Arial" w:hAnsi="Arial"/>
          <w:sz w:val="16"/>
          <w:szCs w:val="16"/>
          <w:color w:val="29292B"/>
        </w:rPr>
        <w:t>The number of shares subject to an Award will be counted against the share limit as one share for every one share</w:t>
      </w:r>
      <w:r>
        <w:rPr>
          <w:rFonts w:ascii="Arial" w:cs="Arial" w:eastAsia="Arial" w:hAnsi="Arial"/>
          <w:sz w:val="16"/>
          <w:szCs w:val="16"/>
          <w:i w:val="1"/>
          <w:iCs w:val="1"/>
          <w:color w:val="29292B"/>
        </w:rPr>
        <w:t xml:space="preserve"> </w:t>
      </w:r>
      <w:r>
        <w:rPr>
          <w:rFonts w:ascii="Arial" w:cs="Arial" w:eastAsia="Arial" w:hAnsi="Arial"/>
          <w:sz w:val="16"/>
          <w:szCs w:val="16"/>
          <w:color w:val="29292B"/>
        </w:rPr>
        <w:t>subject to such Award.</w:t>
      </w:r>
    </w:p>
    <w:p>
      <w:pPr>
        <w:spacing w:after="0" w:line="74" w:lineRule="exact"/>
        <w:rPr>
          <w:rFonts w:ascii="Wingdings" w:cs="Wingdings" w:eastAsia="Wingdings" w:hAnsi="Wingdings"/>
          <w:sz w:val="16"/>
          <w:szCs w:val="16"/>
          <w:b w:val="1"/>
          <w:bCs w:val="1"/>
          <w:color w:val="auto"/>
          <w:shd w:val="clear" w:color="auto" w:fill="3E5C7C"/>
        </w:rPr>
      </w:pPr>
    </w:p>
    <w:p>
      <w:pPr>
        <w:ind w:left="660" w:right="280" w:hanging="328"/>
        <w:spacing w:after="0" w:line="321" w:lineRule="auto"/>
        <w:tabs>
          <w:tab w:leader="none" w:pos="657"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automatic share replenishment or "evergreen" provision. </w:t>
      </w:r>
      <w:r>
        <w:rPr>
          <w:rFonts w:ascii="Arial" w:cs="Arial" w:eastAsia="Arial" w:hAnsi="Arial"/>
          <w:sz w:val="16"/>
          <w:szCs w:val="16"/>
          <w:color w:val="29292B"/>
        </w:rPr>
        <w:t>There is no evergreen feature pursuant to which the shares authorized for issuance</w:t>
      </w:r>
      <w:r>
        <w:rPr>
          <w:rFonts w:ascii="Arial" w:cs="Arial" w:eastAsia="Arial" w:hAnsi="Arial"/>
          <w:sz w:val="16"/>
          <w:szCs w:val="16"/>
          <w:i w:val="1"/>
          <w:iCs w:val="1"/>
          <w:color w:val="29292B"/>
        </w:rPr>
        <w:t xml:space="preserve"> </w:t>
      </w:r>
      <w:r>
        <w:rPr>
          <w:rFonts w:ascii="Arial" w:cs="Arial" w:eastAsia="Arial" w:hAnsi="Arial"/>
          <w:sz w:val="16"/>
          <w:szCs w:val="16"/>
          <w:color w:val="29292B"/>
        </w:rPr>
        <w:t>under the 2024 Plan can be automatically replenished.</w:t>
      </w:r>
    </w:p>
    <w:p>
      <w:pPr>
        <w:spacing w:after="0" w:line="88" w:lineRule="exact"/>
        <w:rPr>
          <w:rFonts w:ascii="Wingdings" w:cs="Wingdings" w:eastAsia="Wingdings" w:hAnsi="Wingdings"/>
          <w:sz w:val="16"/>
          <w:szCs w:val="16"/>
          <w:b w:val="1"/>
          <w:bCs w:val="1"/>
          <w:color w:val="auto"/>
          <w:shd w:val="clear" w:color="auto" w:fill="3E5C7C"/>
        </w:rPr>
      </w:pPr>
    </w:p>
    <w:p>
      <w:pPr>
        <w:ind w:left="660" w:right="100" w:hanging="328"/>
        <w:spacing w:after="0" w:line="339" w:lineRule="auto"/>
        <w:tabs>
          <w:tab w:leader="none" w:pos="657"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discounted options or SARs. </w:t>
      </w:r>
      <w:r>
        <w:rPr>
          <w:rFonts w:ascii="Arial" w:cs="Arial" w:eastAsia="Arial" w:hAnsi="Arial"/>
          <w:sz w:val="16"/>
          <w:szCs w:val="16"/>
          <w:color w:val="29292B"/>
        </w:rPr>
        <w:t>Stock options and SARs may not be granted with an exercise or grant price lower than the fair market value of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underlying shares on the date of grant.</w:t>
      </w:r>
    </w:p>
    <w:p>
      <w:pPr>
        <w:spacing w:after="0" w:line="74" w:lineRule="exact"/>
        <w:rPr>
          <w:rFonts w:ascii="Wingdings" w:cs="Wingdings" w:eastAsia="Wingdings" w:hAnsi="Wingdings"/>
          <w:sz w:val="16"/>
          <w:szCs w:val="16"/>
          <w:b w:val="1"/>
          <w:bCs w:val="1"/>
          <w:color w:val="auto"/>
          <w:shd w:val="clear" w:color="auto" w:fill="3E5C7C"/>
        </w:rPr>
      </w:pPr>
    </w:p>
    <w:p>
      <w:pPr>
        <w:ind w:left="660" w:right="460" w:hanging="328"/>
        <w:spacing w:after="0" w:line="339" w:lineRule="auto"/>
        <w:tabs>
          <w:tab w:leader="none" w:pos="657"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repricing of options or SARs without stockholder approval. </w:t>
      </w:r>
      <w:r>
        <w:rPr>
          <w:rFonts w:ascii="Arial" w:cs="Arial" w:eastAsia="Arial" w:hAnsi="Arial"/>
          <w:sz w:val="16"/>
          <w:szCs w:val="16"/>
          <w:color w:val="29292B"/>
        </w:rPr>
        <w:t>The 2024 Plan prohibits the direct or indirect repricing of stock options or SARs</w:t>
      </w:r>
      <w:r>
        <w:rPr>
          <w:rFonts w:ascii="Arial" w:cs="Arial" w:eastAsia="Arial" w:hAnsi="Arial"/>
          <w:sz w:val="16"/>
          <w:szCs w:val="16"/>
          <w:i w:val="1"/>
          <w:iCs w:val="1"/>
          <w:color w:val="29292B"/>
        </w:rPr>
        <w:t xml:space="preserve"> </w:t>
      </w:r>
      <w:r>
        <w:rPr>
          <w:rFonts w:ascii="Arial" w:cs="Arial" w:eastAsia="Arial" w:hAnsi="Arial"/>
          <w:sz w:val="16"/>
          <w:szCs w:val="16"/>
          <w:color w:val="29292B"/>
        </w:rPr>
        <w:t>without prior stockholder approval.</w:t>
      </w:r>
    </w:p>
    <w:p>
      <w:pPr>
        <w:spacing w:after="0" w:line="60" w:lineRule="exact"/>
        <w:rPr>
          <w:rFonts w:ascii="Wingdings" w:cs="Wingdings" w:eastAsia="Wingdings" w:hAnsi="Wingdings"/>
          <w:sz w:val="16"/>
          <w:szCs w:val="16"/>
          <w:b w:val="1"/>
          <w:bCs w:val="1"/>
          <w:color w:val="auto"/>
          <w:shd w:val="clear" w:color="auto" w:fill="3E5C7C"/>
        </w:rPr>
      </w:pPr>
    </w:p>
    <w:p>
      <w:pPr>
        <w:ind w:left="660" w:right="120" w:hanging="328"/>
        <w:spacing w:after="0" w:line="339" w:lineRule="auto"/>
        <w:tabs>
          <w:tab w:leader="none" w:pos="657"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liberal share counting or "recycling" of shares from exercised stock options or SARs. </w:t>
      </w:r>
      <w:r>
        <w:rPr>
          <w:rFonts w:ascii="Arial" w:cs="Arial" w:eastAsia="Arial" w:hAnsi="Arial"/>
          <w:sz w:val="16"/>
          <w:szCs w:val="16"/>
          <w:color w:val="29292B"/>
        </w:rPr>
        <w:t>Shares withheld by or delivered to the Company to satisfy</w:t>
      </w:r>
      <w:r>
        <w:rPr>
          <w:rFonts w:ascii="Arial" w:cs="Arial" w:eastAsia="Arial" w:hAnsi="Arial"/>
          <w:sz w:val="16"/>
          <w:szCs w:val="16"/>
          <w:i w:val="1"/>
          <w:iCs w:val="1"/>
          <w:color w:val="29292B"/>
        </w:rPr>
        <w:t xml:space="preserve"> </w:t>
      </w:r>
      <w:r>
        <w:rPr>
          <w:rFonts w:ascii="Arial" w:cs="Arial" w:eastAsia="Arial" w:hAnsi="Arial"/>
          <w:sz w:val="16"/>
          <w:szCs w:val="16"/>
          <w:color w:val="29292B"/>
        </w:rPr>
        <w:t>the exercise or grant price of stock options and SARs or tax withholding obligations upon such exercise will not be available for future grants.</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dividend equivalents on unvested Awards. </w:t>
      </w:r>
      <w:r>
        <w:rPr>
          <w:rFonts w:ascii="Arial" w:cs="Arial" w:eastAsia="Arial" w:hAnsi="Arial"/>
          <w:sz w:val="16"/>
          <w:szCs w:val="16"/>
          <w:color w:val="29292B"/>
        </w:rPr>
        <w:t>Dividend equivalents may not be paid on unvested Awards.</w:t>
      </w:r>
    </w:p>
    <w:p>
      <w:pPr>
        <w:spacing w:after="0" w:line="180" w:lineRule="exact"/>
        <w:rPr>
          <w:rFonts w:ascii="Wingdings" w:cs="Wingdings" w:eastAsia="Wingdings" w:hAnsi="Wingdings"/>
          <w:sz w:val="16"/>
          <w:szCs w:val="16"/>
          <w:b w:val="1"/>
          <w:bCs w:val="1"/>
          <w:color w:val="auto"/>
          <w:shd w:val="clear" w:color="auto" w:fill="3E5C7C"/>
        </w:rPr>
      </w:pPr>
    </w:p>
    <w:p>
      <w:pPr>
        <w:ind w:left="660" w:right="180" w:hanging="328"/>
        <w:spacing w:after="0" w:line="310" w:lineRule="auto"/>
        <w:tabs>
          <w:tab w:leader="none" w:pos="657"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Dividends paid on unvested restricted shares are held in escrow and subject to forfeiture until fully vested. </w:t>
      </w:r>
      <w:r>
        <w:rPr>
          <w:rFonts w:ascii="Arial" w:cs="Arial" w:eastAsia="Arial" w:hAnsi="Arial"/>
          <w:sz w:val="16"/>
          <w:szCs w:val="16"/>
          <w:color w:val="29292B"/>
        </w:rPr>
        <w:t>Any dividends paid on unvested</w:t>
      </w:r>
      <w:r>
        <w:rPr>
          <w:rFonts w:ascii="Arial" w:cs="Arial" w:eastAsia="Arial" w:hAnsi="Arial"/>
          <w:sz w:val="16"/>
          <w:szCs w:val="16"/>
          <w:i w:val="1"/>
          <w:iCs w:val="1"/>
          <w:color w:val="29292B"/>
        </w:rPr>
        <w:t xml:space="preserve"> </w:t>
      </w:r>
      <w:r>
        <w:rPr>
          <w:rFonts w:ascii="Arial" w:cs="Arial" w:eastAsia="Arial" w:hAnsi="Arial"/>
          <w:sz w:val="16"/>
          <w:szCs w:val="16"/>
          <w:color w:val="29292B"/>
        </w:rPr>
        <w:t>restricted shares are subject to the same restrictions as the restricted shares and will be held in escrow and subject to forfeiture until such time as the restricted shares become fully vested.</w:t>
      </w:r>
    </w:p>
    <w:p>
      <w:pPr>
        <w:spacing w:after="0" w:line="97" w:lineRule="exact"/>
        <w:rPr>
          <w:rFonts w:ascii="Wingdings" w:cs="Wingdings" w:eastAsia="Wingdings" w:hAnsi="Wingdings"/>
          <w:sz w:val="16"/>
          <w:szCs w:val="16"/>
          <w:b w:val="1"/>
          <w:bCs w:val="1"/>
          <w:color w:val="auto"/>
          <w:shd w:val="clear" w:color="auto" w:fill="3E5C7C"/>
        </w:rPr>
      </w:pPr>
    </w:p>
    <w:p>
      <w:pPr>
        <w:ind w:left="660" w:right="200" w:hanging="328"/>
        <w:spacing w:after="0" w:line="339" w:lineRule="auto"/>
        <w:tabs>
          <w:tab w:leader="none" w:pos="657"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Incentive-based Awards subject to clawback policy. </w:t>
      </w:r>
      <w:r>
        <w:rPr>
          <w:rFonts w:ascii="Arial" w:cs="Arial" w:eastAsia="Arial" w:hAnsi="Arial"/>
          <w:sz w:val="16"/>
          <w:szCs w:val="16"/>
          <w:color w:val="29292B"/>
        </w:rPr>
        <w:t>Incentive-based Awards granted under the 2024 Plan are subject to the Company's clawback</w:t>
      </w:r>
      <w:r>
        <w:rPr>
          <w:rFonts w:ascii="Arial" w:cs="Arial" w:eastAsia="Arial" w:hAnsi="Arial"/>
          <w:sz w:val="16"/>
          <w:szCs w:val="16"/>
          <w:i w:val="1"/>
          <w:iCs w:val="1"/>
          <w:color w:val="29292B"/>
        </w:rPr>
        <w:t xml:space="preserve"> </w:t>
      </w:r>
      <w:r>
        <w:rPr>
          <w:rFonts w:ascii="Arial" w:cs="Arial" w:eastAsia="Arial" w:hAnsi="Arial"/>
          <w:sz w:val="16"/>
          <w:szCs w:val="16"/>
          <w:color w:val="29292B"/>
        </w:rPr>
        <w:t>policy.</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excise tax gross-ups on change in control. </w:t>
      </w:r>
      <w:r>
        <w:rPr>
          <w:rFonts w:ascii="Arial" w:cs="Arial" w:eastAsia="Arial" w:hAnsi="Arial"/>
          <w:sz w:val="16"/>
          <w:szCs w:val="16"/>
          <w:color w:val="29292B"/>
        </w:rPr>
        <w:t>The 2024 Plan does not provide for any excise tax gross-ups.</w:t>
      </w:r>
    </w:p>
    <w:p>
      <w:pPr>
        <w:spacing w:after="0" w:line="167" w:lineRule="exact"/>
        <w:rPr>
          <w:rFonts w:ascii="Wingdings" w:cs="Wingdings" w:eastAsia="Wingdings" w:hAnsi="Wingdings"/>
          <w:sz w:val="16"/>
          <w:szCs w:val="16"/>
          <w:b w:val="1"/>
          <w:bCs w:val="1"/>
          <w:color w:val="auto"/>
          <w:shd w:val="clear" w:color="auto" w:fill="3E5C7C"/>
        </w:rPr>
      </w:pPr>
    </w:p>
    <w:p>
      <w:pPr>
        <w:ind w:left="660" w:right="200" w:hanging="328"/>
        <w:spacing w:after="0" w:line="312" w:lineRule="auto"/>
        <w:tabs>
          <w:tab w:leader="none" w:pos="657"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“Single Trigger” Change in Control Provision. </w:t>
      </w:r>
      <w:r>
        <w:rPr>
          <w:rFonts w:ascii="Arial" w:cs="Arial" w:eastAsia="Arial" w:hAnsi="Arial"/>
          <w:sz w:val="16"/>
          <w:szCs w:val="16"/>
          <w:color w:val="29292B"/>
        </w:rPr>
        <w:t>No automatic vesting of outstanding Awards upon the occurrence of only a change in control.</w:t>
      </w:r>
      <w:r>
        <w:rPr>
          <w:rFonts w:ascii="Arial" w:cs="Arial" w:eastAsia="Arial" w:hAnsi="Arial"/>
          <w:sz w:val="16"/>
          <w:szCs w:val="16"/>
          <w:i w:val="1"/>
          <w:iCs w:val="1"/>
          <w:color w:val="29292B"/>
        </w:rPr>
        <w:t xml:space="preserve"> </w:t>
      </w:r>
      <w:r>
        <w:rPr>
          <w:rFonts w:ascii="Arial" w:cs="Arial" w:eastAsia="Arial" w:hAnsi="Arial"/>
          <w:sz w:val="16"/>
          <w:szCs w:val="16"/>
          <w:color w:val="29292B"/>
        </w:rPr>
        <w:t>Instead, outstanding Awards may be assumed, exchanged, or otherwise continued following the change in control, and outstanding Awards will only vest if (i) they are not assumed, exchanged or otherwise continued and terminate in connection with the change in control, or (ii) the terms of the individual Awards require accelerated vesting, or (iii) the holder of the Award is terminated from service to the Company.</w:t>
      </w:r>
    </w:p>
    <w:p>
      <w:pPr>
        <w:spacing w:after="0" w:line="96" w:lineRule="exact"/>
        <w:rPr>
          <w:rFonts w:ascii="Wingdings" w:cs="Wingdings" w:eastAsia="Wingdings" w:hAnsi="Wingdings"/>
          <w:sz w:val="16"/>
          <w:szCs w:val="16"/>
          <w:b w:val="1"/>
          <w:bCs w:val="1"/>
          <w:color w:val="auto"/>
          <w:shd w:val="clear" w:color="auto" w:fill="3E5C7C"/>
        </w:rPr>
      </w:pPr>
    </w:p>
    <w:p>
      <w:pPr>
        <w:ind w:left="660" w:right="40" w:hanging="328"/>
        <w:spacing w:after="0" w:line="321" w:lineRule="auto"/>
        <w:tabs>
          <w:tab w:leader="none" w:pos="657"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transferability. </w:t>
      </w:r>
      <w:r>
        <w:rPr>
          <w:rFonts w:ascii="Arial" w:cs="Arial" w:eastAsia="Arial" w:hAnsi="Arial"/>
          <w:sz w:val="16"/>
          <w:szCs w:val="16"/>
          <w:color w:val="29292B"/>
        </w:rPr>
        <w:t>Awards generally may not be transferred, except by will or the laws of descent and distribution, unless the transfer is approved by</w:t>
      </w:r>
      <w:r>
        <w:rPr>
          <w:rFonts w:ascii="Arial" w:cs="Arial" w:eastAsia="Arial" w:hAnsi="Arial"/>
          <w:sz w:val="16"/>
          <w:szCs w:val="16"/>
          <w:i w:val="1"/>
          <w:iCs w:val="1"/>
          <w:color w:val="29292B"/>
        </w:rPr>
        <w:t xml:space="preserve"> </w:t>
      </w:r>
      <w:r>
        <w:rPr>
          <w:rFonts w:ascii="Arial" w:cs="Arial" w:eastAsia="Arial" w:hAnsi="Arial"/>
          <w:sz w:val="16"/>
          <w:szCs w:val="16"/>
          <w:color w:val="29292B"/>
        </w:rPr>
        <w:t>the Compensation Committee and is for no consideration.</w:t>
      </w:r>
    </w:p>
    <w:p>
      <w:pPr>
        <w:spacing w:after="0" w:line="88"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7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Independent administration. </w:t>
      </w:r>
      <w:r>
        <w:rPr>
          <w:rFonts w:ascii="Arial" w:cs="Arial" w:eastAsia="Arial" w:hAnsi="Arial"/>
          <w:sz w:val="16"/>
          <w:szCs w:val="16"/>
          <w:color w:val="29292B"/>
        </w:rPr>
        <w:t>Members of the committee administering the 2024 Plan are non-employee, independent, and outside directors.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Background for Requested Share Authorization</w:t>
      </w:r>
    </w:p>
    <w:p>
      <w:pPr>
        <w:spacing w:after="0" w:line="19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29292B"/>
        </w:rPr>
        <w:t>The number of shares of common stock reserved for issuance under the 2024 Plan was determined after consideration of a number of factors, including (i) the Company's historical equity grant practices, including its "burn rate", which is below the industry and Russell 3000 index thresholds established by certain major proxy advisory firms; and (ii) expected dilution to existing stockholders. We are seeking to include 1,500,000 shares of common stock under the 2024 Plan since no new Awards will be granted under the 2015 Plan on or following the Effective Date. Nonetheless, outstanding Awards previously</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84</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89" w:name="page90"/>
    <w:bookmarkEnd w:id="89"/>
    <w:tbl>
      <w:tblPr>
        <w:tblLayout w:type="fixed"/>
        <w:tblInd w:w="20" w:type="dxa"/>
        <w:tblCellMar>
          <w:top w:w="0" w:type="dxa"/>
          <w:left w:w="0" w:type="dxa"/>
          <w:bottom w:w="0" w:type="dxa"/>
          <w:right w:w="0" w:type="dxa"/>
        </w:tblCellMar>
      </w:tblPr>
      <w:tr>
        <w:trPr>
          <w:trHeight w:val="190"/>
        </w:trPr>
        <w:tc>
          <w:tcPr>
            <w:tcW w:w="5700" w:type="dxa"/>
            <w:vAlign w:val="bottom"/>
          </w:tcPr>
          <w:p>
            <w:pPr>
              <w:spacing w:after="0"/>
              <w:rPr>
                <w:sz w:val="20"/>
                <w:szCs w:val="20"/>
                <w:color w:val="auto"/>
              </w:rPr>
            </w:pPr>
            <w:r>
              <w:rPr>
                <w:rFonts w:ascii="Arial" w:cs="Arial" w:eastAsia="Arial" w:hAnsi="Arial"/>
                <w:sz w:val="14"/>
                <w:szCs w:val="14"/>
                <w:color w:val="032E5C"/>
              </w:rPr>
              <w:t>Table of Contents</w:t>
            </w:r>
          </w:p>
        </w:tc>
        <w:tc>
          <w:tcPr>
            <w:tcW w:w="538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5"/>
              </w:rPr>
              <w:t>PROPOSAL 4</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6637655</wp:posOffset>
            </wp:positionH>
            <wp:positionV relativeFrom="page">
              <wp:posOffset>106045</wp:posOffset>
            </wp:positionV>
            <wp:extent cx="702945" cy="2400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02945" cy="240030"/>
                    </a:xfrm>
                    <a:prstGeom prst="rect">
                      <a:avLst/>
                    </a:prstGeom>
                    <a:noFill/>
                  </pic:spPr>
                </pic:pic>
              </a:graphicData>
            </a:graphic>
          </wp:anchor>
        </w:drawing>
      </w:r>
    </w:p>
    <w:p>
      <w:pPr>
        <w:spacing w:after="0" w:line="361"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29292B"/>
        </w:rPr>
        <w:t>granted under the 2015 Plan shall continue unaffected and shall continue to be governed by the terms of the 2015 Plan. These 1,500,000 shares under the 2024 Plan will enable us to grant equity compensation at a level that allows us to continue to attract and retain employees in the competitive labor markets in which we compete.</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Description of the 2024 Plan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Purpose</w:t>
      </w:r>
    </w:p>
    <w:p>
      <w:pPr>
        <w:spacing w:after="0" w:line="126"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29292B"/>
        </w:rPr>
        <w:t>The 2024 Plan is intended to advance the interests of the Company and its stockholders by providing a means to attract, retain, and motivate employees, consultants, and directors of the Company upon whose judgment, initiative, and efforts the continued success, growth, and development of the Company is dependent.</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Eligibility and Term</w:t>
      </w:r>
    </w:p>
    <w:p>
      <w:pPr>
        <w:spacing w:after="0" w:line="126"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29292B"/>
        </w:rPr>
        <w:t>Any employee or consultant (including any former employee serving as a consultant) of the Company, a subsidiary, or an affiliate, and any director of the Company, in each case as the Committee (as defined below) determines and designates from time to time, is eligible to receive Awards under the 2024 Plan. As of October 8, 2024, approximately 12,900 employees, and all of the Company's non-employee directors, are eligible to participate in the 2024 Plan. The 2024 Plan will become effective as of the Effective Date and will terminate on the first to occur of (i) the date that is ten years after the Effective Date, or (ii) the date determined in accordance with the Board's authority to amend, alter, suspend, discontinue, or terminate the 2024 Plan.</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Administration</w:t>
      </w:r>
    </w:p>
    <w:p>
      <w:pPr>
        <w:spacing w:after="0" w:line="12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29292B"/>
        </w:rPr>
        <w:t>The 2024 Plan will be administered by the Compensation Committee or a subcommittee thereof, or such other Board committee as designated by the Board to administer the 2024 Plan (the "Committee"). The Committee will consist of not fewer than two directors of the Company, each of whom will be (i) a "non-employee director" within the meaning of Rule 16b-3 of the Exchange Act, and (ii) an independent director in accordance with the rules of any stock exchange on which the Company's shares are listed.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9292B"/>
        </w:rPr>
        <w:t>The Committee may (subject to express limitations in the 2024 Plan), among other things:</w:t>
      </w:r>
    </w:p>
    <w:p>
      <w:pPr>
        <w:spacing w:after="0" w:line="181" w:lineRule="exact"/>
        <w:rPr>
          <w:sz w:val="20"/>
          <w:szCs w:val="20"/>
          <w:color w:val="auto"/>
        </w:rPr>
      </w:pPr>
    </w:p>
    <w:p>
      <w:pPr>
        <w:ind w:left="660" w:hanging="328"/>
        <w:spacing w:after="0"/>
        <w:tabs>
          <w:tab w:leader="none" w:pos="660" w:val="left"/>
        </w:tabs>
        <w:numPr>
          <w:ilvl w:val="0"/>
          <w:numId w:val="7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select persons eligible for Awards;</w:t>
      </w:r>
    </w:p>
    <w:p>
      <w:pPr>
        <w:spacing w:after="0" w:line="180" w:lineRule="exact"/>
        <w:rPr>
          <w:rFonts w:ascii="Wingdings" w:cs="Wingdings" w:eastAsia="Wingdings" w:hAnsi="Wingdings"/>
          <w:sz w:val="16"/>
          <w:szCs w:val="16"/>
          <w:b w:val="1"/>
          <w:bCs w:val="1"/>
          <w:color w:val="auto"/>
          <w:shd w:val="clear" w:color="auto" w:fill="3E5C7C"/>
        </w:rPr>
      </w:pPr>
    </w:p>
    <w:p>
      <w:pPr>
        <w:ind w:left="660" w:right="420" w:hanging="328"/>
        <w:spacing w:after="0" w:line="339" w:lineRule="auto"/>
        <w:tabs>
          <w:tab w:leader="none" w:pos="657" w:val="left"/>
        </w:tabs>
        <w:numPr>
          <w:ilvl w:val="0"/>
          <w:numId w:val="7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determine the type of Awards, number of shares to which an Award may relate, terms and conditions of any Award, and all other matters to be determined in connection with an Award;</w:t>
      </w:r>
    </w:p>
    <w:p>
      <w:pPr>
        <w:spacing w:after="0" w:line="60" w:lineRule="exact"/>
        <w:rPr>
          <w:rFonts w:ascii="Wingdings" w:cs="Wingdings" w:eastAsia="Wingdings" w:hAnsi="Wingdings"/>
          <w:sz w:val="16"/>
          <w:szCs w:val="16"/>
          <w:b w:val="1"/>
          <w:bCs w:val="1"/>
          <w:color w:val="auto"/>
          <w:shd w:val="clear" w:color="auto" w:fill="3E5C7C"/>
        </w:rPr>
      </w:pPr>
    </w:p>
    <w:p>
      <w:pPr>
        <w:ind w:left="660" w:right="520" w:hanging="328"/>
        <w:spacing w:after="0" w:line="339" w:lineRule="auto"/>
        <w:tabs>
          <w:tab w:leader="none" w:pos="657" w:val="left"/>
        </w:tabs>
        <w:numPr>
          <w:ilvl w:val="0"/>
          <w:numId w:val="7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determine whether, to what extent, and when an Award may be settled, or the exercise price of an Award may be paid, in cash, shares, other Awards, or other property;</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7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determine whether, to what extent, and when cash, shares, other Awards, or other property payable with respect to an Award will be deferred;</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7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prescribe the form of each award agreement;</w:t>
      </w:r>
    </w:p>
    <w:p>
      <w:pPr>
        <w:spacing w:after="0" w:line="180" w:lineRule="exact"/>
        <w:rPr>
          <w:rFonts w:ascii="Wingdings" w:cs="Wingdings" w:eastAsia="Wingdings" w:hAnsi="Wingdings"/>
          <w:sz w:val="16"/>
          <w:szCs w:val="16"/>
          <w:b w:val="1"/>
          <w:bCs w:val="1"/>
          <w:color w:val="auto"/>
          <w:shd w:val="clear" w:color="auto" w:fill="3E5C7C"/>
        </w:rPr>
      </w:pPr>
    </w:p>
    <w:p>
      <w:pPr>
        <w:ind w:left="660" w:right="620" w:hanging="328"/>
        <w:spacing w:after="0" w:line="321" w:lineRule="auto"/>
        <w:tabs>
          <w:tab w:leader="none" w:pos="657" w:val="left"/>
        </w:tabs>
        <w:numPr>
          <w:ilvl w:val="0"/>
          <w:numId w:val="7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adopt, amend, suspend, waive, and rescind such rules and regulations and appoint such agents as the Committee may deem necessary or advisable to administer the 2024 Plan;</w:t>
      </w:r>
    </w:p>
    <w:p>
      <w:pPr>
        <w:spacing w:after="0" w:line="88" w:lineRule="exact"/>
        <w:rPr>
          <w:rFonts w:ascii="Wingdings" w:cs="Wingdings" w:eastAsia="Wingdings" w:hAnsi="Wingdings"/>
          <w:sz w:val="16"/>
          <w:szCs w:val="16"/>
          <w:b w:val="1"/>
          <w:bCs w:val="1"/>
          <w:color w:val="auto"/>
          <w:shd w:val="clear" w:color="auto" w:fill="3E5C7C"/>
        </w:rPr>
      </w:pPr>
    </w:p>
    <w:p>
      <w:pPr>
        <w:ind w:left="660" w:right="40" w:hanging="328"/>
        <w:spacing w:after="0" w:line="339" w:lineRule="auto"/>
        <w:tabs>
          <w:tab w:leader="none" w:pos="657" w:val="left"/>
        </w:tabs>
        <w:numPr>
          <w:ilvl w:val="0"/>
          <w:numId w:val="7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correct any defect or supply any omission or reconcile any inconsistency in the 2024 Plan and construe and interpret the 2024 Plan and any Award, rules and regulations, award agreement, or other instrument under the 2024 Plan;</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7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accelerate the exercisability or vesting of all or any portion of any Award or extend the period during which an Award is exercisable; and</w:t>
      </w:r>
    </w:p>
    <w:p>
      <w:pPr>
        <w:spacing w:after="0" w:line="180" w:lineRule="exact"/>
        <w:rPr>
          <w:rFonts w:ascii="Wingdings" w:cs="Wingdings" w:eastAsia="Wingdings" w:hAnsi="Wingdings"/>
          <w:sz w:val="16"/>
          <w:szCs w:val="16"/>
          <w:b w:val="1"/>
          <w:bCs w:val="1"/>
          <w:color w:val="auto"/>
          <w:shd w:val="clear" w:color="auto" w:fill="3E5C7C"/>
        </w:rPr>
      </w:pPr>
    </w:p>
    <w:p>
      <w:pPr>
        <w:ind w:left="660" w:right="320" w:hanging="328"/>
        <w:spacing w:after="0" w:line="321" w:lineRule="auto"/>
        <w:tabs>
          <w:tab w:leader="none" w:pos="657" w:val="left"/>
        </w:tabs>
        <w:numPr>
          <w:ilvl w:val="0"/>
          <w:numId w:val="7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make all other decisions and determinations as may be required under the terms of the 2024 Plan or as the Committee may deem necessary or advisable for the administration of the 2024 Plan.</w:t>
      </w:r>
    </w:p>
    <w:p>
      <w:pPr>
        <w:spacing w:after="0" w:line="88" w:lineRule="exact"/>
        <w:rPr>
          <w:sz w:val="20"/>
          <w:szCs w:val="20"/>
          <w:color w:val="auto"/>
        </w:rPr>
      </w:pPr>
    </w:p>
    <w:p>
      <w:pPr>
        <w:ind w:right="400"/>
        <w:spacing w:after="0" w:line="319" w:lineRule="auto"/>
        <w:rPr>
          <w:sz w:val="20"/>
          <w:szCs w:val="20"/>
          <w:color w:val="auto"/>
        </w:rPr>
      </w:pPr>
      <w:r>
        <w:rPr>
          <w:rFonts w:ascii="Arial" w:cs="Arial" w:eastAsia="Arial" w:hAnsi="Arial"/>
          <w:sz w:val="16"/>
          <w:szCs w:val="16"/>
          <w:color w:val="29292B"/>
        </w:rPr>
        <w:t>The Committee may also determine whether, to what extent, and when an Award may be canceled, forfeited, exchanged, or surrendered, and the Committee may waive any conditions or rights under, amend, modify or supplement the terms of, or amend, alter, suspend, discontinue, or terminate an Award, but the Committee may not, except in connection with 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85</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4</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corporate transaction involving the Company (i) amend the terms of outstanding options or SARs to reduce the exercise price of such outstanding options or SARs, (ii) exchange outstanding options or SARs for options or SARs with an exercise price that is less than the exercise price of the original options or SARs, or (iii) cancel outstanding options or SARs with exercise prices above the current fair market value of a share in exchange for cash or other securities, in each case, unless such action is subject to and approved by the Company's stockholders. To the extent permitted by Rule 16b-3 of the Exchange Act and applicable laws, the Committee may delegate its authority with respect to the 2024 Plan and Awards to other members of the Board or officers or managers of the Company or any subsidiary or affiliate.</w:t>
      </w:r>
    </w:p>
    <w:p>
      <w:pPr>
        <w:spacing w:after="0" w:line="1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29292B"/>
        </w:rPr>
        <w:t xml:space="preserve">Minimum Vesting Period. </w:t>
      </w:r>
      <w:r>
        <w:rPr>
          <w:rFonts w:ascii="Arial" w:cs="Arial" w:eastAsia="Arial" w:hAnsi="Arial"/>
          <w:sz w:val="16"/>
          <w:szCs w:val="16"/>
          <w:color w:val="29292B"/>
        </w:rPr>
        <w:t>Except with respect to a maximum of five percent of the shares of stock reserved under the 2024 Plan, as may be adjusted</w:t>
      </w:r>
      <w:r>
        <w:rPr>
          <w:rFonts w:ascii="Arial" w:cs="Arial" w:eastAsia="Arial" w:hAnsi="Arial"/>
          <w:sz w:val="16"/>
          <w:szCs w:val="16"/>
          <w:i w:val="1"/>
          <w:iCs w:val="1"/>
          <w:color w:val="29292B"/>
        </w:rPr>
        <w:t xml:space="preserve"> </w:t>
      </w:r>
      <w:r>
        <w:rPr>
          <w:rFonts w:ascii="Arial" w:cs="Arial" w:eastAsia="Arial" w:hAnsi="Arial"/>
          <w:sz w:val="16"/>
          <w:szCs w:val="16"/>
          <w:color w:val="29292B"/>
        </w:rPr>
        <w:t>pursuant to the terms of the 2024 Plan, and except in connection with a Change in Control (as defined below), no Award will provide for vesting which is any more rapid than vesting on the one year anniversary of the grant date or, with respect to Awards that vest upon the attainment of performance goals, a performance period that is less than twelve months.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Shares Available for Issuance</w:t>
      </w:r>
    </w:p>
    <w:p>
      <w:pPr>
        <w:spacing w:after="0" w:line="139"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29292B"/>
        </w:rPr>
        <w:t>Subject to adjustment as provided in the 2024 Plan, the maximum number of shares of stock reserved for issuance under the 2024 Plan will be 1,500,000 shares. From and after the Effective Date, no Awards shall be granted under the 2015 Plan or 2002 Plan; however, any Award under those plans shall continue to be subject to the terms and conditions of their applicable plan. The number of shares, if any, that are subject to Awards issued under the 2015 Plan or 2002 Plan that are forfeited, canceled, terminated, or surrendered on or after the Effective Date shall be extinguished and unavailable for Awards under the 2002 Plan, 2015 Plan, or 2024 Plan. Therefore, only 1,500,000 shares will be issuable under the 2024 Plan as of the Effective Date. Any or all of the shares of stock reserved for issuance under the 2024 Plan will be available for issuance pursuant to incentive stock options.</w:t>
      </w:r>
    </w:p>
    <w:p>
      <w:pPr>
        <w:spacing w:after="0" w:line="9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29292B"/>
        </w:rPr>
        <w:t>The Committee will have the right to cause the Company to substitute or assume Awards in connection with mergers, reorganizations, separations, or other transactions. In connection with any dividend in shares, recapitalization, share split, reverse split, reorganization, merger, consolidation, spin-off, combination, repurchase or share exchange, or other similar corporate transaction or event, the Committee will make equitable changes or adjustments that it deems appropriate in order to prevent dilution or enlargement of the rights of participants under the 2024 Plan, and adjust any or all of (i) the number and kind of shares that may be issued under the 2024 Plan; (ii) the number and kind of shares, other securities or other consideration issued or issuable with respect to outstanding Awards; or (iii) the exercise price, grant price or purchase price relating to any Awards.</w:t>
      </w:r>
    </w:p>
    <w:p>
      <w:pPr>
        <w:spacing w:after="0" w:line="105" w:lineRule="exact"/>
        <w:rPr>
          <w:sz w:val="20"/>
          <w:szCs w:val="20"/>
          <w:color w:val="auto"/>
        </w:rPr>
      </w:pPr>
    </w:p>
    <w:p>
      <w:pPr>
        <w:spacing w:after="0" w:line="299" w:lineRule="auto"/>
        <w:rPr>
          <w:sz w:val="20"/>
          <w:szCs w:val="20"/>
          <w:color w:val="auto"/>
        </w:rPr>
      </w:pPr>
      <w:r>
        <w:rPr>
          <w:rFonts w:ascii="Arial" w:cs="Arial" w:eastAsia="Arial" w:hAnsi="Arial"/>
          <w:sz w:val="16"/>
          <w:szCs w:val="16"/>
          <w:color w:val="29292B"/>
        </w:rPr>
        <w:t>Shares of stock covered by an Award (any option, SAR, restricted share, restricted share unit, performance share, performance unit, performance cash award, dividend equivalent, other share-based Award, other cash Award, or any other Award granted to an Eligible Person under the 2024 Plan), will be counted as used as of the grant date to calculate the number of shares of stock available for issuance. Any shares of stock subject to Awards will be counted against the share reserve as one share of stock for every one share of stock subject to such Award. The number of shares subject to an Award of SARs will be counted against the share reserve as one share for every one share subject to an Award, regardless of the number of shares of stock actually issued to settle such SARs upon the exercise of the SARs. The target number of shares of stock issuable under a performance share or performance unit will be counted against the share reserve as of the grant date, but such number will be adjusted to reflect the actual number of shares of stock issued upon settlement of the performance shares or performance units, as applicable, to the extent different from such target number of shares. Awards that do not entitle a participant to receive or purchase shares and Awards that are settled in cash will not be counted against the share reserve.</w:t>
      </w:r>
    </w:p>
    <w:p>
      <w:pPr>
        <w:spacing w:after="0" w:line="1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9292B"/>
        </w:rPr>
        <w:t>If any Awards issued under the 2015 Plan or 2002 Plan are forfeited, canceled, terminated, exchanged, or surrendered, or any such Award is settled in cash or otherwise terminates without a distribution of shares to the participant, then the number of shares counted against the share reserve with respect to such Award will, to the extent of such forfeiture, settlement, termination, cancellation, exchange, or surrender, be extinguished and unavailable for Awards under the under the 2002 Plan, 2015 Plan, or 2024 Plan. Upon the Effective Date, Awards under the 2024 Plan that are forfeited, canceled, terminated, exchanged, or surrendered, or such Award is settled in cash or otherwise terminates without a distribution of shares to the participant, any shares counted against the number of shares reserved and available under the 2024 Plan with respect to such Award will, to the extent of any such forfeiture, settlement, termination, cancellation, exchange, or surrender, again be available for Awards under the 2024 Plan. Therefore, only 1,500,000 shares will be issuable under the 2024 Plan as of the Effective Date.</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86</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190"/>
        </w:trPr>
        <w:tc>
          <w:tcPr>
            <w:tcW w:w="5700" w:type="dxa"/>
            <w:vAlign w:val="bottom"/>
          </w:tcPr>
          <w:p>
            <w:pPr>
              <w:spacing w:after="0"/>
              <w:rPr>
                <w:sz w:val="20"/>
                <w:szCs w:val="20"/>
                <w:color w:val="auto"/>
              </w:rPr>
            </w:pPr>
            <w:r>
              <w:rPr>
                <w:rFonts w:ascii="Arial" w:cs="Arial" w:eastAsia="Arial" w:hAnsi="Arial"/>
                <w:sz w:val="14"/>
                <w:szCs w:val="14"/>
                <w:color w:val="032E5C"/>
              </w:rPr>
              <w:t>Table of Contents</w:t>
            </w:r>
          </w:p>
        </w:tc>
        <w:tc>
          <w:tcPr>
            <w:tcW w:w="538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5"/>
              </w:rPr>
              <w:t>PROPOSAL 4</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6637655</wp:posOffset>
            </wp:positionH>
            <wp:positionV relativeFrom="page">
              <wp:posOffset>106045</wp:posOffset>
            </wp:positionV>
            <wp:extent cx="702945" cy="2400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02945" cy="240030"/>
                    </a:xfrm>
                    <a:prstGeom prst="rect">
                      <a:avLst/>
                    </a:prstGeom>
                    <a:noFill/>
                  </pic:spPr>
                </pic:pic>
              </a:graphicData>
            </a:graphic>
          </wp:anchor>
        </w:drawing>
      </w:r>
    </w:p>
    <w:p>
      <w:pPr>
        <w:spacing w:after="0" w:line="36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29292B"/>
        </w:rPr>
        <w:t>The number of shares of stock available for issuance under the 2024 Plan will not be increased by the number of shares (i) tendered, withheld, or subject to an Award granted under the 2024 Plan surrendered in connection with the purchase of shares upon exercise of an option; (ii) that were not issued upon the net settlement or net exercise of a share-settled SAR granted under the 2024 Plan; (iii) deducted or delivered from payment of an Award granted under the 2024 Plan in connection with the Company's tax withholding obligations; or (iv) purchased by the Company with proceeds from option exercises.</w:t>
      </w:r>
    </w:p>
    <w:p>
      <w:pPr>
        <w:spacing w:after="0" w:line="96"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The maximum number of shares of stock subject to options or SARs that can be granted under the 2024 Plan in any one calendar year to any person, other than non-employee directors, is 1,000,000. The maximum number of shares of stock subject to performance shares, performance units, restricted shares, or restricted share units that can be granted under the 2024 Plan in any one calendar year to any person, other than non-employee directors, is 200,000. The maximum amount that may be paid as a cash-denominated performance share or performance unit (whether or not cash-settled), or as a performance cash award, for a performance period to any participant is $12,000,000. The maximum fair market value of shares of stock that may be granted under the 2024 Plan in any one calendar year to any non-employee director is $600,000.</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Types of Awards</w:t>
      </w:r>
    </w:p>
    <w:p>
      <w:pPr>
        <w:spacing w:after="0" w:line="139"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29292B"/>
        </w:rPr>
        <w:t>Under the 2024 Plan, the Committee may award options (nonqualified stock options or incentive stock options), SARs, restricted shares, restricted share units, performance shares, performance units, performance cash awards, dividend equivalent rights, and other share-based awards.</w:t>
      </w:r>
    </w:p>
    <w:p>
      <w:pPr>
        <w:spacing w:after="0" w:line="88"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i w:val="1"/>
          <w:iCs w:val="1"/>
          <w:color w:val="29292B"/>
        </w:rPr>
        <w:t>Options</w:t>
      </w:r>
      <w:r>
        <w:rPr>
          <w:rFonts w:ascii="Arial" w:cs="Arial" w:eastAsia="Arial" w:hAnsi="Arial"/>
          <w:sz w:val="16"/>
          <w:szCs w:val="16"/>
          <w:color w:val="29292B"/>
        </w:rPr>
        <w:t>. An option is a right to purchase shares of the Company's common stock. The exercise price of each option will be determined by the Committee,</w:t>
      </w:r>
      <w:r>
        <w:rPr>
          <w:rFonts w:ascii="Arial" w:cs="Arial" w:eastAsia="Arial" w:hAnsi="Arial"/>
          <w:sz w:val="16"/>
          <w:szCs w:val="16"/>
          <w:i w:val="1"/>
          <w:iCs w:val="1"/>
          <w:color w:val="29292B"/>
        </w:rPr>
        <w:t xml:space="preserve"> </w:t>
      </w:r>
      <w:r>
        <w:rPr>
          <w:rFonts w:ascii="Arial" w:cs="Arial" w:eastAsia="Arial" w:hAnsi="Arial"/>
          <w:sz w:val="16"/>
          <w:szCs w:val="16"/>
          <w:color w:val="29292B"/>
        </w:rPr>
        <w:t>provided that the exercise price per share will be at least the fair market value of one share of stock on the grant date. If a participant is a ten percent stockholder, then the exercise price of an option granted to such participant that is intended to be an incentive stock option will be not less than 110% of the fair market value of one share of stock on the grant date. Subject to certain limitations set forth in the 2024 Plan, each option granted under the 2024 Plan will become vested and/or exercisable at such times and under such conditions as determined by the Committee. The Committee will determine the time or times at which the option may be exercisable, the methods by which the exercise price may be paid or deemed paid (including broker-assisted exercise arrangements), the form of such payments (including cash, shares of stock, or other property), and the methods by which the shares of stock will be delivered or deemed delivered. The term of each option will be determined by the Committee, but it will not be longer than ten years from the date of grant; provided that, in the event that a participant is a ten percent stockholder, an option granted to such participant that is intended to be an incentive stock option will not be exercisable after five years from the date of grant. Options granted to participants who are foreign nationals or employed outside of the United States may have a term longer than ten years.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29292B"/>
        </w:rPr>
        <w:t>Share Appreciation Rights ("SARs")</w:t>
      </w:r>
      <w:r>
        <w:rPr>
          <w:rFonts w:ascii="Arial" w:cs="Arial" w:eastAsia="Arial" w:hAnsi="Arial"/>
          <w:sz w:val="16"/>
          <w:szCs w:val="16"/>
          <w:color w:val="29292B"/>
        </w:rPr>
        <w:t>. The holder of a SAR will be entitled to receive, upon exercise thereof, an amount measured by the difference between</w:t>
      </w:r>
    </w:p>
    <w:p>
      <w:pPr>
        <w:spacing w:after="0" w:line="46" w:lineRule="exact"/>
        <w:rPr>
          <w:sz w:val="20"/>
          <w:szCs w:val="20"/>
          <w:color w:val="auto"/>
        </w:rPr>
      </w:pPr>
    </w:p>
    <w:p>
      <w:pPr>
        <w:ind w:right="40" w:firstLine="8"/>
        <w:spacing w:after="0" w:line="299" w:lineRule="auto"/>
        <w:tabs>
          <w:tab w:leader="none" w:pos="189" w:val="left"/>
        </w:tabs>
        <w:numPr>
          <w:ilvl w:val="0"/>
          <w:numId w:val="76"/>
        </w:numPr>
        <w:rPr>
          <w:rFonts w:ascii="Arial" w:cs="Arial" w:eastAsia="Arial" w:hAnsi="Arial"/>
          <w:sz w:val="16"/>
          <w:szCs w:val="16"/>
          <w:color w:val="29292B"/>
        </w:rPr>
      </w:pPr>
      <w:r>
        <w:rPr>
          <w:rFonts w:ascii="Arial" w:cs="Arial" w:eastAsia="Arial" w:hAnsi="Arial"/>
          <w:sz w:val="16"/>
          <w:szCs w:val="16"/>
          <w:color w:val="29292B"/>
        </w:rPr>
        <w:t>the fair market value of one share of stock on the date the SAR is exercised (or, if the Committee determines, the fair market value of one share of stock at any time during a specified period before or after the date of exercise), over (ii) the SAR exercise price as determined by the Committee as of the date of grant (which will not be less than the fair market value per share on the date of grant). The Committee will determine, on the date of grant or thereafter, the time or times at which a SAR may be exercised in whole or in part (which will not be more than ten years after the date of grant of the SAR), method of exercise, method of settlement, form of consideration payable in settlement (which may be cash, shares or other property), method by which shares of stock will be delivered or deemed delivered, whether or not a SAR will be in tandem with any other Award, and any other terms and conditions of any SAR. Unless the Committee determines otherwise, a SAR granted in tandem with any nonqualified stock option may be granted at the time of grant of the related nonqualified stock option or at any time thereafter, and a SAR granted in tandem with any incentive stock option may only be granted at the time of grant of the related incentive stock option.</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29292B"/>
        </w:rPr>
        <w:t xml:space="preserve">Restricted Shares. </w:t>
      </w:r>
      <w:r>
        <w:rPr>
          <w:rFonts w:ascii="Arial" w:cs="Arial" w:eastAsia="Arial" w:hAnsi="Arial"/>
          <w:sz w:val="16"/>
          <w:szCs w:val="16"/>
          <w:color w:val="29292B"/>
        </w:rPr>
        <w:t>Restricted shares are shares of the Company's common stock subject to certain restrictions and a risk of forfeiture. Awards of restricted</w:t>
      </w:r>
      <w:r>
        <w:rPr>
          <w:rFonts w:ascii="Arial" w:cs="Arial" w:eastAsia="Arial" w:hAnsi="Arial"/>
          <w:sz w:val="16"/>
          <w:szCs w:val="16"/>
          <w:i w:val="1"/>
          <w:iCs w:val="1"/>
          <w:color w:val="29292B"/>
        </w:rPr>
        <w:t xml:space="preserve"> </w:t>
      </w:r>
      <w:r>
        <w:rPr>
          <w:rFonts w:ascii="Arial" w:cs="Arial" w:eastAsia="Arial" w:hAnsi="Arial"/>
          <w:sz w:val="16"/>
          <w:szCs w:val="16"/>
          <w:color w:val="29292B"/>
        </w:rPr>
        <w:t>shares will be subject to such restrictions as imposed by the Committee (including the achievement of performance criteria). Unless provided otherwise in an award agreement, holders of restricted shares will have all the rights of stockholders, including the right to vote restricted shares and the right to receive any dividends thereon; provided, however, that any dividends will be subject to the same restrictions as the restricted shares and will be held in escrow and subject to forfeiture until such time as the restricted shares become fully vested. Dividends paid on vested restricted shares will either be paid on the dividend payment date or deferred to such date determined by the Committee and will be paid in cash or in unrestricted shares having a fair market value equal to the amount of the dividends. Any dividends paid on unvested restricted shares will be subject to the same restrictions as the restricted shares and will be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87</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4</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309" w:lineRule="auto"/>
        <w:rPr>
          <w:sz w:val="20"/>
          <w:szCs w:val="20"/>
          <w:color w:val="auto"/>
        </w:rPr>
      </w:pPr>
      <w:r>
        <w:rPr>
          <w:rFonts w:ascii="Arial" w:cs="Arial" w:eastAsia="Arial" w:hAnsi="Arial"/>
          <w:sz w:val="16"/>
          <w:szCs w:val="16"/>
          <w:color w:val="29292B"/>
        </w:rPr>
        <w:t>held in escrow and subject to forfeiture until such time as the restricted shares become fully vested. Shares distributed in connection with a share split or share dividend, and other property distributed as a dividend, will be subject to restrictions and a risk of forfeiture to the same extent as the restricted shares with respect to which such shares or other property have been distributed. Restricted shares may be evidenced in a manner as the Committee determines. If the certificates representing the restricted shares are registered in the name of the participant, then the certificates will bear an appropriate legend referring to the terms, conditions, and restrictions applicable to such restricted shares and the Company will retain physical possession of the certificate.</w:t>
      </w:r>
    </w:p>
    <w:p>
      <w:pPr>
        <w:spacing w:after="0" w:line="8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29292B"/>
        </w:rPr>
        <w:t>Upon the termination of a participant's service during the restricted period, any restricted shares held by such participant to which all applicable restrictions and conditions have not lapsed will be deemed forfeited unless the Committee provides otherwise by rule or regulation or in an award agreement or the Committee determines otherwise in any individual case. Upon the forfeiture of restricted shares, any accrued but unpaid dividends or dividend equivalent rights that are at the time subject to restrictions will also be forfeited.</w:t>
      </w:r>
    </w:p>
    <w:p>
      <w:pPr>
        <w:spacing w:after="0" w:line="9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i w:val="1"/>
          <w:iCs w:val="1"/>
          <w:color w:val="29292B"/>
        </w:rPr>
        <w:t xml:space="preserve">Restricted Share Units. </w:t>
      </w:r>
      <w:r>
        <w:rPr>
          <w:rFonts w:ascii="Arial" w:cs="Arial" w:eastAsia="Arial" w:hAnsi="Arial"/>
          <w:sz w:val="16"/>
          <w:szCs w:val="16"/>
          <w:color w:val="29292B"/>
        </w:rPr>
        <w:t>A restricted share unit is a right to receive shares of the Company's common stock or cash at the end of a specified deferral period.</w:t>
      </w:r>
      <w:r>
        <w:rPr>
          <w:rFonts w:ascii="Arial" w:cs="Arial" w:eastAsia="Arial" w:hAnsi="Arial"/>
          <w:sz w:val="16"/>
          <w:szCs w:val="16"/>
          <w:i w:val="1"/>
          <w:iCs w:val="1"/>
          <w:color w:val="29292B"/>
        </w:rPr>
        <w:t xml:space="preserve"> </w:t>
      </w:r>
      <w:r>
        <w:rPr>
          <w:rFonts w:ascii="Arial" w:cs="Arial" w:eastAsia="Arial" w:hAnsi="Arial"/>
          <w:sz w:val="16"/>
          <w:szCs w:val="16"/>
          <w:color w:val="29292B"/>
        </w:rPr>
        <w:t>Awards of restricted share units will be subject to such restrictions (including the achievement of performance criteria) as imposed by the Committee. Upon expiration of the deferral period specified by the Committee (or, if permitted by the Committee, the deferral period elected by the holder), holders of restricted share units will have the right to receive shares of stock or cash in settlement of such units. Upon the termination of a participant's service during the deferral period, any restricted share units held by such participant to which all applicable restrictions and conditions have not lapsed will be deemed forfeited unless the Committee provides otherwise by rule or regulation or in an award agreement or the Committee determines otherwise in any individual case.</w:t>
      </w:r>
    </w:p>
    <w:p>
      <w:pPr>
        <w:spacing w:after="0" w:line="9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29292B"/>
        </w:rPr>
        <w:t xml:space="preserve">Performance Shares, Performance Units, and Performance Cash Awards. </w:t>
      </w:r>
      <w:r>
        <w:rPr>
          <w:rFonts w:ascii="Arial" w:cs="Arial" w:eastAsia="Arial" w:hAnsi="Arial"/>
          <w:sz w:val="16"/>
          <w:szCs w:val="16"/>
          <w:color w:val="29292B"/>
        </w:rPr>
        <w:t>The right of a participant to exercise or to receive a grant or settlement of any</w:t>
      </w:r>
      <w:r>
        <w:rPr>
          <w:rFonts w:ascii="Arial" w:cs="Arial" w:eastAsia="Arial" w:hAnsi="Arial"/>
          <w:sz w:val="16"/>
          <w:szCs w:val="16"/>
          <w:i w:val="1"/>
          <w:iCs w:val="1"/>
          <w:color w:val="29292B"/>
        </w:rPr>
        <w:t xml:space="preserve"> </w:t>
      </w:r>
      <w:r>
        <w:rPr>
          <w:rFonts w:ascii="Arial" w:cs="Arial" w:eastAsia="Arial" w:hAnsi="Arial"/>
          <w:sz w:val="16"/>
          <w:szCs w:val="16"/>
          <w:color w:val="29292B"/>
        </w:rPr>
        <w:t>performance share, performance unit, or performance cash award, and the timing thereof, will be subject to such performance objectives as specified by the Committee. The performance period for performance shares, performance units, and performance cash awards will be a period of one or more years, as determined by the Committee.</w:t>
      </w:r>
    </w:p>
    <w:p>
      <w:pPr>
        <w:spacing w:after="0" w:line="96" w:lineRule="exact"/>
        <w:rPr>
          <w:sz w:val="20"/>
          <w:szCs w:val="20"/>
          <w:color w:val="auto"/>
        </w:rPr>
      </w:pPr>
    </w:p>
    <w:p>
      <w:pPr>
        <w:spacing w:after="0" w:line="300" w:lineRule="auto"/>
        <w:rPr>
          <w:sz w:val="20"/>
          <w:szCs w:val="20"/>
          <w:color w:val="auto"/>
        </w:rPr>
      </w:pPr>
      <w:r>
        <w:rPr>
          <w:rFonts w:ascii="Arial" w:cs="Arial" w:eastAsia="Arial" w:hAnsi="Arial"/>
          <w:sz w:val="16"/>
          <w:szCs w:val="16"/>
          <w:color w:val="29292B"/>
        </w:rPr>
        <w:t>At the beginning of a performance period, the Committee will determine for each participant or group of participant with respect to that performance period (i) the range of number of shares, if any, in the case of performance shares; (ii) the range of dollar values, if any, in the case of performance units; or (iii) the range of cash awards, if any, in the case of performance cash awards, in each case which may be fixed or may vary in accordance with such performance or other criteria specified by the Committee and which will be paid to a participant as an Award if the relevant measure of Company performance for the performance period is met. The Committee may revise a performance objective during the course of a performance period if a significant event occurs that the Committee expects to have a substantial effect on such performance objective during the period.</w:t>
      </w:r>
    </w:p>
    <w:p>
      <w:pPr>
        <w:spacing w:after="0" w:line="105"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29292B"/>
        </w:rPr>
        <w:t>Upon the termination of a participant's service during a performance period, performance shares, performance units, and performance cash awards for which the performance period was prescribed will be forfeited unless the Committee provides otherwise by rule or regulation or in an award agreement or determines otherwise in any individual case. Each performance share or performance unit may be paid in whole shares of stock, cash, or a combination of shares and cash, and each performance share or performance unit may be paid either as a lump sum payment or in installments, in each case as determined by the Committee. Each performance cash award will be paid in cash, commencing as soon as practicable after the end of the relevant performance period.</w:t>
      </w:r>
    </w:p>
    <w:p>
      <w:pPr>
        <w:spacing w:after="0" w:line="105"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i w:val="1"/>
          <w:iCs w:val="1"/>
          <w:color w:val="29292B"/>
        </w:rPr>
        <w:t xml:space="preserve">Dividend Equivalents. </w:t>
      </w:r>
      <w:r>
        <w:rPr>
          <w:rFonts w:ascii="Arial" w:cs="Arial" w:eastAsia="Arial" w:hAnsi="Arial"/>
          <w:sz w:val="16"/>
          <w:szCs w:val="16"/>
          <w:color w:val="29292B"/>
        </w:rPr>
        <w:t>A dividend equivalent is a right to receive cash, shares of stock, or other property equal in value to dividends paid with respect to a</w:t>
      </w:r>
      <w:r>
        <w:rPr>
          <w:rFonts w:ascii="Arial" w:cs="Arial" w:eastAsia="Arial" w:hAnsi="Arial"/>
          <w:sz w:val="16"/>
          <w:szCs w:val="16"/>
          <w:i w:val="1"/>
          <w:iCs w:val="1"/>
          <w:color w:val="29292B"/>
        </w:rPr>
        <w:t xml:space="preserve"> </w:t>
      </w:r>
      <w:r>
        <w:rPr>
          <w:rFonts w:ascii="Arial" w:cs="Arial" w:eastAsia="Arial" w:hAnsi="Arial"/>
          <w:sz w:val="16"/>
          <w:szCs w:val="16"/>
          <w:color w:val="29292B"/>
        </w:rPr>
        <w:t>specified number of shares. Dividend equivalents may be awarded on a free-standing basis or in connection with another Award, and may be paid out currently or on a deferred basis. The Committee may provide that dividend equivalents may be paid or distributed when accrued or may be deemed to be reinvested in additional shares of stock or other investment vehicles specified by the Committee. Dividend equivalents (other than freestanding dividend equivalents) are subject to all conditions and restrictions of the underlying Awards to which they relate. Dividend equivalents may not be awarded in connection with, or related to, any unvested Awards or Awards of options or SARs.</w:t>
      </w:r>
    </w:p>
    <w:p>
      <w:pPr>
        <w:spacing w:after="0" w:line="105"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29292B"/>
        </w:rPr>
        <w:t xml:space="preserve">Other Share-Based Awards. </w:t>
      </w:r>
      <w:r>
        <w:rPr>
          <w:rFonts w:ascii="Arial" w:cs="Arial" w:eastAsia="Arial" w:hAnsi="Arial"/>
          <w:sz w:val="16"/>
          <w:szCs w:val="16"/>
          <w:color w:val="29292B"/>
        </w:rPr>
        <w:t>The Committee may, subject to applicable laws and the terms of the 2024 Plan, grant other Awards that may be denominated or</w:t>
      </w:r>
      <w:r>
        <w:rPr>
          <w:rFonts w:ascii="Arial" w:cs="Arial" w:eastAsia="Arial" w:hAnsi="Arial"/>
          <w:sz w:val="16"/>
          <w:szCs w:val="16"/>
          <w:i w:val="1"/>
          <w:iCs w:val="1"/>
          <w:color w:val="29292B"/>
        </w:rPr>
        <w:t xml:space="preserve"> </w:t>
      </w:r>
      <w:r>
        <w:rPr>
          <w:rFonts w:ascii="Arial" w:cs="Arial" w:eastAsia="Arial" w:hAnsi="Arial"/>
          <w:sz w:val="16"/>
          <w:szCs w:val="16"/>
          <w:color w:val="29292B"/>
        </w:rPr>
        <w:t>payable in, valued in whole or in part by reference to, or otherwise based on or related to, shares of stock, as deemed by the Committee to be consistent with the purposes of the 2024 Plan, including unrestricted shares, other rights convertible or exchangeable into shares of stock, purchase rights for shares of stock, Awards with value</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88</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190"/>
        </w:trPr>
        <w:tc>
          <w:tcPr>
            <w:tcW w:w="5700" w:type="dxa"/>
            <w:vAlign w:val="bottom"/>
          </w:tcPr>
          <w:p>
            <w:pPr>
              <w:spacing w:after="0"/>
              <w:rPr>
                <w:sz w:val="20"/>
                <w:szCs w:val="20"/>
                <w:color w:val="auto"/>
              </w:rPr>
            </w:pPr>
            <w:r>
              <w:rPr>
                <w:rFonts w:ascii="Arial" w:cs="Arial" w:eastAsia="Arial" w:hAnsi="Arial"/>
                <w:sz w:val="14"/>
                <w:szCs w:val="14"/>
                <w:color w:val="032E5C"/>
              </w:rPr>
              <w:t>Table of Contents</w:t>
            </w:r>
          </w:p>
        </w:tc>
        <w:tc>
          <w:tcPr>
            <w:tcW w:w="538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5"/>
              </w:rPr>
              <w:t>PROPOSAL 4</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6637655</wp:posOffset>
            </wp:positionH>
            <wp:positionV relativeFrom="page">
              <wp:posOffset>106045</wp:posOffset>
            </wp:positionV>
            <wp:extent cx="702945" cy="2400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02945" cy="240030"/>
                    </a:xfrm>
                    <a:prstGeom prst="rect">
                      <a:avLst/>
                    </a:prstGeom>
                    <a:noFill/>
                  </pic:spPr>
                </pic:pic>
              </a:graphicData>
            </a:graphic>
          </wp:anchor>
        </w:drawing>
      </w:r>
    </w:p>
    <w:p>
      <w:pPr>
        <w:spacing w:after="0" w:line="361"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29292B"/>
        </w:rPr>
        <w:t>and payment contingent upon performance of the Company or any other factors designated by the Committee, and Awards valued by reference to the performance of specified subsidiaries or affiliates. The Committee will determine the terms and conditions of such Awards at the time of grant or thereafter.</w:t>
      </w:r>
    </w:p>
    <w:p>
      <w:pPr>
        <w:spacing w:after="0" w:line="7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i w:val="1"/>
          <w:iCs w:val="1"/>
          <w:color w:val="29292B"/>
        </w:rPr>
        <w:t>Recoupment</w:t>
      </w:r>
      <w:r>
        <w:rPr>
          <w:rFonts w:ascii="Arial" w:cs="Arial" w:eastAsia="Arial" w:hAnsi="Arial"/>
          <w:sz w:val="16"/>
          <w:szCs w:val="16"/>
          <w:color w:val="29292B"/>
        </w:rPr>
        <w:t>. Any Award granted pursuant to the 2024 Plan will be subject to mandatory repayment by the participant to the Company (i) to the extent set</w:t>
      </w:r>
      <w:r>
        <w:rPr>
          <w:rFonts w:ascii="Arial" w:cs="Arial" w:eastAsia="Arial" w:hAnsi="Arial"/>
          <w:sz w:val="16"/>
          <w:szCs w:val="16"/>
          <w:i w:val="1"/>
          <w:iCs w:val="1"/>
          <w:color w:val="29292B"/>
        </w:rPr>
        <w:t xml:space="preserve"> </w:t>
      </w:r>
      <w:r>
        <w:rPr>
          <w:rFonts w:ascii="Arial" w:cs="Arial" w:eastAsia="Arial" w:hAnsi="Arial"/>
          <w:sz w:val="16"/>
          <w:szCs w:val="16"/>
          <w:color w:val="29292B"/>
        </w:rPr>
        <w:t>forth in the 2024 Plan or an award agreement; or (ii) to the extent the participant is, or in the future becomes, subject to (a) the Company's or an affiliate's "clawback" or recoupment policy that is adopted to comply with the requirements of any applicable laws, rules or regulations, or otherwise, or (b) any applicable laws which impose mandatory recoupment, under circumstances set forth in such applicable laws.</w:t>
      </w:r>
    </w:p>
    <w:p>
      <w:pPr>
        <w:spacing w:after="0" w:line="101"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i w:val="1"/>
          <w:iCs w:val="1"/>
          <w:color w:val="29292B"/>
        </w:rPr>
        <w:t xml:space="preserve">Change in Control. </w:t>
      </w:r>
      <w:r>
        <w:rPr>
          <w:rFonts w:ascii="Arial" w:cs="Arial" w:eastAsia="Arial" w:hAnsi="Arial"/>
          <w:sz w:val="16"/>
          <w:szCs w:val="16"/>
          <w:color w:val="29292B"/>
        </w:rPr>
        <w:t>Except as otherwise provided in the applicable award agreement, in another agreement with the participant, or as otherwise set forth in</w:t>
      </w:r>
      <w:r>
        <w:rPr>
          <w:rFonts w:ascii="Arial" w:cs="Arial" w:eastAsia="Arial" w:hAnsi="Arial"/>
          <w:sz w:val="16"/>
          <w:szCs w:val="16"/>
          <w:i w:val="1"/>
          <w:iCs w:val="1"/>
          <w:color w:val="29292B"/>
        </w:rPr>
        <w:t xml:space="preserve"> </w:t>
      </w:r>
      <w:r>
        <w:rPr>
          <w:rFonts w:ascii="Arial" w:cs="Arial" w:eastAsia="Arial" w:hAnsi="Arial"/>
          <w:sz w:val="16"/>
          <w:szCs w:val="16"/>
          <w:color w:val="29292B"/>
        </w:rPr>
        <w:t>writing, upon the occurrence of a Change in Control (as defined below) the following provisions will apply to outstanding Awards:</w:t>
      </w:r>
    </w:p>
    <w:p>
      <w:pPr>
        <w:spacing w:after="0" w:line="74" w:lineRule="exact"/>
        <w:rPr>
          <w:sz w:val="20"/>
          <w:szCs w:val="20"/>
          <w:color w:val="auto"/>
        </w:rPr>
      </w:pPr>
    </w:p>
    <w:p>
      <w:pPr>
        <w:ind w:left="660" w:right="40" w:hanging="328"/>
        <w:spacing w:after="0" w:line="306" w:lineRule="auto"/>
        <w:tabs>
          <w:tab w:leader="none" w:pos="657" w:val="left"/>
        </w:tabs>
        <w:numPr>
          <w:ilvl w:val="0"/>
          <w:numId w:val="7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and</w:t>
      </w:r>
    </w:p>
    <w:p>
      <w:pPr>
        <w:spacing w:after="0" w:line="101" w:lineRule="exact"/>
        <w:rPr>
          <w:rFonts w:ascii="Wingdings" w:cs="Wingdings" w:eastAsia="Wingdings" w:hAnsi="Wingdings"/>
          <w:sz w:val="16"/>
          <w:szCs w:val="16"/>
          <w:b w:val="1"/>
          <w:bCs w:val="1"/>
          <w:color w:val="auto"/>
          <w:shd w:val="clear" w:color="auto" w:fill="3E5C7C"/>
        </w:rPr>
      </w:pPr>
    </w:p>
    <w:p>
      <w:pPr>
        <w:ind w:left="660" w:hanging="328"/>
        <w:spacing w:after="0" w:line="304" w:lineRule="auto"/>
        <w:tabs>
          <w:tab w:leader="none" w:pos="657" w:val="left"/>
        </w:tabs>
        <w:numPr>
          <w:ilvl w:val="0"/>
          <w:numId w:val="7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In the discretion of the Compensation Committee, outstanding Awards which are not assumed, substituted for, or otherwise continued by the Acquiror shall accelerate and become fully vested and exercisable (as applicable) effective immediately prior to, but contingent upon, the consummation of the Change in Control; provided, however, that any Award which has its vesting conditions based on performance goals that vests pursuant to this sentence shall only become vested based on (i) 100% of target levels, or (ii) actual results measured against the performance goals as of the Change in Control, and thereafter, all Awards shall terminate to the extent not exercised or settled as of the date of the Change in Control.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29292B"/>
        </w:rPr>
        <w:t>A Change in Control under the 2024 Plan means the occurrence of any of the following:</w:t>
      </w:r>
    </w:p>
    <w:p>
      <w:pPr>
        <w:spacing w:after="0" w:line="181" w:lineRule="exact"/>
        <w:rPr>
          <w:sz w:val="20"/>
          <w:szCs w:val="20"/>
          <w:color w:val="auto"/>
        </w:rPr>
      </w:pPr>
    </w:p>
    <w:p>
      <w:pPr>
        <w:ind w:left="660" w:right="60" w:hanging="328"/>
        <w:spacing w:after="0" w:line="300" w:lineRule="auto"/>
        <w:tabs>
          <w:tab w:leader="none" w:pos="657" w:val="left"/>
        </w:tabs>
        <w:numPr>
          <w:ilvl w:val="0"/>
          <w:numId w:val="7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any person or group (within the meaning of Section 13(d) or 14(d) of the Exchange Act, but excluding any employee benefit plan of such person or its subsidiaries, and any person or entity acting it its capacity as trustee, agent or other fiduciary or administrator of any such plan) becomes the beneficial owner (within the meaning of Rule 13d-3and 13d-5 promulgated under the Exchange Act), directly or indirectly, of 35% or more of the equity securities of the Company entitled to vote for members of the Board or equivalent governing body of the Company on a fully-diluted basis, except for any person or group who becomes the beneficial owner in connection with a merger or consolidation of the Company, with any other corporation immediately following which the individuals who comprise the Board immediately prior thereto, constitute a least a majority of the Board of the surviving entity; or</w:t>
      </w:r>
    </w:p>
    <w:p>
      <w:pPr>
        <w:spacing w:after="0" w:line="104" w:lineRule="exact"/>
        <w:rPr>
          <w:rFonts w:ascii="Wingdings" w:cs="Wingdings" w:eastAsia="Wingdings" w:hAnsi="Wingdings"/>
          <w:sz w:val="16"/>
          <w:szCs w:val="16"/>
          <w:b w:val="1"/>
          <w:bCs w:val="1"/>
          <w:color w:val="auto"/>
          <w:shd w:val="clear" w:color="auto" w:fill="3E5C7C"/>
        </w:rPr>
      </w:pPr>
    </w:p>
    <w:p>
      <w:pPr>
        <w:ind w:left="660" w:right="60" w:hanging="328"/>
        <w:spacing w:after="0" w:line="302" w:lineRule="auto"/>
        <w:tabs>
          <w:tab w:leader="none" w:pos="657" w:val="left"/>
        </w:tabs>
        <w:numPr>
          <w:ilvl w:val="0"/>
          <w:numId w:val="7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during any period of twelve consecutive months, a majority of the members of the Board or other equivalent governing body of the Company cease to be composed of individuals (i) who were members of that Board on the first day of such period, (ii) whose election or nomination to that Board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(excluding, in the case of both clause (b) and clause (c), any individual whose initial nomination for, or assumption of office as, a member of that Board occurs as a result of an actual or threatened solicitation of proxies or consents for the election or removal of one or more directors by any person or group other than a solicitation for the election of one or more directors by or on behalf of the Board); or</w:t>
      </w:r>
    </w:p>
    <w:p>
      <w:pPr>
        <w:spacing w:after="0" w:line="105" w:lineRule="exact"/>
        <w:rPr>
          <w:rFonts w:ascii="Wingdings" w:cs="Wingdings" w:eastAsia="Wingdings" w:hAnsi="Wingdings"/>
          <w:sz w:val="16"/>
          <w:szCs w:val="16"/>
          <w:b w:val="1"/>
          <w:bCs w:val="1"/>
          <w:color w:val="auto"/>
          <w:shd w:val="clear" w:color="auto" w:fill="3E5C7C"/>
        </w:rPr>
      </w:pPr>
    </w:p>
    <w:p>
      <w:pPr>
        <w:ind w:left="660" w:right="80" w:hanging="328"/>
        <w:spacing w:after="0" w:line="310" w:lineRule="auto"/>
        <w:tabs>
          <w:tab w:leader="none" w:pos="657" w:val="left"/>
        </w:tabs>
        <w:numPr>
          <w:ilvl w:val="0"/>
          <w:numId w:val="7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any person or persons acting in concert acquire,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89</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4</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40" w:hanging="328"/>
        <w:spacing w:after="0" w:line="302" w:lineRule="auto"/>
        <w:tabs>
          <w:tab w:leader="none" w:pos="657" w:val="left"/>
        </w:tabs>
        <w:numPr>
          <w:ilvl w:val="0"/>
          <w:numId w:val="7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the consummation of a merger, reorganization, consolidation, or similar transaction involving the Company; provided, however, a Change in Control shall not be deemed to have occurred (i) if such merger, reorganization, consolidation or similar transaction would result in all or a portion of the voting securities of the Company outstanding immediately prior thereto continuing to represent (either by remaining outstanding or by being converted into voting securities of the surviving entity) either directly or indirectly more than 50% of the combined voting power of the voting securities of the Company or such surviving entity outstanding immediately after such merger, reorganization, consolidation, or similar transaction; or (ii) if following the merger, reorganization, consolidation, or similar transaction, the members of the Board prior to such merger, reorganization, consolidation, or similar transaction constitute at least a majority of the Board of the Company or the entity that directly or indirectly controls the Company after such merger, reorganization, consolidation, or similar transaction; or</w:t>
      </w:r>
    </w:p>
    <w:p>
      <w:pPr>
        <w:spacing w:after="0" w:line="105" w:lineRule="exact"/>
        <w:rPr>
          <w:rFonts w:ascii="Wingdings" w:cs="Wingdings" w:eastAsia="Wingdings" w:hAnsi="Wingdings"/>
          <w:sz w:val="16"/>
          <w:szCs w:val="16"/>
          <w:b w:val="1"/>
          <w:bCs w:val="1"/>
          <w:color w:val="auto"/>
          <w:shd w:val="clear" w:color="auto" w:fill="3E5C7C"/>
        </w:rPr>
      </w:pPr>
    </w:p>
    <w:p>
      <w:pPr>
        <w:ind w:left="660" w:right="40" w:hanging="328"/>
        <w:spacing w:after="0" w:line="339" w:lineRule="auto"/>
        <w:tabs>
          <w:tab w:leader="none" w:pos="657" w:val="left"/>
        </w:tabs>
        <w:numPr>
          <w:ilvl w:val="0"/>
          <w:numId w:val="7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the Company sells or transfers (other than by mortgage or pledge) all or substantially all of its properties and assets to, another person or group (as such terms are used in Sections 13(d) and 14(d) of the Exchange Act).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Transferability</w:t>
      </w:r>
    </w:p>
    <w:p>
      <w:pPr>
        <w:spacing w:after="0" w:line="13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29292B"/>
        </w:rPr>
        <w:t>Unless otherwise set forth by the Committee in an award agreement, Awards (except for vested shares) are nontransferable by a participant, except by will or by the laws of descent and distribution (except pursuant to a beneficiary designation) and will be exercisable during the lifetime of a participant only by such person or such person's guardian or legal representative. A participant's rights under the 2024 Plan may not be pledged, mortgaged, hypothecated, or otherwise encumbered and will not be subject to claims of the person's creditors.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Amendments</w:t>
      </w:r>
    </w:p>
    <w:p>
      <w:pPr>
        <w:spacing w:after="0" w:line="126"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29292B"/>
        </w:rPr>
        <w:t>The Board may amend, alter, suspend, discontinue, or terminate the 2024 Plan, provided that any amendment, alteration, suspension, discontinuation, or termination of the 2024 Plan will not materially and adversely affect the rights of a participant without the consent of the affected participant. The Committee may (i) waive any conditions or rights under, (ii) amend, modify, or supplement the terms of, or (iii) amend, alter, suspend, discontinue, or terminate any Award, in each case prospectively or retrospectively; provided that no amendment, alteration, suspension, discontinuation, or termination of any Award may materially and adversely affect the rights of any participant under the Award without the consent of such participant.</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Federal Income Tax Consequences</w:t>
      </w:r>
    </w:p>
    <w:p>
      <w:pPr>
        <w:spacing w:after="0" w:line="19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29292B"/>
        </w:rPr>
        <w:t>The federal income tax consequences of Awards under the 2024 Plan for participants and the Company will depend on the type of Award granted. The following description of tax consequences is intended only for the general information of stockholders. This discussion is general in nature; we have not taken into account a number of considerations which may apply in light of the circumstances of a particular participant. A participant in the 2024 Plan should not rely on this description and instead should consult his or her own tax advisor.</w:t>
      </w:r>
    </w:p>
    <w:p>
      <w:pPr>
        <w:spacing w:after="0" w:line="83"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29292B"/>
        </w:rPr>
        <w:t>Options</w:t>
      </w:r>
      <w:r>
        <w:rPr>
          <w:rFonts w:ascii="Arial" w:cs="Arial" w:eastAsia="Arial" w:hAnsi="Arial"/>
          <w:sz w:val="16"/>
          <w:szCs w:val="16"/>
          <w:color w:val="29292B"/>
        </w:rPr>
        <w:t>. Under current law, the grant of an option generally will have no federal income tax consequences for the participant or the Company. Upon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exercise of an option, the participant will recognize ordinary income in an amount equal to the excess of the fair market value of the stock on the exercise date over the exercise price.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96"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i w:val="1"/>
          <w:iCs w:val="1"/>
          <w:color w:val="29292B"/>
        </w:rPr>
        <w:t xml:space="preserve">Incentive Stock Options. </w:t>
      </w:r>
      <w:r>
        <w:rPr>
          <w:rFonts w:ascii="Arial" w:cs="Arial" w:eastAsia="Arial" w:hAnsi="Arial"/>
          <w:sz w:val="16"/>
          <w:szCs w:val="16"/>
          <w:color w:val="29292B"/>
        </w:rPr>
        <w:t>Under current law, the grant of an incentive stock option will not be a taxable event for the participant or for the Company. In</w:t>
      </w:r>
      <w:r>
        <w:rPr>
          <w:rFonts w:ascii="Arial" w:cs="Arial" w:eastAsia="Arial" w:hAnsi="Arial"/>
          <w:sz w:val="16"/>
          <w:szCs w:val="16"/>
          <w:i w:val="1"/>
          <w:iCs w:val="1"/>
          <w:color w:val="29292B"/>
        </w:rPr>
        <w:t xml:space="preserve"> </w:t>
      </w:r>
      <w:r>
        <w:rPr>
          <w:rFonts w:ascii="Arial" w:cs="Arial" w:eastAsia="Arial" w:hAnsi="Arial"/>
          <w:sz w:val="16"/>
          <w:szCs w:val="16"/>
          <w:color w:val="29292B"/>
        </w:rPr>
        <w:t>addition, a participant generally will not recognize taxable income upon exercise of an incentive stock option. A participant's alternative minimum taxable income, however, will be increased by the amount by which the aggregate fair market value of the shares of the stock underlying the option, which is generally determined as of the date of exercise, exceeds the aggregate exercise price of the option. Any gain realized upon a disposition of the shares of stock received pursuant to the exercise of an incentive stock option will be taxed as long-term capital gain if the participant holds the shares for at least two years after the date of grant and for at least one year after the date of exercise (the "holding period requirement"). The Company will not be entitled to any income tax deduction with respect to the exercise of an incentive stock option, except as discussed below.</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90</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95" w:name="page96"/>
    <w:bookmarkEnd w:id="95"/>
    <w:tbl>
      <w:tblPr>
        <w:tblLayout w:type="fixed"/>
        <w:tblInd w:w="20" w:type="dxa"/>
        <w:tblCellMar>
          <w:top w:w="0" w:type="dxa"/>
          <w:left w:w="0" w:type="dxa"/>
          <w:bottom w:w="0" w:type="dxa"/>
          <w:right w:w="0" w:type="dxa"/>
        </w:tblCellMar>
      </w:tblPr>
      <w:tr>
        <w:trPr>
          <w:trHeight w:val="190"/>
        </w:trPr>
        <w:tc>
          <w:tcPr>
            <w:tcW w:w="5700" w:type="dxa"/>
            <w:vAlign w:val="bottom"/>
          </w:tcPr>
          <w:p>
            <w:pPr>
              <w:spacing w:after="0"/>
              <w:rPr>
                <w:sz w:val="20"/>
                <w:szCs w:val="20"/>
                <w:color w:val="auto"/>
              </w:rPr>
            </w:pPr>
            <w:r>
              <w:rPr>
                <w:rFonts w:ascii="Arial" w:cs="Arial" w:eastAsia="Arial" w:hAnsi="Arial"/>
                <w:sz w:val="14"/>
                <w:szCs w:val="14"/>
                <w:color w:val="032E5C"/>
              </w:rPr>
              <w:t>Table of Contents</w:t>
            </w:r>
          </w:p>
        </w:tc>
        <w:tc>
          <w:tcPr>
            <w:tcW w:w="5380" w:type="dxa"/>
            <w:vAlign w:val="bottom"/>
            <w:vMerge w:val="restart"/>
          </w:tcPr>
          <w:p>
            <w:pPr>
              <w:ind w:left="4560"/>
              <w:spacing w:after="0"/>
              <w:rPr>
                <w:sz w:val="20"/>
                <w:szCs w:val="20"/>
                <w:color w:val="auto"/>
              </w:rPr>
            </w:pPr>
            <w:r>
              <w:rPr>
                <w:rFonts w:ascii="Arial" w:cs="Arial" w:eastAsia="Arial" w:hAnsi="Arial"/>
                <w:sz w:val="13"/>
                <w:szCs w:val="13"/>
                <w:b w:val="1"/>
                <w:bCs w:val="1"/>
                <w:color w:val="032E5C"/>
                <w:w w:val="95"/>
              </w:rPr>
              <w:t>PROPOSAL 4</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6637655</wp:posOffset>
            </wp:positionH>
            <wp:positionV relativeFrom="page">
              <wp:posOffset>106045</wp:posOffset>
            </wp:positionV>
            <wp:extent cx="702945" cy="2400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02945" cy="240030"/>
                    </a:xfrm>
                    <a:prstGeom prst="rect">
                      <a:avLst/>
                    </a:prstGeom>
                    <a:noFill/>
                  </pic:spPr>
                </pic:pic>
              </a:graphicData>
            </a:graphic>
          </wp:anchor>
        </w:drawing>
      </w:r>
    </w:p>
    <w:p>
      <w:pPr>
        <w:spacing w:after="0" w:line="361" w:lineRule="exact"/>
        <w:rPr>
          <w:sz w:val="20"/>
          <w:szCs w:val="20"/>
          <w:color w:val="auto"/>
        </w:rPr>
      </w:pPr>
    </w:p>
    <w:p>
      <w:pPr>
        <w:spacing w:after="0" w:line="309" w:lineRule="auto"/>
        <w:rPr>
          <w:sz w:val="20"/>
          <w:szCs w:val="20"/>
          <w:color w:val="auto"/>
        </w:rPr>
      </w:pPr>
      <w:r>
        <w:rPr>
          <w:rFonts w:ascii="Arial" w:cs="Arial" w:eastAsia="Arial" w:hAnsi="Arial"/>
          <w:sz w:val="16"/>
          <w:szCs w:val="16"/>
          <w:color w:val="29292B"/>
        </w:rPr>
        <w:t>For the exercise of an incentive stock option to qualify for the foregoing tax treatment, the participant generally must be an employee of the Company or a subsidiary from the date the option is granted through a date within three months before the date of exercise of the option. If all of the foregoing requirements are met except the holding period requirement mentioned above, the participant will recognize ordinary income upon the disposition of the shares of stock in an amount generally equal to the excess of the fair market value of the shares of stock at the time the incentive stock option was exercised over the option exercise price (but not in excess of the gain realized on the sale). The balance of the realized gain, if any, will be capital gain.</w:t>
      </w:r>
    </w:p>
    <w:p>
      <w:pPr>
        <w:spacing w:after="0" w:line="85"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color w:val="29292B"/>
        </w:rPr>
        <w:t>The Company will generally be allowed an income tax deduction to the extent the participant recognizes ordinary income, subject to the Company's compliance with certain reporting requirements.</w:t>
      </w:r>
    </w:p>
    <w:p>
      <w:pPr>
        <w:spacing w:after="0" w:line="74" w:lineRule="exact"/>
        <w:rPr>
          <w:sz w:val="20"/>
          <w:szCs w:val="20"/>
          <w:color w:val="auto"/>
        </w:rPr>
      </w:pPr>
    </w:p>
    <w:p>
      <w:pPr>
        <w:spacing w:after="0" w:line="304" w:lineRule="auto"/>
        <w:rPr>
          <w:sz w:val="20"/>
          <w:szCs w:val="20"/>
          <w:color w:val="auto"/>
        </w:rPr>
      </w:pPr>
      <w:r>
        <w:rPr>
          <w:rFonts w:ascii="Arial" w:cs="Arial" w:eastAsia="Arial" w:hAnsi="Arial"/>
          <w:sz w:val="16"/>
          <w:szCs w:val="16"/>
          <w:i w:val="1"/>
          <w:iCs w:val="1"/>
          <w:color w:val="29292B"/>
        </w:rPr>
        <w:t xml:space="preserve">Share Appreciation Rights ("SARs"). </w:t>
      </w:r>
      <w:r>
        <w:rPr>
          <w:rFonts w:ascii="Arial" w:cs="Arial" w:eastAsia="Arial" w:hAnsi="Arial"/>
          <w:sz w:val="16"/>
          <w:szCs w:val="16"/>
          <w:color w:val="29292B"/>
        </w:rPr>
        <w:t>Under current law, the grant of a SAR generally will have no federal income tax consequences for the participant. Upon</w:t>
      </w:r>
      <w:r>
        <w:rPr>
          <w:rFonts w:ascii="Arial" w:cs="Arial" w:eastAsia="Arial" w:hAnsi="Arial"/>
          <w:sz w:val="16"/>
          <w:szCs w:val="16"/>
          <w:i w:val="1"/>
          <w:iCs w:val="1"/>
          <w:color w:val="29292B"/>
        </w:rPr>
        <w:t xml:space="preserve"> </w:t>
      </w:r>
      <w:r>
        <w:rPr>
          <w:rFonts w:ascii="Arial" w:cs="Arial" w:eastAsia="Arial" w:hAnsi="Arial"/>
          <w:sz w:val="16"/>
          <w:szCs w:val="16"/>
          <w:color w:val="29292B"/>
        </w:rPr>
        <w:t>the exercise of a SAR, the participant will recognize ordinary income equal to the amount measured by the difference between (i) the fair market value of one share of stock on the date the SAR is exercised over (ii) the SAR exercise price as determined by the Committee as of the date of grant.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04"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i w:val="1"/>
          <w:iCs w:val="1"/>
          <w:color w:val="29292B"/>
        </w:rPr>
        <w:t xml:space="preserve">Restricted Shares. </w:t>
      </w:r>
      <w:r>
        <w:rPr>
          <w:rFonts w:ascii="Arial" w:cs="Arial" w:eastAsia="Arial" w:hAnsi="Arial"/>
          <w:sz w:val="16"/>
          <w:szCs w:val="16"/>
          <w:color w:val="29292B"/>
        </w:rPr>
        <w:t>Under current law, the grant of restricted shares generally will have no federal income tax consequences to the participant or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Company. The participant will generally recognize ordinary income on the date the Award vests, in an amount equal to the value of the shares of stock on the vesting date. Under Section 83 of the Code, a participant may elect to recognize income on the date of grant rather than the date of vesting in an amount equal to the fair market value of the shares of stock on the date of grant (less the purchase price for such shares of stock, if any).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05"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i w:val="1"/>
          <w:iCs w:val="1"/>
          <w:color w:val="29292B"/>
        </w:rPr>
        <w:t xml:space="preserve">Restricted Share Units, Performance Shares, Performance Units, and Performance Cash Awards. </w:t>
      </w:r>
      <w:r>
        <w:rPr>
          <w:rFonts w:ascii="Arial" w:cs="Arial" w:eastAsia="Arial" w:hAnsi="Arial"/>
          <w:sz w:val="16"/>
          <w:szCs w:val="16"/>
          <w:color w:val="29292B"/>
        </w:rPr>
        <w:t>Under current law, the grant of a restricted share unit</w:t>
      </w:r>
      <w:r>
        <w:rPr>
          <w:rFonts w:ascii="Arial" w:cs="Arial" w:eastAsia="Arial" w:hAnsi="Arial"/>
          <w:sz w:val="16"/>
          <w:szCs w:val="16"/>
          <w:i w:val="1"/>
          <w:iCs w:val="1"/>
          <w:color w:val="29292B"/>
        </w:rPr>
        <w:t xml:space="preserve"> </w:t>
      </w:r>
      <w:r>
        <w:rPr>
          <w:rFonts w:ascii="Arial" w:cs="Arial" w:eastAsia="Arial" w:hAnsi="Arial"/>
          <w:sz w:val="16"/>
          <w:szCs w:val="16"/>
          <w:color w:val="29292B"/>
        </w:rPr>
        <w:t>Award, performance share, performance unit, or performance cash award generally will have no federal income tax consequences to the participant or the Company. The participant generally will recognize ordinary income when payment is actually or constructively received by the participant in satisfaction of the restricted share unit Award, performance share, performance unit, or performance cash award in an amount equal to the amount of cash paid, if any, and the fair market value of any shares of stock delivered to the participant.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0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i w:val="1"/>
          <w:iCs w:val="1"/>
          <w:color w:val="29292B"/>
        </w:rPr>
        <w:t xml:space="preserve">Unrestricted Shares. </w:t>
      </w:r>
      <w:r>
        <w:rPr>
          <w:rFonts w:ascii="Arial" w:cs="Arial" w:eastAsia="Arial" w:hAnsi="Arial"/>
          <w:sz w:val="16"/>
          <w:szCs w:val="16"/>
          <w:color w:val="29292B"/>
        </w:rPr>
        <w:t>Under current law, upon the grant of an Award of unrestricted shares, a participant will be required to recognize ordinary income in an</w:t>
      </w:r>
      <w:r>
        <w:rPr>
          <w:rFonts w:ascii="Arial" w:cs="Arial" w:eastAsia="Arial" w:hAnsi="Arial"/>
          <w:sz w:val="16"/>
          <w:szCs w:val="16"/>
          <w:i w:val="1"/>
          <w:iCs w:val="1"/>
          <w:color w:val="29292B"/>
        </w:rPr>
        <w:t xml:space="preserve"> </w:t>
      </w:r>
      <w:r>
        <w:rPr>
          <w:rFonts w:ascii="Arial" w:cs="Arial" w:eastAsia="Arial" w:hAnsi="Arial"/>
          <w:sz w:val="16"/>
          <w:szCs w:val="16"/>
          <w:color w:val="29292B"/>
        </w:rPr>
        <w:t>amount equal to the fair market value of the shares of stock on the date of grant, reduced by the amount, if any, paid for such shares. Upon a participant's disposition of such shares of stock, any gain realized in excess of the amount reported as ordinary income will be reportable by the participant as a capital gain, and any loss will be reportable as a capital loss. Capital gain or loss will be long-term if the participant held the shares of stock for more than one year; otherwise, the capital gain or loss will be short-term.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0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29292B"/>
        </w:rPr>
        <w:t xml:space="preserve">Dividend Equivalents. </w:t>
      </w:r>
      <w:r>
        <w:rPr>
          <w:rFonts w:ascii="Arial" w:cs="Arial" w:eastAsia="Arial" w:hAnsi="Arial"/>
          <w:sz w:val="16"/>
          <w:szCs w:val="16"/>
          <w:color w:val="29292B"/>
        </w:rPr>
        <w:t>Under current law, the grant of dividend equivalents generally will have no federal income tax consequences for the participant.</w:t>
      </w:r>
      <w:r>
        <w:rPr>
          <w:rFonts w:ascii="Arial" w:cs="Arial" w:eastAsia="Arial" w:hAnsi="Arial"/>
          <w:sz w:val="16"/>
          <w:szCs w:val="16"/>
          <w:i w:val="1"/>
          <w:iCs w:val="1"/>
          <w:color w:val="29292B"/>
        </w:rPr>
        <w:t xml:space="preserve"> </w:t>
      </w:r>
      <w:r>
        <w:rPr>
          <w:rFonts w:ascii="Arial" w:cs="Arial" w:eastAsia="Arial" w:hAnsi="Arial"/>
          <w:sz w:val="16"/>
          <w:szCs w:val="16"/>
          <w:color w:val="29292B"/>
        </w:rPr>
        <w:t>Generally, the participant will recognize ordinary income on the amount distributed to the participant pursuant to the Award of dividend equivalent rights.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0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Certain payments made to employees and other service providers in connection with a change in control may constitute "parachute payments" subject to tax penalties imposed on both the Company and the recipient under Sections 280G and 4999 of the Code. In general, when the value of parachute payments equals or exceeds three times the employee's "base amount," the employee is subject to a 20% nondeductible excise tax on the excess over the base amount and the Company is denied a tax deduction for the excess payments. The base amount is generally defined as the employee's average compensation for the five calendar years prior to the date of the change in control. The value of accelerated vesting of options, SARs, restricted shares, restricted share units, performance shares, performance units, performance cash awards,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91</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0"/>
        </w:trPr>
        <w:tc>
          <w:tcPr>
            <w:tcW w:w="1100" w:type="dxa"/>
            <w:vAlign w:val="bottom"/>
            <w:vMerge w:val="restart"/>
            <w:shd w:val="clear" w:color="auto" w:fill="98BDE2"/>
          </w:tcPr>
          <w:p>
            <w:pPr>
              <w:ind w:left="140"/>
              <w:spacing w:after="0"/>
              <w:rPr>
                <w:sz w:val="20"/>
                <w:szCs w:val="20"/>
                <w:color w:val="auto"/>
              </w:rPr>
            </w:pPr>
            <w:r>
              <w:rPr>
                <w:rFonts w:ascii="Arial" w:cs="Arial" w:eastAsia="Arial" w:hAnsi="Arial"/>
                <w:sz w:val="13"/>
                <w:szCs w:val="13"/>
                <w:b w:val="1"/>
                <w:bCs w:val="1"/>
                <w:color w:val="032E5C"/>
              </w:rPr>
              <w:t>PROPOSAL 4</w:t>
            </w:r>
          </w:p>
        </w:tc>
        <w:tc>
          <w:tcPr>
            <w:tcW w:w="10120" w:type="dxa"/>
            <w:vAlign w:val="bottom"/>
          </w:tcPr>
          <w:p>
            <w:pPr>
              <w:ind w:left="900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100" w:type="dxa"/>
            <w:vAlign w:val="bottom"/>
            <w:vMerge w:val="continue"/>
            <w:shd w:val="clear" w:color="auto" w:fill="98BDE2"/>
          </w:tcPr>
          <w:p>
            <w:pPr>
              <w:spacing w:after="0"/>
              <w:rPr>
                <w:sz w:val="4"/>
                <w:szCs w:val="4"/>
                <w:color w:val="auto"/>
              </w:rPr>
            </w:pPr>
          </w:p>
        </w:tc>
        <w:tc>
          <w:tcPr>
            <w:tcW w:w="10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00" w:type="dxa"/>
            <w:vAlign w:val="bottom"/>
            <w:shd w:val="clear" w:color="auto" w:fill="98BDE2"/>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29292B"/>
        </w:rPr>
        <w:t>dividend equivalent rights, or other Awards in connection with a change in control can constitute a parachute payment. The 2024 Plan contains a "better of" provision, meaning if any of the payments or benefits provided to the participant under the 2024 Plan, other agreements, and all benefit arrangements would constitute parachute payments within the meaning of Section 280G of the Code and be subject to the excise tax imposed under Section 4999 of the Code, then the payments or benefits will be reduced or eliminated to the extent required to avoid the excise tax if such a reduction would give the participant a better after-tax result than receiving the full payments and benefits.</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New Plan Benefits</w:t>
      </w:r>
    </w:p>
    <w:p>
      <w:pPr>
        <w:spacing w:after="0" w:line="209" w:lineRule="exact"/>
        <w:rPr>
          <w:sz w:val="20"/>
          <w:szCs w:val="20"/>
          <w:color w:val="auto"/>
        </w:rPr>
      </w:pPr>
    </w:p>
    <w:p>
      <w:pPr>
        <w:jc w:val="both"/>
        <w:ind w:right="220"/>
        <w:spacing w:after="0" w:line="310" w:lineRule="auto"/>
        <w:rPr>
          <w:sz w:val="20"/>
          <w:szCs w:val="20"/>
          <w:color w:val="auto"/>
        </w:rPr>
      </w:pPr>
      <w:r>
        <w:rPr>
          <w:rFonts w:ascii="Arial" w:cs="Arial" w:eastAsia="Arial" w:hAnsi="Arial"/>
          <w:sz w:val="16"/>
          <w:szCs w:val="16"/>
          <w:color w:val="29292B"/>
        </w:rPr>
        <w:t>As of the date of this proxy statement, no Awards have been made under the 2024 Plan. Because benefits under the 2024 Plan are discretionary and will depend on the actions of the Committee, the performance of the Company, and the value of our common stock, it is not possible to determine the benefits that will be received if stockholders approve the 2024 Plan.</w:t>
      </w:r>
    </w:p>
    <w:p>
      <w:pPr>
        <w:sectPr>
          <w:pgSz w:w="11900" w:h="16838" w:orient="portrait"/>
          <w:cols w:equalWidth="0" w:num="1">
            <w:col w:w="11220"/>
          </w:cols>
          <w:pgMar w:left="320" w:top="166" w:right="359" w:bottom="1440" w:gutter="0" w:footer="0" w:header="0"/>
        </w:sectPr>
      </w:pPr>
    </w:p>
    <w:p>
      <w:pPr>
        <w:spacing w:after="0" w:line="199"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032E5C"/>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848360" cy="2571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032E5C"/>
        </w:rPr>
        <w:t xml:space="preserve">The Board recommends that you vote </w:t>
      </w:r>
      <w:r>
        <w:rPr>
          <w:rFonts w:ascii="Arial" w:cs="Arial" w:eastAsia="Arial" w:hAnsi="Arial"/>
          <w:sz w:val="16"/>
          <w:szCs w:val="16"/>
          <w:b w:val="1"/>
          <w:bCs w:val="1"/>
          <w:color w:val="032E5C"/>
        </w:rPr>
        <w:t>"FOR"</w:t>
      </w:r>
      <w:r>
        <w:rPr>
          <w:rFonts w:ascii="Arial" w:cs="Arial" w:eastAsia="Arial" w:hAnsi="Arial"/>
          <w:sz w:val="16"/>
          <w:szCs w:val="16"/>
          <w:color w:val="032E5C"/>
        </w:rPr>
        <w:t xml:space="preserve"> the approval of the Vail Resorts, Inc., 2024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-124460</wp:posOffset>
            </wp:positionV>
            <wp:extent cx="6283325" cy="2571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283325" cy="25717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2">
            <w:col w:w="980" w:space="620"/>
            <w:col w:w="9620"/>
          </w:cols>
          <w:pgMar w:left="320" w:top="166" w:right="35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92</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59"/>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type w:val="continuous"/>
        </w:sectPr>
      </w:pPr>
    </w:p>
    <w:bookmarkStart w:id="97" w:name="page98"/>
    <w:bookmarkEnd w:id="97"/>
    <w:p>
      <w:pPr>
        <w:ind w:right="1800"/>
        <w:spacing w:after="0" w:line="304" w:lineRule="auto"/>
        <w:rPr>
          <w:sz w:val="20"/>
          <w:szCs w:val="20"/>
          <w:color w:val="auto"/>
        </w:rPr>
      </w:pPr>
      <w:r>
        <w:rPr>
          <w:rFonts w:ascii="Arial" w:cs="Arial" w:eastAsia="Arial" w:hAnsi="Arial"/>
          <w:sz w:val="50"/>
          <w:szCs w:val="50"/>
          <w:b w:val="1"/>
          <w:bCs w:val="1"/>
          <w:color w:val="032E5C"/>
        </w:rPr>
        <w:t>THE ANNUAL MEETING AND VOTING –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975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How can stockholders attend the annual meeting?</w:t>
      </w:r>
    </w:p>
    <w:p>
      <w:pPr>
        <w:spacing w:after="0" w:line="19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29292B"/>
        </w:rPr>
        <w:t xml:space="preserve">We look forward to continuing to provide expanded access, improved communication, and cost savings for the Company and our stockholders by holding our annual meeting entirely online. We believe a live virtual meeting increases accessibility and inclusion by enabling increased stockholder attendance and participation and is an efficient use of resources for our stockholders and the Company. Accordingly, this year’s Annual Meeting will be held in live virtual format. Only such stockholders as of the close of business on October 8, 2024, their proxy holders, and our invited guests may attend the annual meeting. To participate in the virtual Annual Meeting, visit </w:t>
      </w:r>
      <w:r>
        <w:rPr>
          <w:rFonts w:ascii="Arial" w:cs="Arial" w:eastAsia="Arial" w:hAnsi="Arial"/>
          <w:sz w:val="16"/>
          <w:szCs w:val="16"/>
          <w:i w:val="1"/>
          <w:iCs w:val="1"/>
          <w:color w:val="29292B"/>
        </w:rPr>
        <w:t>www.virtualshareholdermeeting.com/MTN2024</w:t>
      </w:r>
      <w:r>
        <w:rPr>
          <w:rFonts w:ascii="Arial" w:cs="Arial" w:eastAsia="Arial" w:hAnsi="Arial"/>
          <w:sz w:val="16"/>
          <w:szCs w:val="16"/>
          <w:color w:val="29292B"/>
        </w:rPr>
        <w:t xml:space="preserve"> and log in using the 16-digit control number printed in the box marked by the arrow on your proxy card. If you encounter any difficulties accessing the virtual meeting during the check-in or course of the Annual Meeting, please call 844-986-0822 (U.S.) or 303-562-9302 (international) for assistance.</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is the agenda for the annual meeting?</w:t>
      </w:r>
    </w:p>
    <w:p>
      <w:pPr>
        <w:spacing w:after="0" w:line="195"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29292B"/>
        </w:rPr>
        <w:t xml:space="preserve">The annual meeting will include a discussion of and voting on matters described in the Notice of 2024 Annual Meeting of Stockholders and this proxy statement and a brief question and answer session. The question and answer session will be limited only to questions relating to the proposals set forth in the Notice and Proxy Statement. We will not be providing a business update or answering any questions regarding the business or company performance questions at the annual meeting as we will be releasing our results for the first quarter of fiscal 2025 on Monday, December 9, 2024 and holding an investor call to discuss the results at such time. If you wish to submit a question relating to the proposals set forth in the Notice and Proxy Statement, immediately before or during the meeting log into the virtual meeting platform at </w:t>
      </w:r>
      <w:r>
        <w:rPr>
          <w:rFonts w:ascii="Arial" w:cs="Arial" w:eastAsia="Arial" w:hAnsi="Arial"/>
          <w:sz w:val="16"/>
          <w:szCs w:val="16"/>
          <w:i w:val="1"/>
          <w:iCs w:val="1"/>
          <w:color w:val="29292B"/>
        </w:rPr>
        <w:t>www.virtualshareholdermeeting.com/MTN2024</w:t>
      </w:r>
      <w:r>
        <w:rPr>
          <w:rFonts w:ascii="Arial" w:cs="Arial" w:eastAsia="Arial" w:hAnsi="Arial"/>
          <w:sz w:val="16"/>
          <w:szCs w:val="16"/>
          <w:color w:val="29292B"/>
        </w:rPr>
        <w:t xml:space="preserve"> and type your question into the “Ask a Question” field, and click “Submit.”</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is the difference between a stockholder of record and a “street name” holder?</w:t>
      </w:r>
    </w:p>
    <w:p>
      <w:pPr>
        <w:spacing w:after="0" w:line="195"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29292B"/>
        </w:rPr>
        <w:t>If your shares of the Company’s common stock are registered directly in your name with the Company’s transfer agent, EQ Shareowner Services, then you are a stockholder of record.</w:t>
      </w:r>
    </w:p>
    <w:p>
      <w:pPr>
        <w:spacing w:after="0" w:line="74"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29292B"/>
        </w:rPr>
        <w:t>If your shares are not held in your name, but rather are held through an intermediary, such as in an account at a brokerage firm or by a bank, trustee, or other nominee, then you are the beneficial owner of shares held in “street name.” However, as a beneficial owner, you have the right to direct your broker or other nominee regarding how to vote the shares held in your account.</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Who is entitled to vote at or attend the annual meeting?</w:t>
      </w:r>
    </w:p>
    <w:p>
      <w:pPr>
        <w:spacing w:after="0" w:line="195" w:lineRule="exact"/>
        <w:rPr>
          <w:sz w:val="20"/>
          <w:szCs w:val="20"/>
          <w:color w:val="auto"/>
        </w:rPr>
      </w:pPr>
    </w:p>
    <w:p>
      <w:pPr>
        <w:jc w:val="both"/>
        <w:ind w:right="180"/>
        <w:spacing w:after="0" w:line="319" w:lineRule="auto"/>
        <w:rPr>
          <w:sz w:val="20"/>
          <w:szCs w:val="20"/>
          <w:color w:val="auto"/>
        </w:rPr>
      </w:pPr>
      <w:r>
        <w:rPr>
          <w:rFonts w:ascii="Arial" w:cs="Arial" w:eastAsia="Arial" w:hAnsi="Arial"/>
          <w:sz w:val="16"/>
          <w:szCs w:val="16"/>
          <w:color w:val="29292B"/>
        </w:rPr>
        <w:t>Holders of record and street name holders (subject to the requirements below) of our common stock as of the close of business on October 8, 2024, which we refer to as the record date, are entitled to vote. On the record date, we had 37,462,464 shares of common stock outstanding. You are entitled to attend the annual meeting only if you were a stockholder as of the record date or you hold a valid proxy for the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If you are a stockholder of record:</w:t>
      </w:r>
    </w:p>
    <w:p>
      <w:pPr>
        <w:spacing w:after="0" w:line="126" w:lineRule="exact"/>
        <w:rPr>
          <w:sz w:val="20"/>
          <w:szCs w:val="20"/>
          <w:color w:val="auto"/>
        </w:rPr>
      </w:pPr>
    </w:p>
    <w:p>
      <w:pPr>
        <w:spacing w:after="0" w:line="310" w:lineRule="auto"/>
        <w:rPr>
          <w:sz w:val="20"/>
          <w:szCs w:val="20"/>
          <w:color w:val="auto"/>
        </w:rPr>
      </w:pPr>
      <w:r>
        <w:rPr>
          <w:rFonts w:ascii="Arial" w:cs="Arial" w:eastAsia="Arial" w:hAnsi="Arial"/>
          <w:sz w:val="16"/>
          <w:szCs w:val="16"/>
          <w:color w:val="29292B"/>
        </w:rPr>
        <w:t>If you are a stockholder of record, you may vote at the virtual meeting or vote by proxy. Whether or not you plan to attend the annual meeting, we urge you to vote by proxy in advance of the annual meeting over the telephone or on the Internet as instructed in the Notice of Internet Availability of Proxy Materials to ensure your vote is counted.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93</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0"/>
        </w:trPr>
        <w:tc>
          <w:tcPr>
            <w:tcW w:w="218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QUESTIONS AND ANSWERS</w:t>
            </w:r>
          </w:p>
        </w:tc>
        <w:tc>
          <w:tcPr>
            <w:tcW w:w="9040" w:type="dxa"/>
            <w:vAlign w:val="bottom"/>
          </w:tcPr>
          <w:p>
            <w:pPr>
              <w:ind w:left="79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180" w:type="dxa"/>
            <w:vAlign w:val="bottom"/>
            <w:vMerge w:val="continue"/>
            <w:shd w:val="clear" w:color="auto" w:fill="98BDE2"/>
          </w:tcPr>
          <w:p>
            <w:pPr>
              <w:spacing w:after="0"/>
              <w:rPr>
                <w:sz w:val="4"/>
                <w:szCs w:val="4"/>
                <w:color w:val="auto"/>
              </w:rPr>
            </w:pPr>
          </w:p>
        </w:tc>
        <w:tc>
          <w:tcPr>
            <w:tcW w:w="9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180" w:type="dxa"/>
            <w:vAlign w:val="bottom"/>
            <w:shd w:val="clear" w:color="auto" w:fill="98BDE2"/>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If you are a street name holder:</w:t>
      </w:r>
    </w:p>
    <w:p>
      <w:pPr>
        <w:spacing w:after="0" w:line="139"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29292B"/>
        </w:rPr>
        <w:t>If you are a street name holder, you may not vote your shares at the virtual annual meeting unless you request and obtain a valid proxy from your broker or other nominee and follow the instructions on how to attend the virtual meeting. If you want to attend the virtual annual meeting, but not vote at the meeting, you must also follow the instructions of your broker or other nominee on how to attend the virtual meeting. Whether or not you plan to attend the annual meeting, we urge you to vote by proxy or otherwise instruct your nominee how to vote on your behalf in advance of the annual meeting in accordance with the instructions provided by your bank, broker, trustee, or other nominee.</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How do I vote my shares?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If you are a stockholder of record of our common shares: By Telephone or the Internet</w:t>
      </w:r>
    </w:p>
    <w:p>
      <w:pPr>
        <w:spacing w:after="0" w:line="126"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29292B"/>
        </w:rPr>
        <w:t>Stockholders of record can vote their shares via telephone or the Internet as instructed in the Notice of Internet Availability of Proxy Materials. The telephone and Internet procedures are designed to authenticate a stockholder’s identity, to allow stockholders to vote their shares and confirm that their instructions have been properly recorded.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29292B"/>
        </w:rPr>
        <w:t>The telephone and Internet voting facilities will close at 11:59 p.m., Eastern Time on December 4, 2024.</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By Mail</w:t>
      </w:r>
    </w:p>
    <w:p>
      <w:pPr>
        <w:spacing w:after="0" w:line="132" w:lineRule="exact"/>
        <w:rPr>
          <w:sz w:val="20"/>
          <w:szCs w:val="20"/>
          <w:color w:val="auto"/>
        </w:rPr>
      </w:pPr>
    </w:p>
    <w:p>
      <w:pPr>
        <w:jc w:val="both"/>
        <w:ind w:right="40"/>
        <w:spacing w:after="0" w:line="319" w:lineRule="auto"/>
        <w:rPr>
          <w:sz w:val="20"/>
          <w:szCs w:val="20"/>
          <w:color w:val="auto"/>
        </w:rPr>
      </w:pPr>
      <w:r>
        <w:rPr>
          <w:rFonts w:ascii="Arial" w:cs="Arial" w:eastAsia="Arial" w:hAnsi="Arial"/>
          <w:sz w:val="16"/>
          <w:szCs w:val="16"/>
          <w:color w:val="29292B"/>
        </w:rPr>
        <w:t>Stockholders who elect to vote by mail should request a paper proxy card by telephone or Internet and should complete, sign and date their proxy cards and mail them in the pre-addressed envelopes that accompany the delivery of paper proxy cards. Proxy cards submitted by mail must be received by the time of the meeting in order for your shares to be voted.</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By Participating in the Virtual Annual Meeting</w:t>
      </w:r>
    </w:p>
    <w:p>
      <w:pPr>
        <w:spacing w:after="0" w:line="132"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29292B"/>
        </w:rPr>
        <w:t xml:space="preserve">Stockholders of record who wish to vote electronically at the virtual annual meeting may visit </w:t>
      </w:r>
      <w:r>
        <w:rPr>
          <w:rFonts w:ascii="Arial" w:cs="Arial" w:eastAsia="Arial" w:hAnsi="Arial"/>
          <w:sz w:val="16"/>
          <w:szCs w:val="16"/>
          <w:i w:val="1"/>
          <w:iCs w:val="1"/>
          <w:color w:val="29292B"/>
        </w:rPr>
        <w:t>www.virtualshareholdermeeting.com/MTN2024</w:t>
      </w:r>
      <w:r>
        <w:rPr>
          <w:rFonts w:ascii="Arial" w:cs="Arial" w:eastAsia="Arial" w:hAnsi="Arial"/>
          <w:sz w:val="16"/>
          <w:szCs w:val="16"/>
          <w:color w:val="29292B"/>
        </w:rPr>
        <w:t>, log in using the 16-digit control number printed in the box marked by the arrow on your proxy card, click on the vote button on the screen and follow the instructions provided.</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If you are a street name holder of our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By Telephone or the Internet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9292B"/>
        </w:rPr>
        <w:t>Please contact your broker or other nominee for directions on how to submit your voting instructions by telephone or the Internet (if available).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By Mail</w:t>
      </w:r>
    </w:p>
    <w:p>
      <w:pPr>
        <w:spacing w:after="0" w:line="132"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29292B"/>
        </w:rPr>
        <w:t>Street name holders may vote by mail by requesting a paper voting instruction card according to the instructions contained in the materials received from your broker or other nominee.</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By Participating in the Virtual Annual Meeting</w:t>
      </w:r>
    </w:p>
    <w:p>
      <w:pPr>
        <w:spacing w:after="0" w:line="132"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29292B"/>
        </w:rPr>
        <w:t xml:space="preserve">Street name holders who wish to vote electronically at the virtual annual meeting may visit </w:t>
      </w:r>
      <w:r>
        <w:rPr>
          <w:rFonts w:ascii="Arial" w:cs="Arial" w:eastAsia="Arial" w:hAnsi="Arial"/>
          <w:sz w:val="16"/>
          <w:szCs w:val="16"/>
          <w:i w:val="1"/>
          <w:iCs w:val="1"/>
          <w:color w:val="29292B"/>
        </w:rPr>
        <w:t>www.virtualshareholdermeeting.com/MTN2024</w:t>
      </w:r>
      <w:r>
        <w:rPr>
          <w:rFonts w:ascii="Arial" w:cs="Arial" w:eastAsia="Arial" w:hAnsi="Arial"/>
          <w:sz w:val="16"/>
          <w:szCs w:val="16"/>
          <w:color w:val="29292B"/>
        </w:rPr>
        <w:t xml:space="preserve"> and log in using the 16-digit control number printed in the box marked by the arrow on your proxy card, click on the vote button on the screen, and follow the instructions provided.</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Can I change my vote?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29292B"/>
        </w:rPr>
        <w:t>If you are a stockholder of record of common stock, you may change your vote at any time prior to the vote at the annual meeting by:</w:t>
      </w:r>
    </w:p>
    <w:p>
      <w:pPr>
        <w:spacing w:after="0" w:line="181" w:lineRule="exact"/>
        <w:rPr>
          <w:sz w:val="20"/>
          <w:szCs w:val="20"/>
          <w:color w:val="auto"/>
        </w:rPr>
      </w:pPr>
    </w:p>
    <w:p>
      <w:pPr>
        <w:ind w:left="660" w:hanging="328"/>
        <w:spacing w:after="0"/>
        <w:tabs>
          <w:tab w:leader="none" w:pos="660" w:val="left"/>
        </w:tabs>
        <w:numPr>
          <w:ilvl w:val="0"/>
          <w:numId w:val="8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providing timely delivery of a later-dated proxy (including by telephone or Internet vote);</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8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providing timely written notice of revocation to our Secretary at 390 Interlocken Crescent, Broomfield, Colorado 80021; or</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8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attending the virtual annual meeting and voting electronically.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94</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20"/>
                <w:szCs w:val="20"/>
                <w:color w:val="auto"/>
              </w:rPr>
            </w:pPr>
            <w:r>
              <w:rPr>
                <w:rFonts w:ascii="Arial" w:cs="Arial" w:eastAsia="Arial" w:hAnsi="Arial"/>
                <w:sz w:val="14"/>
                <w:szCs w:val="14"/>
                <w:color w:val="032E5C"/>
              </w:rPr>
              <w:t>Table of Contents</w:t>
            </w:r>
          </w:p>
        </w:tc>
        <w:tc>
          <w:tcPr>
            <w:tcW w:w="5800" w:type="dxa"/>
            <w:vAlign w:val="bottom"/>
            <w:vMerge w:val="restart"/>
          </w:tcPr>
          <w:p>
            <w:pPr>
              <w:ind w:left="4060"/>
              <w:spacing w:after="0"/>
              <w:rPr>
                <w:sz w:val="20"/>
                <w:szCs w:val="20"/>
                <w:color w:val="auto"/>
              </w:rPr>
            </w:pPr>
            <w:r>
              <w:rPr>
                <w:rFonts w:ascii="Arial" w:cs="Arial" w:eastAsia="Arial" w:hAnsi="Arial"/>
                <w:sz w:val="13"/>
                <w:szCs w:val="13"/>
                <w:b w:val="1"/>
                <w:bCs w:val="1"/>
                <w:color w:val="032E5C"/>
                <w:w w:val="96"/>
              </w:rPr>
              <w:t>QUESTIONS AND ANSWERS</w:t>
            </w: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5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5951855</wp:posOffset>
            </wp:positionH>
            <wp:positionV relativeFrom="page">
              <wp:posOffset>106045</wp:posOffset>
            </wp:positionV>
            <wp:extent cx="1388745" cy="2400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8874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29292B"/>
        </w:rPr>
        <w:t>To be timely, later-dated proxy cards and written notices submitted by mail must be received by the time of the annual meeting. In order to change your vote by telephone or Internet, you must do so before the telephone and Internet voting facilities close at 11:59 p.m., Eastern Time, on December 4, 2024.</w:t>
      </w:r>
    </w:p>
    <w:p>
      <w:pPr>
        <w:spacing w:after="0" w:line="74"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29292B"/>
        </w:rPr>
        <w:t>If you are a street name holder of common stock, you may change your vote by timely submitting new voting instructions to your broker or other nominee following the instructions they provided, or, if you have obtained a valid proxy from your broker or other nominee giving you the right to vote your shares, by attending the virtual meeting and voting electronically.</w:t>
      </w:r>
    </w:p>
    <w:p>
      <w:pPr>
        <w:spacing w:after="0" w:line="52" w:lineRule="exact"/>
        <w:rPr>
          <w:sz w:val="20"/>
          <w:szCs w:val="20"/>
          <w:color w:val="auto"/>
        </w:rPr>
      </w:pPr>
    </w:p>
    <w:p>
      <w:pPr>
        <w:ind w:right="1100"/>
        <w:spacing w:after="0" w:line="309" w:lineRule="auto"/>
        <w:rPr>
          <w:sz w:val="20"/>
          <w:szCs w:val="20"/>
          <w:color w:val="auto"/>
        </w:rPr>
      </w:pPr>
      <w:r>
        <w:rPr>
          <w:rFonts w:ascii="Arial" w:cs="Arial" w:eastAsia="Arial" w:hAnsi="Arial"/>
          <w:sz w:val="25"/>
          <w:szCs w:val="25"/>
          <w:b w:val="1"/>
          <w:bCs w:val="1"/>
          <w:color w:val="032E5C"/>
        </w:rPr>
        <w:t>How many shares must be present or represented to conduct business at the annual meeting?</w:t>
      </w:r>
    </w:p>
    <w:p>
      <w:pPr>
        <w:spacing w:after="0" w:line="5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29292B"/>
        </w:rPr>
        <w:t>The quorum requirement for holding the annual meeting and transacting business is that holders of a majority of the issued and outstanding common stock that is entitled to vote must be present virtually or represented by proxy. Both abstentions and broker non-votes described below are counted for the purpose of determining the presence of a quorum. If there is no quorum, the holders of a majority of shares present at the virtual meeting or represented by proxy may adjourn the annual meeting to another date.</w:t>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How are abstentions treated?</w:t>
      </w:r>
    </w:p>
    <w:p>
      <w:pPr>
        <w:spacing w:after="0" w:line="20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29292B"/>
        </w:rPr>
        <w:t>Abstentions are counted for purposes of determining whether a quorum is present. For purposes of determining whether the stockholders have approved a matter, abstentions are not treated as votes cast affirmatively or negatively, and therefore do not have any effect on the outcome of a matter to be voted on at the annual meeting that requires an affirmative vote of a majority of the votes cast by holders of our common stock present virtually or by proxy at the annual meeting. A “majority of votes cast” means the number of “FOR” votes exceeds the number of “AGAINST” votes.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are “broker non-votes”?</w:t>
      </w:r>
    </w:p>
    <w:p>
      <w:pPr>
        <w:spacing w:after="0" w:line="195"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29292B"/>
        </w:rPr>
        <w:t>If you hold shares in street name through a broker and do not provide your broker with voting instructions, your shares may constitute “broker non-votes.” Generally, broker non-votes occur on a matter when a broker is not permitted to vote on that matter without instructions from the beneficial owner and instructions are not given by the beneficial owner. In tabulating the voting result for any particular proposal, shares that constitute broker non-votes are considered present for the purpose of determining a quorum but are not considered entitled to vote or votes cast on that proposal. Thus, a broker non-vote will make a quorum more readily attainable, but, broker non-votes will not affect the outcome of any matter being voted on at the annual meeting, assuming that a quorum is obtained.</w:t>
      </w:r>
    </w:p>
    <w:p>
      <w:pPr>
        <w:spacing w:after="0" w:line="10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If your shares are held in street name and you do not instruct your broker on how to vote your shares, your brokerage firm, in its discretion, may either leave your shares unvoted or vote your shares on “routine” matters. The proposal to ratify the selection of our independent registered public accounting firm for the current fiscal year (Proposal 2) is considered a routine matter. Under the rules of the New York Stock Exchange, or the NYSE, the election of directors (Proposal 1), the advisory vote to approve executive compensation (Proposal 3), and the approval of the Vail Resorts, Inc. 2024 Omnibus Incentive Plan (Proposal 4) are not considered routine matters and, consequently, without your voting instructions, your broker cannot vote your uninstructed shares on these proposals.</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are the voting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1—Election of Directors</w:t>
      </w:r>
    </w:p>
    <w:p>
      <w:pPr>
        <w:spacing w:after="0" w:line="12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9292B"/>
        </w:rPr>
        <w:t>In the election of directors named in this proxy statement, you may vote “FOR” one or more of the nominees or your vote may be “AGAINST” one or more of the nominees. Alternatively, you may vote “ABSTAIN” with respect to one or more nominees. You may not cumulate your votes for the election of directors. To be elected, each director nominee requires a majority of the votes cast for his or her election, which means that each director nominee must receive more votes cast “FOR” than “AGAINST” that director nominee. Abstentions and broker non-votes are not treated as voting on this proposal. If stockholders do not elect a nominee who is already serving as a director, Delaware law provides that the director would continue to serve on the Board as a “holdover director,” rather than causing a vacancy, until a successor is duly elected or until the director resigns. Under our Corporate Governance Guidelines and as permitted by our Bylaws, each director has submitted an advance, contingent resignation that the Board may accept if stockholders do not elect the director. In that situation, our Nominating &amp; Governance Committee would make a recommendation to the Board about whether to accept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95</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0"/>
        </w:trPr>
        <w:tc>
          <w:tcPr>
            <w:tcW w:w="2180" w:type="dxa"/>
            <w:vAlign w:val="bottom"/>
            <w:vMerge w:val="restart"/>
            <w:shd w:val="clear" w:color="auto" w:fill="98BDE2"/>
          </w:tcPr>
          <w:p>
            <w:pPr>
              <w:ind w:left="240"/>
              <w:spacing w:after="0"/>
              <w:rPr>
                <w:sz w:val="20"/>
                <w:szCs w:val="20"/>
                <w:color w:val="auto"/>
              </w:rPr>
            </w:pPr>
            <w:r>
              <w:rPr>
                <w:rFonts w:ascii="Arial" w:cs="Arial" w:eastAsia="Arial" w:hAnsi="Arial"/>
                <w:sz w:val="13"/>
                <w:szCs w:val="13"/>
                <w:b w:val="1"/>
                <w:bCs w:val="1"/>
                <w:color w:val="032E5C"/>
              </w:rPr>
              <w:t>QUESTIONS AND ANSWERS</w:t>
            </w:r>
          </w:p>
        </w:tc>
        <w:tc>
          <w:tcPr>
            <w:tcW w:w="9040" w:type="dxa"/>
            <w:vAlign w:val="bottom"/>
          </w:tcPr>
          <w:p>
            <w:pPr>
              <w:ind w:left="79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2180" w:type="dxa"/>
            <w:vAlign w:val="bottom"/>
            <w:vMerge w:val="continue"/>
            <w:shd w:val="clear" w:color="auto" w:fill="98BDE2"/>
          </w:tcPr>
          <w:p>
            <w:pPr>
              <w:spacing w:after="0"/>
              <w:rPr>
                <w:sz w:val="4"/>
                <w:szCs w:val="4"/>
                <w:color w:val="auto"/>
              </w:rPr>
            </w:pPr>
          </w:p>
        </w:tc>
        <w:tc>
          <w:tcPr>
            <w:tcW w:w="9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180" w:type="dxa"/>
            <w:vAlign w:val="bottom"/>
            <w:shd w:val="clear" w:color="auto" w:fill="98BDE2"/>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29292B"/>
        </w:rPr>
        <w:t>or reject the resignation, or whether to take other action. The Board will promptly publicly disclose its decision regarding the director’s resignation.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2—Ratification of Selection of PricewaterhouseCoopers LLP</w:t>
      </w:r>
    </w:p>
    <w:p>
      <w:pPr>
        <w:spacing w:after="0" w:line="12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29292B"/>
        </w:rPr>
        <w:t>In the ratification of the selection of PricewaterhouseCoopers LLP as the Company’s independent registered public accounting firm for the fiscal year ending July 31, 2025, you may vote “FOR,” “AGAINST” or “ABSTAIN.” This proposal requires the affirmative vote of a majority of those shares present virtually or represented by proxy, entitled to vote, and actually voting on the proposal at the annual meeting. Abstentions are not treated as voting on this proposal. Broker non-votes are not applicable to this proposal.</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3—Advisory Vote to Approve Executive Compensation</w:t>
      </w:r>
    </w:p>
    <w:p>
      <w:pPr>
        <w:spacing w:after="0" w:line="126"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29292B"/>
        </w:rPr>
        <w:t>In the advisory vote to approve executive compensation, you may vote “FOR,” “AGAINST” or “ABSTAIN.” This proposal requires the affirmative vote of a majority of those shares present virtually or represented by proxy, entitled to vote, and actually voting on the proposal at the annual meeting. Abstentions and broker non-votes are not treated as voting on this proposal. The vote is advisory, and therefore not binding on the Company, the Compensation Committee or the Board. However, the Compensation Committee will review the voting results and take them into consideration when making future decisions regarding executive compensation as it deems appropriate.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4—Vote to Approve the Vail Resorts, Inc. 2024 Omnibus Incentive Plan</w:t>
      </w:r>
    </w:p>
    <w:p>
      <w:pPr>
        <w:spacing w:after="0" w:line="126"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29292B"/>
        </w:rPr>
        <w:t>In the proposal to cast a vote to approve the Vail Resorts, Inc. 2024 Omnibus Incentive Plan, you may vote "FOR," "AGAINST" or "ABSTAIN." This proposal requires the affirmative vote of a majority of those shares present in person or represented by proxy, entitled to vote, and actually voting on the proposal at the annual meeting. Abstentions and broker non-votes are not treated as voting on this proposal.</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Who will serve as inspector of elections?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inspector of elections will be a representative from Broadridge Financial Solutions, Inc.</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Who will bear the cost of soliciting votes for the annual meeting?</w:t>
      </w:r>
    </w:p>
    <w:p>
      <w:pPr>
        <w:spacing w:after="0" w:line="209"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29292B"/>
        </w:rPr>
        <w:t>The Company is soliciting your proxy, and we will bear the cost of soliciting proxies. In addition to the original solicitation of proxies, proxies may be solicited personally, by telephone or other means of communication, by our directors and employees. Directors and employees will not be paid any additional compensation for soliciting proxies.</w:t>
      </w:r>
    </w:p>
    <w:p>
      <w:pPr>
        <w:spacing w:after="0" w:line="97"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color w:val="29292B"/>
        </w:rPr>
        <w:t>We may reimburse brokers holding common stock in their names or in the names of their nominees for their expenses in sending proxy material to the beneficial owners of such common stock.</w:t>
      </w:r>
    </w:p>
    <w:p>
      <w:pPr>
        <w:spacing w:after="0" w:line="50" w:lineRule="exact"/>
        <w:rPr>
          <w:sz w:val="20"/>
          <w:szCs w:val="20"/>
          <w:color w:val="auto"/>
        </w:rPr>
      </w:pPr>
    </w:p>
    <w:p>
      <w:pPr>
        <w:ind w:right="1280"/>
        <w:spacing w:after="0" w:line="298" w:lineRule="auto"/>
        <w:rPr>
          <w:sz w:val="20"/>
          <w:szCs w:val="20"/>
          <w:color w:val="auto"/>
        </w:rPr>
      </w:pPr>
      <w:r>
        <w:rPr>
          <w:rFonts w:ascii="Arial" w:cs="Arial" w:eastAsia="Arial" w:hAnsi="Arial"/>
          <w:sz w:val="25"/>
          <w:szCs w:val="25"/>
          <w:b w:val="1"/>
          <w:bCs w:val="1"/>
          <w:color w:val="032E5C"/>
        </w:rPr>
        <w:t>What does it mean if I receive more than one Notice of Internet Availability of Proxy Materials?</w:t>
      </w:r>
    </w:p>
    <w:p>
      <w:pPr>
        <w:spacing w:after="0" w:line="79" w:lineRule="exact"/>
        <w:rPr>
          <w:sz w:val="20"/>
          <w:szCs w:val="20"/>
          <w:color w:val="auto"/>
        </w:rPr>
      </w:pPr>
    </w:p>
    <w:p>
      <w:pPr>
        <w:jc w:val="both"/>
        <w:ind w:right="120"/>
        <w:spacing w:after="0" w:line="310" w:lineRule="auto"/>
        <w:rPr>
          <w:sz w:val="20"/>
          <w:szCs w:val="20"/>
          <w:color w:val="auto"/>
        </w:rPr>
      </w:pPr>
      <w:r>
        <w:rPr>
          <w:rFonts w:ascii="Arial" w:cs="Arial" w:eastAsia="Arial" w:hAnsi="Arial"/>
          <w:sz w:val="16"/>
          <w:szCs w:val="16"/>
          <w:color w:val="29292B"/>
        </w:rPr>
        <w:t>If you receive more than one Notice of Internet Availability of Proxy Materials, it means that you have multiple accounts at the transfer agent or with brokers or other nominees. Please vote all of your shares as described herein, or follow the instructions received from each broker or other nominee, to ensure that all of your shares are voted.</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if I submit a proxy but do not make specific choices?</w:t>
      </w:r>
    </w:p>
    <w:p>
      <w:pPr>
        <w:spacing w:after="0" w:line="195" w:lineRule="exact"/>
        <w:rPr>
          <w:sz w:val="20"/>
          <w:szCs w:val="20"/>
          <w:color w:val="auto"/>
        </w:rPr>
      </w:pPr>
    </w:p>
    <w:p>
      <w:pPr>
        <w:jc w:val="both"/>
        <w:ind w:right="60"/>
        <w:spacing w:after="0" w:line="319" w:lineRule="auto"/>
        <w:rPr>
          <w:sz w:val="20"/>
          <w:szCs w:val="20"/>
          <w:color w:val="auto"/>
        </w:rPr>
      </w:pPr>
      <w:r>
        <w:rPr>
          <w:rFonts w:ascii="Arial" w:cs="Arial" w:eastAsia="Arial" w:hAnsi="Arial"/>
          <w:sz w:val="16"/>
          <w:szCs w:val="16"/>
          <w:color w:val="29292B"/>
        </w:rPr>
        <w:t>If a proxy is voted by telephone or Internet, or is signed and returned by mail without choices specified, in the absence of contrary instructions, the shares of common stock represented by such proxy will be voted as recommended by the Board, and will be voted in the proxy holders’ discretion as to other matters that may properly come before the annual meeting.</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How can I find out the results of the voting at the annual meeting?</w:t>
      </w:r>
    </w:p>
    <w:p>
      <w:pPr>
        <w:spacing w:after="0" w:line="195" w:lineRule="exact"/>
        <w:rPr>
          <w:sz w:val="20"/>
          <w:szCs w:val="20"/>
          <w:color w:val="auto"/>
        </w:rPr>
      </w:pPr>
    </w:p>
    <w:p>
      <w:pPr>
        <w:ind w:right="520"/>
        <w:spacing w:after="0" w:line="339" w:lineRule="auto"/>
        <w:rPr>
          <w:sz w:val="20"/>
          <w:szCs w:val="20"/>
          <w:color w:val="auto"/>
        </w:rPr>
      </w:pPr>
      <w:r>
        <w:rPr>
          <w:rFonts w:ascii="Arial" w:cs="Arial" w:eastAsia="Arial" w:hAnsi="Arial"/>
          <w:sz w:val="16"/>
          <w:szCs w:val="16"/>
          <w:color w:val="29292B"/>
        </w:rPr>
        <w:t>Preliminary voting results will be announced at the annual meeting. Final voting results will be reported in a Form 8-K, which will be filed with the SEC following the annual meeting.</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96</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20"/>
                <w:szCs w:val="20"/>
                <w:color w:val="auto"/>
              </w:rPr>
            </w:pPr>
            <w:r>
              <w:rPr>
                <w:rFonts w:ascii="Arial" w:cs="Arial" w:eastAsia="Arial" w:hAnsi="Arial"/>
                <w:sz w:val="14"/>
                <w:szCs w:val="14"/>
                <w:color w:val="032E5C"/>
              </w:rPr>
              <w:t>Table of Contents</w:t>
            </w:r>
          </w:p>
        </w:tc>
        <w:tc>
          <w:tcPr>
            <w:tcW w:w="5800" w:type="dxa"/>
            <w:vAlign w:val="bottom"/>
            <w:vMerge w:val="restart"/>
          </w:tcPr>
          <w:p>
            <w:pPr>
              <w:ind w:left="4060"/>
              <w:spacing w:after="0"/>
              <w:rPr>
                <w:sz w:val="20"/>
                <w:szCs w:val="20"/>
                <w:color w:val="auto"/>
              </w:rPr>
            </w:pPr>
            <w:r>
              <w:rPr>
                <w:rFonts w:ascii="Arial" w:cs="Arial" w:eastAsia="Arial" w:hAnsi="Arial"/>
                <w:sz w:val="13"/>
                <w:szCs w:val="13"/>
                <w:b w:val="1"/>
                <w:bCs w:val="1"/>
                <w:color w:val="032E5C"/>
                <w:w w:val="96"/>
              </w:rPr>
              <w:t>QUESTIONS AND ANSWERS</w:t>
            </w: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5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5951855</wp:posOffset>
            </wp:positionH>
            <wp:positionV relativeFrom="page">
              <wp:posOffset>106045</wp:posOffset>
            </wp:positionV>
            <wp:extent cx="1388745" cy="2400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88745" cy="24003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Annual Meeting Materials</w:t>
      </w:r>
    </w:p>
    <w:p>
      <w:pPr>
        <w:spacing w:after="0" w:line="209"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29292B"/>
        </w:rPr>
        <w:t>The Notice of Internet Availability of Proxy Materials, Notice of Annual Meeting, this proxy statement and the Annual Report have been made available to all stockholders entitled to Notice of Internet Availability of Proxy Materials and entitled to vote at the annual meeting. The Annual Report is not incorporated into this proxy statement and is not considered proxy-soliciting material.</w:t>
      </w:r>
    </w:p>
    <w:p>
      <w:pPr>
        <w:spacing w:after="0" w:line="143" w:lineRule="exact"/>
        <w:rPr>
          <w:sz w:val="20"/>
          <w:szCs w:val="20"/>
          <w:color w:val="auto"/>
        </w:rPr>
      </w:pPr>
    </w:p>
    <w:p>
      <w:pPr>
        <w:ind w:right="1580"/>
        <w:spacing w:after="0" w:line="304" w:lineRule="auto"/>
        <w:rPr>
          <w:sz w:val="20"/>
          <w:szCs w:val="20"/>
          <w:color w:val="auto"/>
        </w:rPr>
      </w:pPr>
      <w:r>
        <w:rPr>
          <w:rFonts w:ascii="Arial" w:cs="Arial" w:eastAsia="Arial" w:hAnsi="Arial"/>
          <w:sz w:val="50"/>
          <w:szCs w:val="50"/>
          <w:b w:val="1"/>
          <w:bCs w:val="1"/>
          <w:color w:val="032E5C"/>
        </w:rPr>
        <w:t>STOCKHOLDER PROPOSALS FOR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975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right="80"/>
        <w:spacing w:after="0" w:line="319" w:lineRule="auto"/>
        <w:rPr>
          <w:sz w:val="20"/>
          <w:szCs w:val="20"/>
          <w:color w:val="auto"/>
        </w:rPr>
      </w:pPr>
      <w:r>
        <w:rPr>
          <w:rFonts w:ascii="Arial" w:cs="Arial" w:eastAsia="Arial" w:hAnsi="Arial"/>
          <w:sz w:val="16"/>
          <w:szCs w:val="16"/>
          <w:color w:val="29292B"/>
        </w:rPr>
        <w:t>The deadline for stockholders to submit proposals pursuant to Rule 14a-8 of the Exchange Act for inclusion in the Company’s proxy statement and proxy for the 2025 annual meeting of stockholders is June 25, 2025. Such proposals must be received at the Company’s principal executive offices no later than such date.</w:t>
      </w:r>
    </w:p>
    <w:p>
      <w:pPr>
        <w:spacing w:after="0" w:line="90"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If you wish to nominate a director or submit a proposal for consideration at the Company’s 2025 annual meeting of stockholders that is not to be included in next year’s proxy materials, your proposal or nomination must be submitted in writing to the Secretary of the Company not later than September 6, 2025 nor earlier than August 7, 2024. You are also advised to review our Bylaws, which contain additional requirements about advance notice of stockholder proposals and director nominations. Such notices must be in accordance with the procedures described in our Bylaws. You can obtain a copy of our Bylaws by writing the Secretary at the address shown on the cover of this proxy statement.</w:t>
      </w:r>
    </w:p>
    <w:p>
      <w:pPr>
        <w:spacing w:after="0" w:line="104"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29292B"/>
        </w:rPr>
        <w:t>To comply with universal proxy rules, stockholders who intend to solicit proxies in support of director nominees other than the Company’s nominees must provide notice that sets forth the information required by Rule 14a-19 under the Exchange Act no later than October 6, 2025.</w:t>
      </w:r>
    </w:p>
    <w:p>
      <w:pPr>
        <w:spacing w:after="0" w:line="107"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29292B"/>
        </w:rPr>
        <w:t>The SEC has adopted rules that permit companies and intermediaries, such as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97" w:lineRule="exact"/>
        <w:rPr>
          <w:sz w:val="20"/>
          <w:szCs w:val="20"/>
          <w:color w:val="auto"/>
        </w:rPr>
      </w:pPr>
    </w:p>
    <w:p>
      <w:pPr>
        <w:spacing w:after="0" w:line="302" w:lineRule="auto"/>
        <w:rPr>
          <w:sz w:val="20"/>
          <w:szCs w:val="20"/>
          <w:color w:val="auto"/>
        </w:rPr>
      </w:pPr>
      <w:r>
        <w:rPr>
          <w:rFonts w:ascii="Arial" w:cs="Arial" w:eastAsia="Arial" w:hAnsi="Arial"/>
          <w:sz w:val="16"/>
          <w:szCs w:val="16"/>
          <w:color w:val="29292B"/>
        </w:rPr>
        <w:t>This year, a number of brokers with account holders who are Company stockholders may be “householding” our proxy materials to the extent such stockholders have given their prior express or implied consent in accordance with SEC rules. A single Notice of Internet Availability of Proxy Materials, proxy statement, and Annual Report (if you requested one)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proxy statement. and Annual Report, please notify your broker to discontinue householding and direct your written request to receive a separate Notice of Internet Availability of Proxy Materials, proxy statement, and Annual Report to the Company at: Vail Resorts, Inc., Attention: Investor Relations, 390 Interlocken Crescent, Broomfield, Colorado, 80021, or by calling (303) 404-1800. Stockholders who currently receive multiple copies of the Notice of Internet Availability of Proxy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97</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0"/>
        </w:trPr>
        <w:tc>
          <w:tcPr>
            <w:tcW w:w="3080" w:type="dxa"/>
            <w:vAlign w:val="bottom"/>
            <w:vMerge w:val="restart"/>
            <w:shd w:val="clear" w:color="auto" w:fill="98BDE2"/>
          </w:tcPr>
          <w:p>
            <w:pPr>
              <w:ind w:left="300"/>
              <w:spacing w:after="0"/>
              <w:rPr>
                <w:sz w:val="20"/>
                <w:szCs w:val="20"/>
                <w:color w:val="auto"/>
              </w:rPr>
            </w:pPr>
            <w:r>
              <w:rPr>
                <w:rFonts w:ascii="Arial" w:cs="Arial" w:eastAsia="Arial" w:hAnsi="Arial"/>
                <w:sz w:val="13"/>
                <w:szCs w:val="13"/>
                <w:b w:val="1"/>
                <w:bCs w:val="1"/>
                <w:color w:val="032E5C"/>
              </w:rPr>
              <w:t>HOUSEHOLDING OF PROXY MATERIALS</w:t>
            </w:r>
          </w:p>
        </w:tc>
        <w:tc>
          <w:tcPr>
            <w:tcW w:w="8140" w:type="dxa"/>
            <w:vAlign w:val="bottom"/>
          </w:tcPr>
          <w:p>
            <w:pPr>
              <w:ind w:left="70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3080" w:type="dxa"/>
            <w:vAlign w:val="bottom"/>
            <w:vMerge w:val="continue"/>
            <w:shd w:val="clear" w:color="auto" w:fill="98BDE2"/>
          </w:tcPr>
          <w:p>
            <w:pPr>
              <w:spacing w:after="0"/>
              <w:rPr>
                <w:sz w:val="4"/>
                <w:szCs w:val="4"/>
                <w:color w:val="auto"/>
              </w:rPr>
            </w:pPr>
          </w:p>
        </w:tc>
        <w:tc>
          <w:tcPr>
            <w:tcW w:w="8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3080" w:type="dxa"/>
            <w:vAlign w:val="bottom"/>
            <w:shd w:val="clear" w:color="auto" w:fill="98BDE2"/>
          </w:tcPr>
          <w:p>
            <w:pPr>
              <w:spacing w:after="0"/>
              <w:rPr>
                <w:sz w:val="10"/>
                <w:szCs w:val="10"/>
                <w:color w:val="auto"/>
              </w:rPr>
            </w:pPr>
          </w:p>
        </w:tc>
        <w:tc>
          <w:tcPr>
            <w:tcW w:w="8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29292B"/>
        </w:rPr>
        <w:t>Materials, proxy statement, and Annual Report at their address and would like to request householding of their communications should contact their broker.</w:t>
      </w:r>
    </w:p>
    <w:p>
      <w:pPr>
        <w:spacing w:after="0" w:line="227"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29292B"/>
        </w:rPr>
        <w:t>At the date of this proxy statement, the Board has no knowledge of any business other than that described herein which will be presented for consideration at the annual meeting. In the event any other business is presented at the annual meeting, the persons named in the enclosed proxy will vote such proxy thereon in accordance with their judgment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147955</wp:posOffset>
            </wp:positionV>
            <wp:extent cx="1808480" cy="3429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8084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6"/>
          <w:szCs w:val="16"/>
          <w:color w:val="29292B"/>
        </w:rPr>
        <w:t>Julie A. DeCecco</w:t>
      </w:r>
    </w:p>
    <w:p>
      <w:pPr>
        <w:spacing w:after="0" w:line="88" w:lineRule="exact"/>
        <w:rPr>
          <w:sz w:val="20"/>
          <w:szCs w:val="20"/>
          <w:color w:val="auto"/>
        </w:rPr>
      </w:pPr>
    </w:p>
    <w:p>
      <w:pPr>
        <w:ind w:left="5640"/>
        <w:spacing w:after="0"/>
        <w:rPr>
          <w:sz w:val="20"/>
          <w:szCs w:val="20"/>
          <w:color w:val="auto"/>
        </w:rPr>
      </w:pPr>
      <w:r>
        <w:rPr>
          <w:rFonts w:ascii="Arial" w:cs="Arial" w:eastAsia="Arial" w:hAnsi="Arial"/>
          <w:sz w:val="16"/>
          <w:szCs w:val="16"/>
          <w:i w:val="1"/>
          <w:iCs w:val="1"/>
          <w:color w:val="29292B"/>
        </w:rPr>
        <w:t>Executive Vice President, General Counsel and Chief Public Affairs Officer</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6"/>
          <w:szCs w:val="16"/>
          <w:color w:val="29292B"/>
        </w:rPr>
        <w:t>October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4883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40" w:right="720"/>
        <w:spacing w:after="0" w:line="314" w:lineRule="auto"/>
        <w:rPr>
          <w:sz w:val="20"/>
          <w:szCs w:val="20"/>
          <w:color w:val="auto"/>
        </w:rPr>
      </w:pPr>
      <w:r>
        <w:rPr>
          <w:rFonts w:ascii="Arial" w:cs="Arial" w:eastAsia="Arial" w:hAnsi="Arial"/>
          <w:sz w:val="16"/>
          <w:szCs w:val="16"/>
          <w:b w:val="1"/>
          <w:bCs w:val="1"/>
          <w:color w:val="032E5C"/>
        </w:rPr>
        <w:t>A copy of the Company’s Annual Report on Form 10-K for the fiscal year ended July 31, 2024 is available without charge upon written request to: Secretary, Vail Resorts, Inc., 390 Interlocken Crescent, Broomfield, Colorado 80021.</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80" w:type="dxa"/>
            <w:vAlign w:val="bottom"/>
          </w:tcPr>
          <w:p>
            <w:pPr>
              <w:jc w:val="right"/>
              <w:ind w:right="2219"/>
              <w:spacing w:after="0"/>
              <w:rPr>
                <w:sz w:val="20"/>
                <w:szCs w:val="20"/>
                <w:color w:val="auto"/>
              </w:rPr>
            </w:pPr>
            <w:r>
              <w:rPr>
                <w:rFonts w:ascii="Arial" w:cs="Arial" w:eastAsia="Arial" w:hAnsi="Arial"/>
                <w:sz w:val="16"/>
                <w:szCs w:val="16"/>
                <w:b w:val="1"/>
                <w:bCs w:val="1"/>
                <w:color w:val="032E5C"/>
                <w:w w:val="89"/>
              </w:rPr>
              <w:t>98</w:t>
            </w:r>
          </w:p>
        </w:tc>
        <w:tc>
          <w:tcPr>
            <w:tcW w:w="3920" w:type="dxa"/>
            <w:vAlign w:val="bottom"/>
            <w:vMerge w:val="restart"/>
          </w:tcPr>
          <w:p>
            <w:pPr>
              <w:ind w:left="230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48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03" w:name="page104"/>
    <w:bookmarkEnd w:id="103"/>
    <w:p>
      <w:pPr>
        <w:spacing w:after="0"/>
        <w:rPr>
          <w:sz w:val="20"/>
          <w:szCs w:val="20"/>
          <w:color w:val="auto"/>
        </w:rPr>
      </w:pPr>
      <w:r>
        <w:rPr>
          <w:rFonts w:ascii="Arial" w:cs="Arial" w:eastAsia="Arial" w:hAnsi="Arial"/>
          <w:sz w:val="50"/>
          <w:szCs w:val="50"/>
          <w:b w:val="1"/>
          <w:bCs w:val="1"/>
          <w:color w:val="032E5C"/>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Reconciliation of Measures of Segment Profitability and Non-GAAP Financial Measures</w:t>
      </w:r>
    </w:p>
    <w:p>
      <w:pPr>
        <w:spacing w:after="0" w:line="195"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color w:val="29292B"/>
        </w:rPr>
        <w:t>Presented below is a reconciliation of net income attributable to Vail Resorts, Inc. to Total Reported EBITDA for the years ended July 31, 2024, 2023 and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40" w:type="dxa"/>
            <w:vAlign w:val="bottom"/>
          </w:tcPr>
          <w:p>
            <w:pPr>
              <w:spacing w:after="0"/>
              <w:rPr>
                <w:sz w:val="16"/>
                <w:szCs w:val="16"/>
                <w:color w:val="auto"/>
              </w:rPr>
            </w:pPr>
          </w:p>
        </w:tc>
        <w:tc>
          <w:tcPr>
            <w:tcW w:w="380" w:type="dxa"/>
            <w:vAlign w:val="bottom"/>
            <w:shd w:val="clear" w:color="auto" w:fill="3E5C7C"/>
          </w:tcPr>
          <w:p>
            <w:pPr>
              <w:spacing w:after="0"/>
              <w:rPr>
                <w:sz w:val="16"/>
                <w:szCs w:val="16"/>
                <w:color w:val="auto"/>
              </w:rPr>
            </w:pPr>
          </w:p>
        </w:tc>
        <w:tc>
          <w:tcPr>
            <w:tcW w:w="900" w:type="dxa"/>
            <w:vAlign w:val="bottom"/>
            <w:shd w:val="clear" w:color="auto" w:fill="3E5C7C"/>
          </w:tcPr>
          <w:p>
            <w:pPr>
              <w:spacing w:after="0"/>
              <w:rPr>
                <w:sz w:val="16"/>
                <w:szCs w:val="16"/>
                <w:color w:val="auto"/>
              </w:rPr>
            </w:pPr>
          </w:p>
        </w:tc>
        <w:tc>
          <w:tcPr>
            <w:tcW w:w="2060" w:type="dxa"/>
            <w:vAlign w:val="bottom"/>
            <w:gridSpan w:val="2"/>
            <w:shd w:val="clear" w:color="auto" w:fill="3E5C7C"/>
          </w:tcPr>
          <w:p>
            <w:pPr>
              <w:jc w:val="right"/>
              <w:spacing w:after="0"/>
              <w:rPr>
                <w:sz w:val="20"/>
                <w:szCs w:val="20"/>
                <w:color w:val="auto"/>
              </w:rPr>
            </w:pPr>
            <w:r>
              <w:rPr>
                <w:rFonts w:ascii="Arial" w:cs="Arial" w:eastAsia="Arial" w:hAnsi="Arial"/>
                <w:sz w:val="14"/>
                <w:szCs w:val="14"/>
                <w:b w:val="1"/>
                <w:bCs w:val="1"/>
                <w:color w:val="FFFFFF"/>
              </w:rPr>
              <w:t>($ In thousands) (Unaudited)</w:t>
            </w:r>
          </w:p>
        </w:tc>
        <w:tc>
          <w:tcPr>
            <w:tcW w:w="400" w:type="dxa"/>
            <w:vAlign w:val="bottom"/>
            <w:shd w:val="clear" w:color="auto" w:fill="3E5C7C"/>
          </w:tcPr>
          <w:p>
            <w:pPr>
              <w:spacing w:after="0"/>
              <w:rPr>
                <w:sz w:val="16"/>
                <w:szCs w:val="16"/>
                <w:color w:val="auto"/>
              </w:rPr>
            </w:pPr>
          </w:p>
        </w:tc>
        <w:tc>
          <w:tcPr>
            <w:tcW w:w="960" w:type="dxa"/>
            <w:vAlign w:val="bottom"/>
            <w:shd w:val="clear" w:color="auto" w:fill="3E5C7C"/>
          </w:tcPr>
          <w:p>
            <w:pPr>
              <w:spacing w:after="0"/>
              <w:rPr>
                <w:sz w:val="16"/>
                <w:szCs w:val="16"/>
                <w:color w:val="auto"/>
              </w:rPr>
            </w:pPr>
          </w:p>
        </w:tc>
      </w:tr>
      <w:tr>
        <w:trPr>
          <w:trHeight w:val="212"/>
        </w:trPr>
        <w:tc>
          <w:tcPr>
            <w:tcW w:w="6540" w:type="dxa"/>
            <w:vAlign w:val="bottom"/>
          </w:tcPr>
          <w:p>
            <w:pPr>
              <w:spacing w:after="0"/>
              <w:rPr>
                <w:sz w:val="18"/>
                <w:szCs w:val="18"/>
                <w:color w:val="auto"/>
              </w:rPr>
            </w:pPr>
          </w:p>
        </w:tc>
        <w:tc>
          <w:tcPr>
            <w:tcW w:w="380" w:type="dxa"/>
            <w:vAlign w:val="bottom"/>
            <w:shd w:val="clear" w:color="auto" w:fill="3E5C7C"/>
          </w:tcPr>
          <w:p>
            <w:pPr>
              <w:spacing w:after="0"/>
              <w:rPr>
                <w:sz w:val="18"/>
                <w:szCs w:val="18"/>
                <w:color w:val="auto"/>
              </w:rPr>
            </w:pPr>
          </w:p>
        </w:tc>
        <w:tc>
          <w:tcPr>
            <w:tcW w:w="900" w:type="dxa"/>
            <w:vAlign w:val="bottom"/>
            <w:shd w:val="clear" w:color="auto" w:fill="3E5C7C"/>
          </w:tcPr>
          <w:p>
            <w:pPr>
              <w:spacing w:after="0"/>
              <w:rPr>
                <w:sz w:val="18"/>
                <w:szCs w:val="18"/>
                <w:color w:val="auto"/>
              </w:rPr>
            </w:pPr>
          </w:p>
        </w:tc>
        <w:tc>
          <w:tcPr>
            <w:tcW w:w="2060" w:type="dxa"/>
            <w:vAlign w:val="bottom"/>
            <w:gridSpan w:val="2"/>
            <w:shd w:val="clear" w:color="auto" w:fill="3E5C7C"/>
          </w:tcPr>
          <w:p>
            <w:pPr>
              <w:jc w:val="right"/>
              <w:ind w:right="288"/>
              <w:spacing w:after="0"/>
              <w:rPr>
                <w:sz w:val="20"/>
                <w:szCs w:val="20"/>
                <w:color w:val="auto"/>
              </w:rPr>
            </w:pPr>
            <w:r>
              <w:rPr>
                <w:rFonts w:ascii="Arial" w:cs="Arial" w:eastAsia="Arial" w:hAnsi="Arial"/>
                <w:sz w:val="14"/>
                <w:szCs w:val="14"/>
                <w:b w:val="1"/>
                <w:bCs w:val="1"/>
                <w:color w:val="FFFFFF"/>
              </w:rPr>
              <w:t>Year Ended July 31,</w:t>
            </w:r>
          </w:p>
        </w:tc>
        <w:tc>
          <w:tcPr>
            <w:tcW w:w="400" w:type="dxa"/>
            <w:vAlign w:val="bottom"/>
            <w:shd w:val="clear" w:color="auto" w:fill="3E5C7C"/>
          </w:tcPr>
          <w:p>
            <w:pPr>
              <w:spacing w:after="0"/>
              <w:rPr>
                <w:sz w:val="18"/>
                <w:szCs w:val="18"/>
                <w:color w:val="auto"/>
              </w:rPr>
            </w:pPr>
          </w:p>
        </w:tc>
        <w:tc>
          <w:tcPr>
            <w:tcW w:w="960" w:type="dxa"/>
            <w:vAlign w:val="bottom"/>
            <w:shd w:val="clear" w:color="auto" w:fill="3E5C7C"/>
          </w:tcPr>
          <w:p>
            <w:pPr>
              <w:spacing w:after="0"/>
              <w:rPr>
                <w:sz w:val="18"/>
                <w:szCs w:val="18"/>
                <w:color w:val="auto"/>
              </w:rPr>
            </w:pPr>
          </w:p>
        </w:tc>
      </w:tr>
      <w:tr>
        <w:trPr>
          <w:trHeight w:val="214"/>
        </w:trPr>
        <w:tc>
          <w:tcPr>
            <w:tcW w:w="6540" w:type="dxa"/>
            <w:vAlign w:val="bottom"/>
            <w:shd w:val="clear" w:color="auto" w:fill="98BDE2"/>
          </w:tcPr>
          <w:p>
            <w:pPr>
              <w:spacing w:after="0"/>
              <w:rPr>
                <w:sz w:val="18"/>
                <w:szCs w:val="18"/>
                <w:color w:val="auto"/>
              </w:rPr>
            </w:pPr>
          </w:p>
        </w:tc>
        <w:tc>
          <w:tcPr>
            <w:tcW w:w="380" w:type="dxa"/>
            <w:vAlign w:val="bottom"/>
            <w:shd w:val="clear" w:color="auto" w:fill="98BDE2"/>
          </w:tcPr>
          <w:p>
            <w:pPr>
              <w:spacing w:after="0"/>
              <w:rPr>
                <w:sz w:val="18"/>
                <w:szCs w:val="18"/>
                <w:color w:val="auto"/>
              </w:rPr>
            </w:pPr>
          </w:p>
        </w:tc>
        <w:tc>
          <w:tcPr>
            <w:tcW w:w="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2024</w:t>
            </w:r>
          </w:p>
        </w:tc>
        <w:tc>
          <w:tcPr>
            <w:tcW w:w="780" w:type="dxa"/>
            <w:vAlign w:val="bottom"/>
            <w:shd w:val="clear" w:color="auto" w:fill="98BDE2"/>
          </w:tcPr>
          <w:p>
            <w:pPr>
              <w:spacing w:after="0"/>
              <w:rPr>
                <w:sz w:val="18"/>
                <w:szCs w:val="18"/>
                <w:color w:val="auto"/>
              </w:rPr>
            </w:pPr>
          </w:p>
        </w:tc>
        <w:tc>
          <w:tcPr>
            <w:tcW w:w="1280" w:type="dxa"/>
            <w:vAlign w:val="bottom"/>
            <w:shd w:val="clear" w:color="auto" w:fill="98BDE2"/>
          </w:tcPr>
          <w:p>
            <w:pPr>
              <w:jc w:val="right"/>
              <w:ind w:right="368"/>
              <w:spacing w:after="0"/>
              <w:rPr>
                <w:sz w:val="20"/>
                <w:szCs w:val="20"/>
                <w:color w:val="auto"/>
              </w:rPr>
            </w:pPr>
            <w:r>
              <w:rPr>
                <w:rFonts w:ascii="Arial" w:cs="Arial" w:eastAsia="Arial" w:hAnsi="Arial"/>
                <w:sz w:val="14"/>
                <w:szCs w:val="14"/>
                <w:b w:val="1"/>
                <w:bCs w:val="1"/>
                <w:color w:val="032E5C"/>
              </w:rPr>
              <w:t>2023</w:t>
            </w:r>
          </w:p>
        </w:tc>
        <w:tc>
          <w:tcPr>
            <w:tcW w:w="400" w:type="dxa"/>
            <w:vAlign w:val="bottom"/>
            <w:shd w:val="clear" w:color="auto" w:fill="98BDE2"/>
          </w:tcPr>
          <w:p>
            <w:pPr>
              <w:spacing w:after="0"/>
              <w:rPr>
                <w:sz w:val="18"/>
                <w:szCs w:val="18"/>
                <w:color w:val="auto"/>
              </w:rPr>
            </w:pPr>
          </w:p>
        </w:tc>
        <w:tc>
          <w:tcPr>
            <w:tcW w:w="9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2022</w:t>
            </w:r>
          </w:p>
        </w:tc>
      </w:tr>
      <w:tr>
        <w:trPr>
          <w:trHeight w:val="70"/>
        </w:trPr>
        <w:tc>
          <w:tcPr>
            <w:tcW w:w="6540" w:type="dxa"/>
            <w:vAlign w:val="bottom"/>
            <w:shd w:val="clear" w:color="auto" w:fill="98BDE2"/>
          </w:tcPr>
          <w:p>
            <w:pPr>
              <w:spacing w:after="0"/>
              <w:rPr>
                <w:sz w:val="6"/>
                <w:szCs w:val="6"/>
                <w:color w:val="auto"/>
              </w:rPr>
            </w:pPr>
          </w:p>
        </w:tc>
        <w:tc>
          <w:tcPr>
            <w:tcW w:w="380" w:type="dxa"/>
            <w:vAlign w:val="bottom"/>
            <w:shd w:val="clear" w:color="auto" w:fill="98BDE2"/>
          </w:tcPr>
          <w:p>
            <w:pPr>
              <w:spacing w:after="0"/>
              <w:rPr>
                <w:sz w:val="6"/>
                <w:szCs w:val="6"/>
                <w:color w:val="auto"/>
              </w:rPr>
            </w:pPr>
          </w:p>
        </w:tc>
        <w:tc>
          <w:tcPr>
            <w:tcW w:w="900" w:type="dxa"/>
            <w:vAlign w:val="bottom"/>
            <w:shd w:val="clear" w:color="auto" w:fill="98BDE2"/>
          </w:tcPr>
          <w:p>
            <w:pPr>
              <w:spacing w:after="0"/>
              <w:rPr>
                <w:sz w:val="6"/>
                <w:szCs w:val="6"/>
                <w:color w:val="auto"/>
              </w:rPr>
            </w:pPr>
          </w:p>
        </w:tc>
        <w:tc>
          <w:tcPr>
            <w:tcW w:w="780" w:type="dxa"/>
            <w:vAlign w:val="bottom"/>
            <w:shd w:val="clear" w:color="auto" w:fill="98BDE2"/>
          </w:tcPr>
          <w:p>
            <w:pPr>
              <w:spacing w:after="0"/>
              <w:rPr>
                <w:sz w:val="6"/>
                <w:szCs w:val="6"/>
                <w:color w:val="auto"/>
              </w:rPr>
            </w:pPr>
          </w:p>
        </w:tc>
        <w:tc>
          <w:tcPr>
            <w:tcW w:w="1280" w:type="dxa"/>
            <w:vAlign w:val="bottom"/>
            <w:shd w:val="clear" w:color="auto" w:fill="98BDE2"/>
          </w:tcPr>
          <w:p>
            <w:pPr>
              <w:spacing w:after="0"/>
              <w:rPr>
                <w:sz w:val="6"/>
                <w:szCs w:val="6"/>
                <w:color w:val="auto"/>
              </w:rPr>
            </w:pPr>
          </w:p>
        </w:tc>
        <w:tc>
          <w:tcPr>
            <w:tcW w:w="400" w:type="dxa"/>
            <w:vAlign w:val="bottom"/>
            <w:shd w:val="clear" w:color="auto" w:fill="98BDE2"/>
          </w:tcPr>
          <w:p>
            <w:pPr>
              <w:spacing w:after="0"/>
              <w:rPr>
                <w:sz w:val="6"/>
                <w:szCs w:val="6"/>
                <w:color w:val="auto"/>
              </w:rPr>
            </w:pPr>
          </w:p>
        </w:tc>
        <w:tc>
          <w:tcPr>
            <w:tcW w:w="960" w:type="dxa"/>
            <w:vAlign w:val="bottom"/>
            <w:shd w:val="clear" w:color="auto" w:fill="98BDE2"/>
          </w:tcPr>
          <w:p>
            <w:pPr>
              <w:spacing w:after="0"/>
              <w:rPr>
                <w:sz w:val="6"/>
                <w:szCs w:val="6"/>
                <w:color w:val="auto"/>
              </w:rPr>
            </w:pPr>
          </w:p>
        </w:tc>
      </w:tr>
      <w:tr>
        <w:trPr>
          <w:trHeight w:val="208"/>
        </w:trPr>
        <w:tc>
          <w:tcPr>
            <w:tcW w:w="6540" w:type="dxa"/>
            <w:vAlign w:val="bottom"/>
          </w:tcPr>
          <w:p>
            <w:pPr>
              <w:ind w:left="100"/>
              <w:spacing w:after="0"/>
              <w:rPr>
                <w:sz w:val="20"/>
                <w:szCs w:val="20"/>
                <w:color w:val="auto"/>
              </w:rPr>
            </w:pPr>
            <w:r>
              <w:rPr>
                <w:rFonts w:ascii="Arial" w:cs="Arial" w:eastAsia="Arial" w:hAnsi="Arial"/>
                <w:sz w:val="14"/>
                <w:szCs w:val="14"/>
                <w:color w:val="032E5C"/>
              </w:rPr>
              <w:t>Net income attributable to Vail Resorts, Inc.</w:t>
            </w:r>
          </w:p>
        </w:tc>
        <w:tc>
          <w:tcPr>
            <w:tcW w:w="380" w:type="dxa"/>
            <w:vAlign w:val="bottom"/>
          </w:tcPr>
          <w:p>
            <w:pPr>
              <w:jc w:val="right"/>
              <w:ind w:right="208"/>
              <w:spacing w:after="0"/>
              <w:rPr>
                <w:sz w:val="20"/>
                <w:szCs w:val="20"/>
                <w:color w:val="auto"/>
              </w:rPr>
            </w:pPr>
            <w:r>
              <w:rPr>
                <w:rFonts w:ascii="Arial" w:cs="Arial" w:eastAsia="Arial" w:hAnsi="Arial"/>
                <w:sz w:val="14"/>
                <w:szCs w:val="14"/>
                <w:color w:val="032E5C"/>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230,405</w:t>
            </w:r>
          </w:p>
        </w:tc>
        <w:tc>
          <w:tcPr>
            <w:tcW w:w="780" w:type="dxa"/>
            <w:vAlign w:val="bottom"/>
          </w:tcPr>
          <w:p>
            <w:pPr>
              <w:jc w:val="right"/>
              <w:ind w:right="208"/>
              <w:spacing w:after="0"/>
              <w:rPr>
                <w:sz w:val="20"/>
                <w:szCs w:val="20"/>
                <w:color w:val="auto"/>
              </w:rPr>
            </w:pPr>
            <w:r>
              <w:rPr>
                <w:rFonts w:ascii="Arial" w:cs="Arial" w:eastAsia="Arial" w:hAnsi="Arial"/>
                <w:sz w:val="14"/>
                <w:szCs w:val="14"/>
                <w:color w:val="032E5C"/>
              </w:rPr>
              <w:t>$</w:t>
            </w: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268,148</w:t>
            </w:r>
          </w:p>
        </w:tc>
        <w:tc>
          <w:tcPr>
            <w:tcW w:w="400" w:type="dxa"/>
            <w:vAlign w:val="bottom"/>
          </w:tcPr>
          <w:p>
            <w:pPr>
              <w:jc w:val="right"/>
              <w:ind w:right="188"/>
              <w:spacing w:after="0"/>
              <w:rPr>
                <w:sz w:val="20"/>
                <w:szCs w:val="20"/>
                <w:color w:val="auto"/>
              </w:rPr>
            </w:pPr>
            <w:r>
              <w:rPr>
                <w:rFonts w:ascii="Arial" w:cs="Arial" w:eastAsia="Arial" w:hAnsi="Arial"/>
                <w:sz w:val="14"/>
                <w:szCs w:val="14"/>
                <w:color w:val="032E5C"/>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347,923</w:t>
            </w:r>
          </w:p>
        </w:tc>
      </w:tr>
      <w:tr>
        <w:trPr>
          <w:trHeight w:val="229"/>
        </w:trPr>
        <w:tc>
          <w:tcPr>
            <w:tcW w:w="6540" w:type="dxa"/>
            <w:vAlign w:val="bottom"/>
          </w:tcPr>
          <w:p>
            <w:pPr>
              <w:ind w:left="100"/>
              <w:spacing w:after="0"/>
              <w:rPr>
                <w:sz w:val="20"/>
                <w:szCs w:val="20"/>
                <w:color w:val="auto"/>
              </w:rPr>
            </w:pPr>
            <w:r>
              <w:rPr>
                <w:rFonts w:ascii="Arial" w:cs="Arial" w:eastAsia="Arial" w:hAnsi="Arial"/>
                <w:sz w:val="14"/>
                <w:szCs w:val="14"/>
                <w:color w:val="032E5C"/>
              </w:rPr>
              <w:t>Net income attributable to noncontrolling interests</w:t>
            </w:r>
          </w:p>
        </w:tc>
        <w:tc>
          <w:tcPr>
            <w:tcW w:w="38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15,874</w:t>
            </w:r>
          </w:p>
        </w:tc>
        <w:tc>
          <w:tcPr>
            <w:tcW w:w="780" w:type="dxa"/>
            <w:vAlign w:val="bottom"/>
          </w:tcPr>
          <w:p>
            <w:pPr>
              <w:spacing w:after="0"/>
              <w:rPr>
                <w:sz w:val="19"/>
                <w:szCs w:val="19"/>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16,955</w:t>
            </w:r>
          </w:p>
        </w:tc>
        <w:tc>
          <w:tcPr>
            <w:tcW w:w="40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20,414</w:t>
            </w:r>
          </w:p>
        </w:tc>
      </w:tr>
      <w:tr>
        <w:trPr>
          <w:trHeight w:val="22"/>
        </w:trPr>
        <w:tc>
          <w:tcPr>
            <w:tcW w:w="6540" w:type="dxa"/>
            <w:vAlign w:val="bottom"/>
            <w:tcBorders>
              <w:bottom w:val="single" w:sz="8" w:color="98BDE2"/>
            </w:tcBorders>
          </w:tcPr>
          <w:p>
            <w:pPr>
              <w:spacing w:after="0" w:line="20" w:lineRule="exact"/>
              <w:rPr>
                <w:sz w:val="1"/>
                <w:szCs w:val="1"/>
                <w:color w:val="auto"/>
              </w:rPr>
            </w:pPr>
          </w:p>
        </w:tc>
        <w:tc>
          <w:tcPr>
            <w:tcW w:w="380" w:type="dxa"/>
            <w:vAlign w:val="bottom"/>
            <w:tcBorders>
              <w:bottom w:val="single" w:sz="8" w:color="98BDE2"/>
            </w:tcBorders>
          </w:tcPr>
          <w:p>
            <w:pPr>
              <w:spacing w:after="0" w:line="20" w:lineRule="exact"/>
              <w:rPr>
                <w:sz w:val="1"/>
                <w:szCs w:val="1"/>
                <w:color w:val="auto"/>
              </w:rPr>
            </w:pPr>
          </w:p>
        </w:tc>
        <w:tc>
          <w:tcPr>
            <w:tcW w:w="900" w:type="dxa"/>
            <w:vAlign w:val="bottom"/>
            <w:tcBorders>
              <w:bottom w:val="single" w:sz="8" w:color="98BDE2"/>
            </w:tcBorders>
          </w:tcPr>
          <w:p>
            <w:pPr>
              <w:spacing w:after="0" w:line="20" w:lineRule="exact"/>
              <w:rPr>
                <w:sz w:val="1"/>
                <w:szCs w:val="1"/>
                <w:color w:val="auto"/>
              </w:rPr>
            </w:pPr>
          </w:p>
        </w:tc>
        <w:tc>
          <w:tcPr>
            <w:tcW w:w="780" w:type="dxa"/>
            <w:vAlign w:val="bottom"/>
            <w:tcBorders>
              <w:bottom w:val="single" w:sz="8" w:color="98BDE2"/>
            </w:tcBorders>
          </w:tcPr>
          <w:p>
            <w:pPr>
              <w:spacing w:after="0" w:line="20" w:lineRule="exact"/>
              <w:rPr>
                <w:sz w:val="1"/>
                <w:szCs w:val="1"/>
                <w:color w:val="auto"/>
              </w:rPr>
            </w:pPr>
          </w:p>
        </w:tc>
        <w:tc>
          <w:tcPr>
            <w:tcW w:w="1280" w:type="dxa"/>
            <w:vAlign w:val="bottom"/>
            <w:tcBorders>
              <w:bottom w:val="single" w:sz="8" w:color="98BDE2"/>
            </w:tcBorders>
          </w:tcPr>
          <w:p>
            <w:pPr>
              <w:spacing w:after="0" w:line="20" w:lineRule="exact"/>
              <w:rPr>
                <w:sz w:val="1"/>
                <w:szCs w:val="1"/>
                <w:color w:val="auto"/>
              </w:rPr>
            </w:pPr>
          </w:p>
        </w:tc>
        <w:tc>
          <w:tcPr>
            <w:tcW w:w="400" w:type="dxa"/>
            <w:vAlign w:val="bottom"/>
            <w:tcBorders>
              <w:bottom w:val="single" w:sz="8" w:color="98BDE2"/>
            </w:tcBorders>
          </w:tcPr>
          <w:p>
            <w:pPr>
              <w:spacing w:after="0" w:line="20" w:lineRule="exact"/>
              <w:rPr>
                <w:sz w:val="1"/>
                <w:szCs w:val="1"/>
                <w:color w:val="auto"/>
              </w:rPr>
            </w:pPr>
          </w:p>
        </w:tc>
        <w:tc>
          <w:tcPr>
            <w:tcW w:w="960" w:type="dxa"/>
            <w:vAlign w:val="bottom"/>
            <w:tcBorders>
              <w:bottom w:val="single" w:sz="8" w:color="98BDE2"/>
            </w:tcBorders>
          </w:tcPr>
          <w:p>
            <w:pPr>
              <w:spacing w:after="0" w:line="20" w:lineRule="exact"/>
              <w:rPr>
                <w:sz w:val="1"/>
                <w:szCs w:val="1"/>
                <w:color w:val="auto"/>
              </w:rPr>
            </w:pPr>
          </w:p>
        </w:tc>
      </w:tr>
      <w:tr>
        <w:trPr>
          <w:trHeight w:val="201"/>
        </w:trPr>
        <w:tc>
          <w:tcPr>
            <w:tcW w:w="6540" w:type="dxa"/>
            <w:vAlign w:val="bottom"/>
          </w:tcPr>
          <w:p>
            <w:pPr>
              <w:ind w:left="220"/>
              <w:spacing w:after="0"/>
              <w:rPr>
                <w:sz w:val="20"/>
                <w:szCs w:val="20"/>
                <w:color w:val="auto"/>
              </w:rPr>
            </w:pPr>
            <w:r>
              <w:rPr>
                <w:rFonts w:ascii="Arial" w:cs="Arial" w:eastAsia="Arial" w:hAnsi="Arial"/>
                <w:sz w:val="14"/>
                <w:szCs w:val="14"/>
                <w:color w:val="032E5C"/>
              </w:rPr>
              <w:t>Net income</w:t>
            </w:r>
          </w:p>
        </w:tc>
        <w:tc>
          <w:tcPr>
            <w:tcW w:w="38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246,279</w:t>
            </w:r>
          </w:p>
        </w:tc>
        <w:tc>
          <w:tcPr>
            <w:tcW w:w="780" w:type="dxa"/>
            <w:vAlign w:val="bottom"/>
          </w:tcPr>
          <w:p>
            <w:pPr>
              <w:spacing w:after="0"/>
              <w:rPr>
                <w:sz w:val="17"/>
                <w:szCs w:val="17"/>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285,103</w:t>
            </w:r>
          </w:p>
        </w:tc>
        <w:tc>
          <w:tcPr>
            <w:tcW w:w="4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368,337</w:t>
            </w:r>
          </w:p>
        </w:tc>
      </w:tr>
      <w:tr>
        <w:trPr>
          <w:trHeight w:val="230"/>
        </w:trPr>
        <w:tc>
          <w:tcPr>
            <w:tcW w:w="6540" w:type="dxa"/>
            <w:vAlign w:val="bottom"/>
          </w:tcPr>
          <w:p>
            <w:pPr>
              <w:ind w:left="100"/>
              <w:spacing w:after="0"/>
              <w:rPr>
                <w:sz w:val="20"/>
                <w:szCs w:val="20"/>
                <w:color w:val="auto"/>
              </w:rPr>
            </w:pPr>
            <w:r>
              <w:rPr>
                <w:rFonts w:ascii="Arial" w:cs="Arial" w:eastAsia="Arial" w:hAnsi="Arial"/>
                <w:sz w:val="14"/>
                <w:szCs w:val="14"/>
                <w:color w:val="032E5C"/>
              </w:rPr>
              <w:t>Provision for income taxes</w:t>
            </w:r>
          </w:p>
        </w:tc>
        <w:tc>
          <w:tcPr>
            <w:tcW w:w="38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98,816</w:t>
            </w:r>
          </w:p>
        </w:tc>
        <w:tc>
          <w:tcPr>
            <w:tcW w:w="780" w:type="dxa"/>
            <w:vAlign w:val="bottom"/>
          </w:tcPr>
          <w:p>
            <w:pPr>
              <w:spacing w:after="0"/>
              <w:rPr>
                <w:sz w:val="19"/>
                <w:szCs w:val="19"/>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88,414</w:t>
            </w:r>
          </w:p>
        </w:tc>
        <w:tc>
          <w:tcPr>
            <w:tcW w:w="40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88,824</w:t>
            </w:r>
          </w:p>
        </w:tc>
      </w:tr>
      <w:tr>
        <w:trPr>
          <w:trHeight w:val="22"/>
        </w:trPr>
        <w:tc>
          <w:tcPr>
            <w:tcW w:w="6540" w:type="dxa"/>
            <w:vAlign w:val="bottom"/>
            <w:tcBorders>
              <w:bottom w:val="single" w:sz="8" w:color="98BDE2"/>
            </w:tcBorders>
          </w:tcPr>
          <w:p>
            <w:pPr>
              <w:spacing w:after="0" w:line="20" w:lineRule="exact"/>
              <w:rPr>
                <w:sz w:val="1"/>
                <w:szCs w:val="1"/>
                <w:color w:val="auto"/>
              </w:rPr>
            </w:pPr>
          </w:p>
        </w:tc>
        <w:tc>
          <w:tcPr>
            <w:tcW w:w="380" w:type="dxa"/>
            <w:vAlign w:val="bottom"/>
            <w:tcBorders>
              <w:bottom w:val="single" w:sz="8" w:color="98BDE2"/>
            </w:tcBorders>
          </w:tcPr>
          <w:p>
            <w:pPr>
              <w:spacing w:after="0" w:line="20" w:lineRule="exact"/>
              <w:rPr>
                <w:sz w:val="1"/>
                <w:szCs w:val="1"/>
                <w:color w:val="auto"/>
              </w:rPr>
            </w:pPr>
          </w:p>
        </w:tc>
        <w:tc>
          <w:tcPr>
            <w:tcW w:w="900" w:type="dxa"/>
            <w:vAlign w:val="bottom"/>
            <w:tcBorders>
              <w:bottom w:val="single" w:sz="8" w:color="98BDE2"/>
            </w:tcBorders>
          </w:tcPr>
          <w:p>
            <w:pPr>
              <w:spacing w:after="0" w:line="20" w:lineRule="exact"/>
              <w:rPr>
                <w:sz w:val="1"/>
                <w:szCs w:val="1"/>
                <w:color w:val="auto"/>
              </w:rPr>
            </w:pPr>
          </w:p>
        </w:tc>
        <w:tc>
          <w:tcPr>
            <w:tcW w:w="780" w:type="dxa"/>
            <w:vAlign w:val="bottom"/>
            <w:tcBorders>
              <w:bottom w:val="single" w:sz="8" w:color="98BDE2"/>
            </w:tcBorders>
          </w:tcPr>
          <w:p>
            <w:pPr>
              <w:spacing w:after="0" w:line="20" w:lineRule="exact"/>
              <w:rPr>
                <w:sz w:val="1"/>
                <w:szCs w:val="1"/>
                <w:color w:val="auto"/>
              </w:rPr>
            </w:pPr>
          </w:p>
        </w:tc>
        <w:tc>
          <w:tcPr>
            <w:tcW w:w="1280" w:type="dxa"/>
            <w:vAlign w:val="bottom"/>
            <w:tcBorders>
              <w:bottom w:val="single" w:sz="8" w:color="98BDE2"/>
            </w:tcBorders>
          </w:tcPr>
          <w:p>
            <w:pPr>
              <w:spacing w:after="0" w:line="20" w:lineRule="exact"/>
              <w:rPr>
                <w:sz w:val="1"/>
                <w:szCs w:val="1"/>
                <w:color w:val="auto"/>
              </w:rPr>
            </w:pPr>
          </w:p>
        </w:tc>
        <w:tc>
          <w:tcPr>
            <w:tcW w:w="400" w:type="dxa"/>
            <w:vAlign w:val="bottom"/>
            <w:tcBorders>
              <w:bottom w:val="single" w:sz="8" w:color="98BDE2"/>
            </w:tcBorders>
          </w:tcPr>
          <w:p>
            <w:pPr>
              <w:spacing w:after="0" w:line="20" w:lineRule="exact"/>
              <w:rPr>
                <w:sz w:val="1"/>
                <w:szCs w:val="1"/>
                <w:color w:val="auto"/>
              </w:rPr>
            </w:pPr>
          </w:p>
        </w:tc>
        <w:tc>
          <w:tcPr>
            <w:tcW w:w="960" w:type="dxa"/>
            <w:vAlign w:val="bottom"/>
            <w:tcBorders>
              <w:bottom w:val="single" w:sz="8" w:color="98BDE2"/>
            </w:tcBorders>
          </w:tcPr>
          <w:p>
            <w:pPr>
              <w:spacing w:after="0" w:line="20" w:lineRule="exact"/>
              <w:rPr>
                <w:sz w:val="1"/>
                <w:szCs w:val="1"/>
                <w:color w:val="auto"/>
              </w:rPr>
            </w:pPr>
          </w:p>
        </w:tc>
      </w:tr>
      <w:tr>
        <w:trPr>
          <w:trHeight w:val="201"/>
        </w:trPr>
        <w:tc>
          <w:tcPr>
            <w:tcW w:w="6540" w:type="dxa"/>
            <w:vAlign w:val="bottom"/>
          </w:tcPr>
          <w:p>
            <w:pPr>
              <w:ind w:left="220"/>
              <w:spacing w:after="0"/>
              <w:rPr>
                <w:sz w:val="20"/>
                <w:szCs w:val="20"/>
                <w:color w:val="auto"/>
              </w:rPr>
            </w:pPr>
            <w:r>
              <w:rPr>
                <w:rFonts w:ascii="Arial" w:cs="Arial" w:eastAsia="Arial" w:hAnsi="Arial"/>
                <w:sz w:val="14"/>
                <w:szCs w:val="14"/>
                <w:color w:val="032E5C"/>
              </w:rPr>
              <w:t>Income before provision for income taxes</w:t>
            </w:r>
          </w:p>
        </w:tc>
        <w:tc>
          <w:tcPr>
            <w:tcW w:w="38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345,095</w:t>
            </w:r>
          </w:p>
        </w:tc>
        <w:tc>
          <w:tcPr>
            <w:tcW w:w="780" w:type="dxa"/>
            <w:vAlign w:val="bottom"/>
          </w:tcPr>
          <w:p>
            <w:pPr>
              <w:spacing w:after="0"/>
              <w:rPr>
                <w:sz w:val="17"/>
                <w:szCs w:val="17"/>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373,517</w:t>
            </w:r>
          </w:p>
        </w:tc>
        <w:tc>
          <w:tcPr>
            <w:tcW w:w="4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457,161</w:t>
            </w:r>
          </w:p>
        </w:tc>
      </w:tr>
      <w:tr>
        <w:trPr>
          <w:trHeight w:val="230"/>
        </w:trPr>
        <w:tc>
          <w:tcPr>
            <w:tcW w:w="6540" w:type="dxa"/>
            <w:vAlign w:val="bottom"/>
          </w:tcPr>
          <w:p>
            <w:pPr>
              <w:ind w:left="100"/>
              <w:spacing w:after="0"/>
              <w:rPr>
                <w:sz w:val="20"/>
                <w:szCs w:val="20"/>
                <w:color w:val="auto"/>
              </w:rPr>
            </w:pPr>
            <w:r>
              <w:rPr>
                <w:rFonts w:ascii="Arial" w:cs="Arial" w:eastAsia="Arial" w:hAnsi="Arial"/>
                <w:sz w:val="14"/>
                <w:szCs w:val="14"/>
                <w:color w:val="032E5C"/>
              </w:rPr>
              <w:t>Depreciation and amortization</w:t>
            </w:r>
          </w:p>
        </w:tc>
        <w:tc>
          <w:tcPr>
            <w:tcW w:w="38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276,493</w:t>
            </w:r>
          </w:p>
        </w:tc>
        <w:tc>
          <w:tcPr>
            <w:tcW w:w="780" w:type="dxa"/>
            <w:vAlign w:val="bottom"/>
          </w:tcPr>
          <w:p>
            <w:pPr>
              <w:spacing w:after="0"/>
              <w:rPr>
                <w:sz w:val="19"/>
                <w:szCs w:val="19"/>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268,501</w:t>
            </w:r>
          </w:p>
        </w:tc>
        <w:tc>
          <w:tcPr>
            <w:tcW w:w="40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252,391</w:t>
            </w:r>
          </w:p>
        </w:tc>
      </w:tr>
      <w:tr>
        <w:trPr>
          <w:trHeight w:val="229"/>
        </w:trPr>
        <w:tc>
          <w:tcPr>
            <w:tcW w:w="6540" w:type="dxa"/>
            <w:vAlign w:val="bottom"/>
          </w:tcPr>
          <w:p>
            <w:pPr>
              <w:ind w:left="100"/>
              <w:spacing w:after="0"/>
              <w:rPr>
                <w:sz w:val="20"/>
                <w:szCs w:val="20"/>
                <w:color w:val="auto"/>
              </w:rPr>
            </w:pPr>
            <w:r>
              <w:rPr>
                <w:rFonts w:ascii="Arial" w:cs="Arial" w:eastAsia="Arial" w:hAnsi="Arial"/>
                <w:sz w:val="14"/>
                <w:szCs w:val="14"/>
                <w:color w:val="032E5C"/>
              </w:rPr>
              <w:t>Loss (gain) on disposal of fixed assets and other, net</w:t>
            </w:r>
          </w:p>
        </w:tc>
        <w:tc>
          <w:tcPr>
            <w:tcW w:w="38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9,633</w:t>
            </w:r>
          </w:p>
        </w:tc>
        <w:tc>
          <w:tcPr>
            <w:tcW w:w="780" w:type="dxa"/>
            <w:vAlign w:val="bottom"/>
          </w:tcPr>
          <w:p>
            <w:pPr>
              <w:spacing w:after="0"/>
              <w:rPr>
                <w:sz w:val="19"/>
                <w:szCs w:val="19"/>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9,070</w:t>
            </w:r>
          </w:p>
        </w:tc>
        <w:tc>
          <w:tcPr>
            <w:tcW w:w="40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032E5C"/>
              </w:rPr>
              <w:t>(43,992)</w:t>
            </w:r>
          </w:p>
        </w:tc>
      </w:tr>
      <w:tr>
        <w:trPr>
          <w:trHeight w:val="230"/>
        </w:trPr>
        <w:tc>
          <w:tcPr>
            <w:tcW w:w="6540" w:type="dxa"/>
            <w:vAlign w:val="bottom"/>
          </w:tcPr>
          <w:p>
            <w:pPr>
              <w:ind w:left="100"/>
              <w:spacing w:after="0"/>
              <w:rPr>
                <w:sz w:val="20"/>
                <w:szCs w:val="20"/>
                <w:color w:val="auto"/>
              </w:rPr>
            </w:pPr>
            <w:r>
              <w:rPr>
                <w:rFonts w:ascii="Arial" w:cs="Arial" w:eastAsia="Arial" w:hAnsi="Arial"/>
                <w:sz w:val="14"/>
                <w:szCs w:val="14"/>
                <w:color w:val="032E5C"/>
              </w:rPr>
              <w:t>Change in fair value of contingent consideration</w:t>
            </w:r>
          </w:p>
        </w:tc>
        <w:tc>
          <w:tcPr>
            <w:tcW w:w="38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47,957</w:t>
            </w:r>
          </w:p>
        </w:tc>
        <w:tc>
          <w:tcPr>
            <w:tcW w:w="780" w:type="dxa"/>
            <w:vAlign w:val="bottom"/>
          </w:tcPr>
          <w:p>
            <w:pPr>
              <w:spacing w:after="0"/>
              <w:rPr>
                <w:sz w:val="19"/>
                <w:szCs w:val="19"/>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49,836</w:t>
            </w:r>
          </w:p>
        </w:tc>
        <w:tc>
          <w:tcPr>
            <w:tcW w:w="40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20,280</w:t>
            </w:r>
          </w:p>
        </w:tc>
      </w:tr>
      <w:tr>
        <w:trPr>
          <w:trHeight w:val="229"/>
        </w:trPr>
        <w:tc>
          <w:tcPr>
            <w:tcW w:w="6540" w:type="dxa"/>
            <w:vAlign w:val="bottom"/>
          </w:tcPr>
          <w:p>
            <w:pPr>
              <w:ind w:left="100"/>
              <w:spacing w:after="0"/>
              <w:rPr>
                <w:sz w:val="20"/>
                <w:szCs w:val="20"/>
                <w:color w:val="auto"/>
              </w:rPr>
            </w:pPr>
            <w:r>
              <w:rPr>
                <w:rFonts w:ascii="Arial" w:cs="Arial" w:eastAsia="Arial" w:hAnsi="Arial"/>
                <w:sz w:val="14"/>
                <w:szCs w:val="14"/>
                <w:color w:val="032E5C"/>
              </w:rPr>
              <w:t>Investment income and other, net</w:t>
            </w:r>
          </w:p>
        </w:tc>
        <w:tc>
          <w:tcPr>
            <w:tcW w:w="38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032E5C"/>
              </w:rPr>
              <w:t>(18,592)</w:t>
            </w:r>
          </w:p>
        </w:tc>
        <w:tc>
          <w:tcPr>
            <w:tcW w:w="780" w:type="dxa"/>
            <w:vAlign w:val="bottom"/>
          </w:tcPr>
          <w:p>
            <w:pPr>
              <w:spacing w:after="0"/>
              <w:rPr>
                <w:sz w:val="19"/>
                <w:szCs w:val="19"/>
                <w:color w:val="auto"/>
              </w:rPr>
            </w:pPr>
          </w:p>
        </w:tc>
        <w:tc>
          <w:tcPr>
            <w:tcW w:w="1280" w:type="dxa"/>
            <w:vAlign w:val="bottom"/>
          </w:tcPr>
          <w:p>
            <w:pPr>
              <w:jc w:val="right"/>
              <w:ind w:right="368"/>
              <w:spacing w:after="0"/>
              <w:rPr>
                <w:sz w:val="20"/>
                <w:szCs w:val="20"/>
                <w:color w:val="auto"/>
              </w:rPr>
            </w:pPr>
            <w:r>
              <w:rPr>
                <w:rFonts w:ascii="Arial" w:cs="Arial" w:eastAsia="Arial" w:hAnsi="Arial"/>
                <w:sz w:val="14"/>
                <w:szCs w:val="14"/>
                <w:color w:val="032E5C"/>
              </w:rPr>
              <w:t>(23,744)</w:t>
            </w:r>
          </w:p>
        </w:tc>
        <w:tc>
          <w:tcPr>
            <w:tcW w:w="40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032E5C"/>
              </w:rPr>
              <w:t>(3,718)</w:t>
            </w:r>
          </w:p>
        </w:tc>
      </w:tr>
      <w:tr>
        <w:trPr>
          <w:trHeight w:val="230"/>
        </w:trPr>
        <w:tc>
          <w:tcPr>
            <w:tcW w:w="6540" w:type="dxa"/>
            <w:vAlign w:val="bottom"/>
          </w:tcPr>
          <w:p>
            <w:pPr>
              <w:ind w:left="100"/>
              <w:spacing w:after="0"/>
              <w:rPr>
                <w:sz w:val="20"/>
                <w:szCs w:val="20"/>
                <w:color w:val="auto"/>
              </w:rPr>
            </w:pPr>
            <w:r>
              <w:rPr>
                <w:rFonts w:ascii="Arial" w:cs="Arial" w:eastAsia="Arial" w:hAnsi="Arial"/>
                <w:sz w:val="14"/>
                <w:szCs w:val="14"/>
                <w:color w:val="032E5C"/>
              </w:rPr>
              <w:t>Foreign currency loss on intercompany loans</w:t>
            </w:r>
          </w:p>
        </w:tc>
        <w:tc>
          <w:tcPr>
            <w:tcW w:w="38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4,140</w:t>
            </w:r>
          </w:p>
        </w:tc>
        <w:tc>
          <w:tcPr>
            <w:tcW w:w="780" w:type="dxa"/>
            <w:vAlign w:val="bottom"/>
          </w:tcPr>
          <w:p>
            <w:pPr>
              <w:spacing w:after="0"/>
              <w:rPr>
                <w:sz w:val="19"/>
                <w:szCs w:val="19"/>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2,907</w:t>
            </w:r>
          </w:p>
        </w:tc>
        <w:tc>
          <w:tcPr>
            <w:tcW w:w="40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2,682</w:t>
            </w:r>
          </w:p>
        </w:tc>
      </w:tr>
      <w:tr>
        <w:trPr>
          <w:trHeight w:val="229"/>
        </w:trPr>
        <w:tc>
          <w:tcPr>
            <w:tcW w:w="6540" w:type="dxa"/>
            <w:vAlign w:val="bottom"/>
          </w:tcPr>
          <w:p>
            <w:pPr>
              <w:ind w:left="100"/>
              <w:spacing w:after="0"/>
              <w:rPr>
                <w:sz w:val="20"/>
                <w:szCs w:val="20"/>
                <w:color w:val="auto"/>
              </w:rPr>
            </w:pPr>
            <w:r>
              <w:rPr>
                <w:rFonts w:ascii="Arial" w:cs="Arial" w:eastAsia="Arial" w:hAnsi="Arial"/>
                <w:sz w:val="14"/>
                <w:szCs w:val="14"/>
                <w:color w:val="032E5C"/>
              </w:rPr>
              <w:t>Interest expense, net</w:t>
            </w:r>
          </w:p>
        </w:tc>
        <w:tc>
          <w:tcPr>
            <w:tcW w:w="38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161,839</w:t>
            </w:r>
          </w:p>
        </w:tc>
        <w:tc>
          <w:tcPr>
            <w:tcW w:w="780" w:type="dxa"/>
            <w:vAlign w:val="bottom"/>
          </w:tcPr>
          <w:p>
            <w:pPr>
              <w:spacing w:after="0"/>
              <w:rPr>
                <w:sz w:val="19"/>
                <w:szCs w:val="19"/>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153,022</w:t>
            </w:r>
          </w:p>
        </w:tc>
        <w:tc>
          <w:tcPr>
            <w:tcW w:w="40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148,183</w:t>
            </w:r>
          </w:p>
        </w:tc>
      </w:tr>
      <w:tr>
        <w:trPr>
          <w:trHeight w:val="22"/>
        </w:trPr>
        <w:tc>
          <w:tcPr>
            <w:tcW w:w="6540" w:type="dxa"/>
            <w:vAlign w:val="bottom"/>
            <w:tcBorders>
              <w:bottom w:val="single" w:sz="8" w:color="98BDE2"/>
            </w:tcBorders>
          </w:tcPr>
          <w:p>
            <w:pPr>
              <w:spacing w:after="0" w:line="20" w:lineRule="exact"/>
              <w:rPr>
                <w:sz w:val="1"/>
                <w:szCs w:val="1"/>
                <w:color w:val="auto"/>
              </w:rPr>
            </w:pPr>
          </w:p>
        </w:tc>
        <w:tc>
          <w:tcPr>
            <w:tcW w:w="380" w:type="dxa"/>
            <w:vAlign w:val="bottom"/>
            <w:tcBorders>
              <w:bottom w:val="single" w:sz="8" w:color="98BDE2"/>
            </w:tcBorders>
          </w:tcPr>
          <w:p>
            <w:pPr>
              <w:spacing w:after="0" w:line="20" w:lineRule="exact"/>
              <w:rPr>
                <w:sz w:val="1"/>
                <w:szCs w:val="1"/>
                <w:color w:val="auto"/>
              </w:rPr>
            </w:pPr>
          </w:p>
        </w:tc>
        <w:tc>
          <w:tcPr>
            <w:tcW w:w="900" w:type="dxa"/>
            <w:vAlign w:val="bottom"/>
            <w:tcBorders>
              <w:bottom w:val="single" w:sz="8" w:color="98BDE2"/>
            </w:tcBorders>
          </w:tcPr>
          <w:p>
            <w:pPr>
              <w:spacing w:after="0" w:line="20" w:lineRule="exact"/>
              <w:rPr>
                <w:sz w:val="1"/>
                <w:szCs w:val="1"/>
                <w:color w:val="auto"/>
              </w:rPr>
            </w:pPr>
          </w:p>
        </w:tc>
        <w:tc>
          <w:tcPr>
            <w:tcW w:w="780" w:type="dxa"/>
            <w:vAlign w:val="bottom"/>
            <w:tcBorders>
              <w:bottom w:val="single" w:sz="8" w:color="98BDE2"/>
            </w:tcBorders>
          </w:tcPr>
          <w:p>
            <w:pPr>
              <w:spacing w:after="0" w:line="20" w:lineRule="exact"/>
              <w:rPr>
                <w:sz w:val="1"/>
                <w:szCs w:val="1"/>
                <w:color w:val="auto"/>
              </w:rPr>
            </w:pPr>
          </w:p>
        </w:tc>
        <w:tc>
          <w:tcPr>
            <w:tcW w:w="1280" w:type="dxa"/>
            <w:vAlign w:val="bottom"/>
            <w:tcBorders>
              <w:bottom w:val="single" w:sz="8" w:color="98BDE2"/>
            </w:tcBorders>
          </w:tcPr>
          <w:p>
            <w:pPr>
              <w:spacing w:after="0" w:line="20" w:lineRule="exact"/>
              <w:rPr>
                <w:sz w:val="1"/>
                <w:szCs w:val="1"/>
                <w:color w:val="auto"/>
              </w:rPr>
            </w:pPr>
          </w:p>
        </w:tc>
        <w:tc>
          <w:tcPr>
            <w:tcW w:w="400" w:type="dxa"/>
            <w:vAlign w:val="bottom"/>
            <w:tcBorders>
              <w:bottom w:val="single" w:sz="8" w:color="98BDE2"/>
            </w:tcBorders>
          </w:tcPr>
          <w:p>
            <w:pPr>
              <w:spacing w:after="0" w:line="20" w:lineRule="exact"/>
              <w:rPr>
                <w:sz w:val="1"/>
                <w:szCs w:val="1"/>
                <w:color w:val="auto"/>
              </w:rPr>
            </w:pPr>
          </w:p>
        </w:tc>
        <w:tc>
          <w:tcPr>
            <w:tcW w:w="960" w:type="dxa"/>
            <w:vAlign w:val="bottom"/>
            <w:tcBorders>
              <w:bottom w:val="single" w:sz="8" w:color="98BDE2"/>
            </w:tcBorders>
          </w:tcPr>
          <w:p>
            <w:pPr>
              <w:spacing w:after="0" w:line="20" w:lineRule="exact"/>
              <w:rPr>
                <w:sz w:val="1"/>
                <w:szCs w:val="1"/>
                <w:color w:val="auto"/>
              </w:rPr>
            </w:pPr>
          </w:p>
        </w:tc>
      </w:tr>
      <w:tr>
        <w:trPr>
          <w:trHeight w:val="217"/>
        </w:trPr>
        <w:tc>
          <w:tcPr>
            <w:tcW w:w="6540" w:type="dxa"/>
            <w:vAlign w:val="bottom"/>
            <w:tcBorders>
              <w:bottom w:val="single" w:sz="8" w:color="3E5C7C"/>
            </w:tcBorders>
          </w:tcPr>
          <w:p>
            <w:pPr>
              <w:ind w:left="220"/>
              <w:spacing w:after="0"/>
              <w:rPr>
                <w:sz w:val="20"/>
                <w:szCs w:val="20"/>
                <w:color w:val="auto"/>
              </w:rPr>
            </w:pPr>
            <w:r>
              <w:rPr>
                <w:rFonts w:ascii="Arial" w:cs="Arial" w:eastAsia="Arial" w:hAnsi="Arial"/>
                <w:sz w:val="14"/>
                <w:szCs w:val="14"/>
                <w:b w:val="1"/>
                <w:bCs w:val="1"/>
                <w:color w:val="032E5C"/>
              </w:rPr>
              <w:t>Total Reported EBITDA</w:t>
            </w:r>
          </w:p>
        </w:tc>
        <w:tc>
          <w:tcPr>
            <w:tcW w:w="380" w:type="dxa"/>
            <w:vAlign w:val="bottom"/>
            <w:tcBorders>
              <w:bottom w:val="single" w:sz="8" w:color="3E5C7C"/>
            </w:tcBorders>
          </w:tcPr>
          <w:p>
            <w:pPr>
              <w:jc w:val="right"/>
              <w:ind w:right="208"/>
              <w:spacing w:after="0"/>
              <w:rPr>
                <w:sz w:val="20"/>
                <w:szCs w:val="20"/>
                <w:color w:val="auto"/>
              </w:rPr>
            </w:pPr>
            <w:r>
              <w:rPr>
                <w:rFonts w:ascii="Arial" w:cs="Arial" w:eastAsia="Arial" w:hAnsi="Arial"/>
                <w:sz w:val="14"/>
                <w:szCs w:val="14"/>
                <w:b w:val="1"/>
                <w:bCs w:val="1"/>
                <w:color w:val="032E5C"/>
              </w:rPr>
              <w:t>$</w:t>
            </w:r>
          </w:p>
        </w:tc>
        <w:tc>
          <w:tcPr>
            <w:tcW w:w="90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826,565</w:t>
            </w:r>
          </w:p>
        </w:tc>
        <w:tc>
          <w:tcPr>
            <w:tcW w:w="780" w:type="dxa"/>
            <w:vAlign w:val="bottom"/>
            <w:tcBorders>
              <w:bottom w:val="single" w:sz="8" w:color="3E5C7C"/>
            </w:tcBorders>
          </w:tcPr>
          <w:p>
            <w:pPr>
              <w:jc w:val="right"/>
              <w:ind w:right="208"/>
              <w:spacing w:after="0"/>
              <w:rPr>
                <w:sz w:val="20"/>
                <w:szCs w:val="20"/>
                <w:color w:val="auto"/>
              </w:rPr>
            </w:pPr>
            <w:r>
              <w:rPr>
                <w:rFonts w:ascii="Arial" w:cs="Arial" w:eastAsia="Arial" w:hAnsi="Arial"/>
                <w:sz w:val="14"/>
                <w:szCs w:val="14"/>
                <w:b w:val="1"/>
                <w:bCs w:val="1"/>
                <w:color w:val="032E5C"/>
              </w:rPr>
              <w:t>$</w:t>
            </w:r>
          </w:p>
        </w:tc>
        <w:tc>
          <w:tcPr>
            <w:tcW w:w="1280" w:type="dxa"/>
            <w:vAlign w:val="bottom"/>
            <w:tcBorders>
              <w:bottom w:val="single" w:sz="8" w:color="3E5C7C"/>
            </w:tcBorders>
          </w:tcPr>
          <w:p>
            <w:pPr>
              <w:jc w:val="right"/>
              <w:ind w:right="408"/>
              <w:spacing w:after="0"/>
              <w:rPr>
                <w:sz w:val="20"/>
                <w:szCs w:val="20"/>
                <w:color w:val="auto"/>
              </w:rPr>
            </w:pPr>
            <w:r>
              <w:rPr>
                <w:rFonts w:ascii="Arial" w:cs="Arial" w:eastAsia="Arial" w:hAnsi="Arial"/>
                <w:sz w:val="14"/>
                <w:szCs w:val="14"/>
                <w:b w:val="1"/>
                <w:bCs w:val="1"/>
                <w:color w:val="032E5C"/>
              </w:rPr>
              <w:t>833,109</w:t>
            </w:r>
          </w:p>
        </w:tc>
        <w:tc>
          <w:tcPr>
            <w:tcW w:w="400" w:type="dxa"/>
            <w:vAlign w:val="bottom"/>
            <w:tcBorders>
              <w:bottom w:val="single" w:sz="8" w:color="3E5C7C"/>
            </w:tcBorders>
          </w:tcPr>
          <w:p>
            <w:pPr>
              <w:jc w:val="right"/>
              <w:ind w:right="188"/>
              <w:spacing w:after="0"/>
              <w:rPr>
                <w:sz w:val="20"/>
                <w:szCs w:val="20"/>
                <w:color w:val="auto"/>
              </w:rPr>
            </w:pPr>
            <w:r>
              <w:rPr>
                <w:rFonts w:ascii="Arial" w:cs="Arial" w:eastAsia="Arial" w:hAnsi="Arial"/>
                <w:sz w:val="14"/>
                <w:szCs w:val="14"/>
                <w:b w:val="1"/>
                <w:bCs w:val="1"/>
                <w:color w:val="032E5C"/>
              </w:rPr>
              <w:t>$</w:t>
            </w:r>
          </w:p>
        </w:tc>
        <w:tc>
          <w:tcPr>
            <w:tcW w:w="960" w:type="dxa"/>
            <w:vAlign w:val="bottom"/>
            <w:tcBorders>
              <w:bottom w:val="single" w:sz="8" w:color="3E5C7C"/>
            </w:tcBorders>
          </w:tcPr>
          <w:p>
            <w:pPr>
              <w:jc w:val="right"/>
              <w:ind w:right="88"/>
              <w:spacing w:after="0"/>
              <w:rPr>
                <w:sz w:val="20"/>
                <w:szCs w:val="20"/>
                <w:color w:val="auto"/>
              </w:rPr>
            </w:pPr>
            <w:r>
              <w:rPr>
                <w:rFonts w:ascii="Arial" w:cs="Arial" w:eastAsia="Arial" w:hAnsi="Arial"/>
                <w:sz w:val="14"/>
                <w:szCs w:val="14"/>
                <w:b w:val="1"/>
                <w:bCs w:val="1"/>
                <w:color w:val="032E5C"/>
              </w:rPr>
              <w:t>832,987</w:t>
            </w:r>
          </w:p>
        </w:tc>
      </w:tr>
      <w:tr>
        <w:trPr>
          <w:trHeight w:val="356"/>
        </w:trPr>
        <w:tc>
          <w:tcPr>
            <w:tcW w:w="6540" w:type="dxa"/>
            <w:vAlign w:val="bottom"/>
          </w:tcPr>
          <w:p>
            <w:pPr>
              <w:ind w:left="100"/>
              <w:spacing w:after="0"/>
              <w:rPr>
                <w:sz w:val="20"/>
                <w:szCs w:val="20"/>
                <w:color w:val="auto"/>
              </w:rPr>
            </w:pPr>
            <w:r>
              <w:rPr>
                <w:rFonts w:ascii="Arial" w:cs="Arial" w:eastAsia="Arial" w:hAnsi="Arial"/>
                <w:sz w:val="14"/>
                <w:szCs w:val="14"/>
                <w:color w:val="032E5C"/>
              </w:rPr>
              <w:t>Mountain Reported EBITDA</w:t>
            </w:r>
          </w:p>
        </w:tc>
        <w:tc>
          <w:tcPr>
            <w:tcW w:w="380" w:type="dxa"/>
            <w:vAlign w:val="bottom"/>
          </w:tcPr>
          <w:p>
            <w:pPr>
              <w:jc w:val="right"/>
              <w:ind w:right="208"/>
              <w:spacing w:after="0"/>
              <w:rPr>
                <w:sz w:val="20"/>
                <w:szCs w:val="20"/>
                <w:color w:val="auto"/>
              </w:rPr>
            </w:pPr>
            <w:r>
              <w:rPr>
                <w:rFonts w:ascii="Arial" w:cs="Arial" w:eastAsia="Arial" w:hAnsi="Arial"/>
                <w:sz w:val="14"/>
                <w:szCs w:val="14"/>
                <w:color w:val="032E5C"/>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802,072</w:t>
            </w:r>
          </w:p>
        </w:tc>
        <w:tc>
          <w:tcPr>
            <w:tcW w:w="780" w:type="dxa"/>
            <w:vAlign w:val="bottom"/>
          </w:tcPr>
          <w:p>
            <w:pPr>
              <w:jc w:val="right"/>
              <w:ind w:right="208"/>
              <w:spacing w:after="0"/>
              <w:rPr>
                <w:sz w:val="20"/>
                <w:szCs w:val="20"/>
                <w:color w:val="auto"/>
              </w:rPr>
            </w:pPr>
            <w:r>
              <w:rPr>
                <w:rFonts w:ascii="Arial" w:cs="Arial" w:eastAsia="Arial" w:hAnsi="Arial"/>
                <w:sz w:val="14"/>
                <w:szCs w:val="14"/>
                <w:color w:val="032E5C"/>
              </w:rPr>
              <w:t>$</w:t>
            </w: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822,570</w:t>
            </w:r>
          </w:p>
        </w:tc>
        <w:tc>
          <w:tcPr>
            <w:tcW w:w="400" w:type="dxa"/>
            <w:vAlign w:val="bottom"/>
          </w:tcPr>
          <w:p>
            <w:pPr>
              <w:jc w:val="right"/>
              <w:ind w:right="188"/>
              <w:spacing w:after="0"/>
              <w:rPr>
                <w:sz w:val="20"/>
                <w:szCs w:val="20"/>
                <w:color w:val="auto"/>
              </w:rPr>
            </w:pPr>
            <w:r>
              <w:rPr>
                <w:rFonts w:ascii="Arial" w:cs="Arial" w:eastAsia="Arial" w:hAnsi="Arial"/>
                <w:sz w:val="14"/>
                <w:szCs w:val="14"/>
                <w:color w:val="032E5C"/>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811,167</w:t>
            </w:r>
          </w:p>
        </w:tc>
      </w:tr>
      <w:tr>
        <w:trPr>
          <w:trHeight w:val="230"/>
        </w:trPr>
        <w:tc>
          <w:tcPr>
            <w:tcW w:w="6540" w:type="dxa"/>
            <w:vAlign w:val="bottom"/>
          </w:tcPr>
          <w:p>
            <w:pPr>
              <w:ind w:left="100"/>
              <w:spacing w:after="0"/>
              <w:rPr>
                <w:sz w:val="20"/>
                <w:szCs w:val="20"/>
                <w:color w:val="auto"/>
              </w:rPr>
            </w:pPr>
            <w:r>
              <w:rPr>
                <w:rFonts w:ascii="Arial" w:cs="Arial" w:eastAsia="Arial" w:hAnsi="Arial"/>
                <w:sz w:val="14"/>
                <w:szCs w:val="14"/>
                <w:color w:val="032E5C"/>
              </w:rPr>
              <w:t>Lodging Reported EBITDA</w:t>
            </w:r>
          </w:p>
        </w:tc>
        <w:tc>
          <w:tcPr>
            <w:tcW w:w="38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23,018</w:t>
            </w:r>
          </w:p>
        </w:tc>
        <w:tc>
          <w:tcPr>
            <w:tcW w:w="780" w:type="dxa"/>
            <w:vAlign w:val="bottom"/>
          </w:tcPr>
          <w:p>
            <w:pPr>
              <w:spacing w:after="0"/>
              <w:rPr>
                <w:sz w:val="19"/>
                <w:szCs w:val="19"/>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12,267</w:t>
            </w:r>
          </w:p>
        </w:tc>
        <w:tc>
          <w:tcPr>
            <w:tcW w:w="40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25,747</w:t>
            </w:r>
          </w:p>
        </w:tc>
      </w:tr>
      <w:tr>
        <w:trPr>
          <w:trHeight w:val="22"/>
        </w:trPr>
        <w:tc>
          <w:tcPr>
            <w:tcW w:w="6540" w:type="dxa"/>
            <w:vAlign w:val="bottom"/>
            <w:tcBorders>
              <w:bottom w:val="single" w:sz="8" w:color="98BDE2"/>
            </w:tcBorders>
          </w:tcPr>
          <w:p>
            <w:pPr>
              <w:spacing w:after="0" w:line="20" w:lineRule="exact"/>
              <w:rPr>
                <w:sz w:val="1"/>
                <w:szCs w:val="1"/>
                <w:color w:val="auto"/>
              </w:rPr>
            </w:pPr>
          </w:p>
        </w:tc>
        <w:tc>
          <w:tcPr>
            <w:tcW w:w="380" w:type="dxa"/>
            <w:vAlign w:val="bottom"/>
            <w:tcBorders>
              <w:bottom w:val="single" w:sz="8" w:color="98BDE2"/>
            </w:tcBorders>
          </w:tcPr>
          <w:p>
            <w:pPr>
              <w:spacing w:after="0" w:line="20" w:lineRule="exact"/>
              <w:rPr>
                <w:sz w:val="1"/>
                <w:szCs w:val="1"/>
                <w:color w:val="auto"/>
              </w:rPr>
            </w:pPr>
          </w:p>
        </w:tc>
        <w:tc>
          <w:tcPr>
            <w:tcW w:w="900" w:type="dxa"/>
            <w:vAlign w:val="bottom"/>
            <w:tcBorders>
              <w:bottom w:val="single" w:sz="8" w:color="98BDE2"/>
            </w:tcBorders>
          </w:tcPr>
          <w:p>
            <w:pPr>
              <w:spacing w:after="0" w:line="20" w:lineRule="exact"/>
              <w:rPr>
                <w:sz w:val="1"/>
                <w:szCs w:val="1"/>
                <w:color w:val="auto"/>
              </w:rPr>
            </w:pPr>
          </w:p>
        </w:tc>
        <w:tc>
          <w:tcPr>
            <w:tcW w:w="780" w:type="dxa"/>
            <w:vAlign w:val="bottom"/>
            <w:tcBorders>
              <w:bottom w:val="single" w:sz="8" w:color="98BDE2"/>
            </w:tcBorders>
          </w:tcPr>
          <w:p>
            <w:pPr>
              <w:spacing w:after="0" w:line="20" w:lineRule="exact"/>
              <w:rPr>
                <w:sz w:val="1"/>
                <w:szCs w:val="1"/>
                <w:color w:val="auto"/>
              </w:rPr>
            </w:pPr>
          </w:p>
        </w:tc>
        <w:tc>
          <w:tcPr>
            <w:tcW w:w="1280" w:type="dxa"/>
            <w:vAlign w:val="bottom"/>
            <w:tcBorders>
              <w:bottom w:val="single" w:sz="8" w:color="98BDE2"/>
            </w:tcBorders>
          </w:tcPr>
          <w:p>
            <w:pPr>
              <w:spacing w:after="0" w:line="20" w:lineRule="exact"/>
              <w:rPr>
                <w:sz w:val="1"/>
                <w:szCs w:val="1"/>
                <w:color w:val="auto"/>
              </w:rPr>
            </w:pPr>
          </w:p>
        </w:tc>
        <w:tc>
          <w:tcPr>
            <w:tcW w:w="400" w:type="dxa"/>
            <w:vAlign w:val="bottom"/>
            <w:tcBorders>
              <w:bottom w:val="single" w:sz="8" w:color="98BDE2"/>
            </w:tcBorders>
          </w:tcPr>
          <w:p>
            <w:pPr>
              <w:spacing w:after="0" w:line="20" w:lineRule="exact"/>
              <w:rPr>
                <w:sz w:val="1"/>
                <w:szCs w:val="1"/>
                <w:color w:val="auto"/>
              </w:rPr>
            </w:pPr>
          </w:p>
        </w:tc>
        <w:tc>
          <w:tcPr>
            <w:tcW w:w="960" w:type="dxa"/>
            <w:vAlign w:val="bottom"/>
            <w:tcBorders>
              <w:bottom w:val="single" w:sz="8" w:color="98BDE2"/>
            </w:tcBorders>
          </w:tcPr>
          <w:p>
            <w:pPr>
              <w:spacing w:after="0" w:line="20" w:lineRule="exact"/>
              <w:rPr>
                <w:sz w:val="1"/>
                <w:szCs w:val="1"/>
                <w:color w:val="auto"/>
              </w:rPr>
            </w:pPr>
          </w:p>
        </w:tc>
      </w:tr>
      <w:tr>
        <w:trPr>
          <w:trHeight w:val="258"/>
        </w:trPr>
        <w:tc>
          <w:tcPr>
            <w:tcW w:w="6540" w:type="dxa"/>
            <w:vAlign w:val="bottom"/>
          </w:tcPr>
          <w:p>
            <w:pPr>
              <w:ind w:left="220"/>
              <w:spacing w:after="0"/>
              <w:rPr>
                <w:sz w:val="20"/>
                <w:szCs w:val="20"/>
                <w:color w:val="auto"/>
              </w:rPr>
            </w:pPr>
            <w:r>
              <w:rPr>
                <w:rFonts w:ascii="Arial" w:cs="Arial" w:eastAsia="Arial" w:hAnsi="Arial"/>
                <w:sz w:val="14"/>
                <w:szCs w:val="14"/>
                <w:color w:val="032E5C"/>
              </w:rPr>
              <w:t>Resort Reported EBITDA</w:t>
            </w:r>
            <w:r>
              <w:rPr>
                <w:rFonts w:ascii="Arial" w:cs="Arial" w:eastAsia="Arial" w:hAnsi="Arial"/>
                <w:sz w:val="18"/>
                <w:szCs w:val="18"/>
                <w:color w:val="032E5C"/>
                <w:vertAlign w:val="superscript"/>
              </w:rPr>
              <w:t>(1)</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825,090</w:t>
            </w:r>
          </w:p>
        </w:tc>
        <w:tc>
          <w:tcPr>
            <w:tcW w:w="780" w:type="dxa"/>
            <w:vAlign w:val="bottom"/>
          </w:tcPr>
          <w:p>
            <w:pPr>
              <w:spacing w:after="0"/>
              <w:rPr>
                <w:sz w:val="22"/>
                <w:szCs w:val="22"/>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color w:val="032E5C"/>
              </w:rPr>
              <w:t>834,837</w:t>
            </w:r>
          </w:p>
        </w:tc>
        <w:tc>
          <w:tcPr>
            <w:tcW w:w="4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032E5C"/>
              </w:rPr>
              <w:t>836,914</w:t>
            </w:r>
          </w:p>
        </w:tc>
      </w:tr>
      <w:tr>
        <w:trPr>
          <w:trHeight w:val="226"/>
        </w:trPr>
        <w:tc>
          <w:tcPr>
            <w:tcW w:w="6540" w:type="dxa"/>
            <w:vAlign w:val="bottom"/>
          </w:tcPr>
          <w:p>
            <w:pPr>
              <w:ind w:left="100"/>
              <w:spacing w:after="0"/>
              <w:rPr>
                <w:sz w:val="20"/>
                <w:szCs w:val="20"/>
                <w:color w:val="auto"/>
              </w:rPr>
            </w:pPr>
            <w:r>
              <w:rPr>
                <w:rFonts w:ascii="Arial" w:cs="Arial" w:eastAsia="Arial" w:hAnsi="Arial"/>
                <w:sz w:val="14"/>
                <w:szCs w:val="14"/>
                <w:color w:val="032E5C"/>
              </w:rPr>
              <w:t>Real Estate Reported EBITDA</w:t>
            </w:r>
          </w:p>
        </w:tc>
        <w:tc>
          <w:tcPr>
            <w:tcW w:w="38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032E5C"/>
              </w:rPr>
              <w:t>1,475</w:t>
            </w:r>
          </w:p>
        </w:tc>
        <w:tc>
          <w:tcPr>
            <w:tcW w:w="780" w:type="dxa"/>
            <w:vAlign w:val="bottom"/>
          </w:tcPr>
          <w:p>
            <w:pPr>
              <w:spacing w:after="0"/>
              <w:rPr>
                <w:sz w:val="19"/>
                <w:szCs w:val="19"/>
                <w:color w:val="auto"/>
              </w:rPr>
            </w:pPr>
          </w:p>
        </w:tc>
        <w:tc>
          <w:tcPr>
            <w:tcW w:w="1280" w:type="dxa"/>
            <w:vAlign w:val="bottom"/>
          </w:tcPr>
          <w:p>
            <w:pPr>
              <w:jc w:val="right"/>
              <w:ind w:right="368"/>
              <w:spacing w:after="0"/>
              <w:rPr>
                <w:sz w:val="20"/>
                <w:szCs w:val="20"/>
                <w:color w:val="auto"/>
              </w:rPr>
            </w:pPr>
            <w:r>
              <w:rPr>
                <w:rFonts w:ascii="Arial" w:cs="Arial" w:eastAsia="Arial" w:hAnsi="Arial"/>
                <w:sz w:val="14"/>
                <w:szCs w:val="14"/>
                <w:color w:val="032E5C"/>
              </w:rPr>
              <w:t>(1,728)</w:t>
            </w:r>
          </w:p>
        </w:tc>
        <w:tc>
          <w:tcPr>
            <w:tcW w:w="40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032E5C"/>
              </w:rPr>
              <w:t>(3,927)</w:t>
            </w:r>
          </w:p>
        </w:tc>
      </w:tr>
      <w:tr>
        <w:trPr>
          <w:trHeight w:val="22"/>
        </w:trPr>
        <w:tc>
          <w:tcPr>
            <w:tcW w:w="6540" w:type="dxa"/>
            <w:vAlign w:val="bottom"/>
            <w:tcBorders>
              <w:bottom w:val="single" w:sz="8" w:color="98BDE2"/>
            </w:tcBorders>
          </w:tcPr>
          <w:p>
            <w:pPr>
              <w:spacing w:after="0" w:line="20" w:lineRule="exact"/>
              <w:rPr>
                <w:sz w:val="1"/>
                <w:szCs w:val="1"/>
                <w:color w:val="auto"/>
              </w:rPr>
            </w:pPr>
          </w:p>
        </w:tc>
        <w:tc>
          <w:tcPr>
            <w:tcW w:w="380" w:type="dxa"/>
            <w:vAlign w:val="bottom"/>
            <w:tcBorders>
              <w:bottom w:val="single" w:sz="8" w:color="98BDE2"/>
            </w:tcBorders>
          </w:tcPr>
          <w:p>
            <w:pPr>
              <w:spacing w:after="0" w:line="20" w:lineRule="exact"/>
              <w:rPr>
                <w:sz w:val="1"/>
                <w:szCs w:val="1"/>
                <w:color w:val="auto"/>
              </w:rPr>
            </w:pPr>
          </w:p>
        </w:tc>
        <w:tc>
          <w:tcPr>
            <w:tcW w:w="900" w:type="dxa"/>
            <w:vAlign w:val="bottom"/>
            <w:tcBorders>
              <w:bottom w:val="single" w:sz="8" w:color="98BDE2"/>
            </w:tcBorders>
          </w:tcPr>
          <w:p>
            <w:pPr>
              <w:spacing w:after="0" w:line="20" w:lineRule="exact"/>
              <w:rPr>
                <w:sz w:val="1"/>
                <w:szCs w:val="1"/>
                <w:color w:val="auto"/>
              </w:rPr>
            </w:pPr>
          </w:p>
        </w:tc>
        <w:tc>
          <w:tcPr>
            <w:tcW w:w="780" w:type="dxa"/>
            <w:vAlign w:val="bottom"/>
            <w:tcBorders>
              <w:bottom w:val="single" w:sz="8" w:color="98BDE2"/>
            </w:tcBorders>
          </w:tcPr>
          <w:p>
            <w:pPr>
              <w:spacing w:after="0" w:line="20" w:lineRule="exact"/>
              <w:rPr>
                <w:sz w:val="1"/>
                <w:szCs w:val="1"/>
                <w:color w:val="auto"/>
              </w:rPr>
            </w:pPr>
          </w:p>
        </w:tc>
        <w:tc>
          <w:tcPr>
            <w:tcW w:w="1280" w:type="dxa"/>
            <w:vAlign w:val="bottom"/>
            <w:tcBorders>
              <w:bottom w:val="single" w:sz="8" w:color="98BDE2"/>
            </w:tcBorders>
          </w:tcPr>
          <w:p>
            <w:pPr>
              <w:spacing w:after="0" w:line="20" w:lineRule="exact"/>
              <w:rPr>
                <w:sz w:val="1"/>
                <w:szCs w:val="1"/>
                <w:color w:val="auto"/>
              </w:rPr>
            </w:pPr>
          </w:p>
        </w:tc>
        <w:tc>
          <w:tcPr>
            <w:tcW w:w="400" w:type="dxa"/>
            <w:vAlign w:val="bottom"/>
            <w:tcBorders>
              <w:bottom w:val="single" w:sz="8" w:color="98BDE2"/>
            </w:tcBorders>
          </w:tcPr>
          <w:p>
            <w:pPr>
              <w:spacing w:after="0" w:line="20" w:lineRule="exact"/>
              <w:rPr>
                <w:sz w:val="1"/>
                <w:szCs w:val="1"/>
                <w:color w:val="auto"/>
              </w:rPr>
            </w:pPr>
          </w:p>
        </w:tc>
        <w:tc>
          <w:tcPr>
            <w:tcW w:w="960" w:type="dxa"/>
            <w:vAlign w:val="bottom"/>
            <w:tcBorders>
              <w:bottom w:val="single" w:sz="8" w:color="98BDE2"/>
            </w:tcBorders>
          </w:tcPr>
          <w:p>
            <w:pPr>
              <w:spacing w:after="0" w:line="20" w:lineRule="exact"/>
              <w:rPr>
                <w:sz w:val="1"/>
                <w:szCs w:val="1"/>
                <w:color w:val="auto"/>
              </w:rPr>
            </w:pPr>
          </w:p>
        </w:tc>
      </w:tr>
      <w:tr>
        <w:trPr>
          <w:trHeight w:val="230"/>
        </w:trPr>
        <w:tc>
          <w:tcPr>
            <w:tcW w:w="6540" w:type="dxa"/>
            <w:vAlign w:val="bottom"/>
            <w:tcBorders>
              <w:bottom w:val="single" w:sz="8" w:color="3E5C7C"/>
            </w:tcBorders>
          </w:tcPr>
          <w:p>
            <w:pPr>
              <w:ind w:left="220"/>
              <w:spacing w:after="0"/>
              <w:rPr>
                <w:sz w:val="20"/>
                <w:szCs w:val="20"/>
                <w:color w:val="auto"/>
              </w:rPr>
            </w:pPr>
            <w:r>
              <w:rPr>
                <w:rFonts w:ascii="Arial" w:cs="Arial" w:eastAsia="Arial" w:hAnsi="Arial"/>
                <w:sz w:val="14"/>
                <w:szCs w:val="14"/>
                <w:b w:val="1"/>
                <w:bCs w:val="1"/>
                <w:color w:val="032E5C"/>
              </w:rPr>
              <w:t>Total Reported EBITDA</w:t>
            </w:r>
          </w:p>
        </w:tc>
        <w:tc>
          <w:tcPr>
            <w:tcW w:w="380" w:type="dxa"/>
            <w:vAlign w:val="bottom"/>
            <w:tcBorders>
              <w:bottom w:val="single" w:sz="8" w:color="3E5C7C"/>
            </w:tcBorders>
          </w:tcPr>
          <w:p>
            <w:pPr>
              <w:jc w:val="right"/>
              <w:ind w:right="208"/>
              <w:spacing w:after="0"/>
              <w:rPr>
                <w:sz w:val="20"/>
                <w:szCs w:val="20"/>
                <w:color w:val="auto"/>
              </w:rPr>
            </w:pPr>
            <w:r>
              <w:rPr>
                <w:rFonts w:ascii="Arial" w:cs="Arial" w:eastAsia="Arial" w:hAnsi="Arial"/>
                <w:sz w:val="14"/>
                <w:szCs w:val="14"/>
                <w:b w:val="1"/>
                <w:bCs w:val="1"/>
                <w:color w:val="032E5C"/>
              </w:rPr>
              <w:t>$</w:t>
            </w:r>
          </w:p>
        </w:tc>
        <w:tc>
          <w:tcPr>
            <w:tcW w:w="90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826,565</w:t>
            </w:r>
          </w:p>
        </w:tc>
        <w:tc>
          <w:tcPr>
            <w:tcW w:w="780" w:type="dxa"/>
            <w:vAlign w:val="bottom"/>
            <w:tcBorders>
              <w:bottom w:val="single" w:sz="8" w:color="3E5C7C"/>
            </w:tcBorders>
          </w:tcPr>
          <w:p>
            <w:pPr>
              <w:jc w:val="right"/>
              <w:ind w:right="208"/>
              <w:spacing w:after="0"/>
              <w:rPr>
                <w:sz w:val="20"/>
                <w:szCs w:val="20"/>
                <w:color w:val="auto"/>
              </w:rPr>
            </w:pPr>
            <w:r>
              <w:rPr>
                <w:rFonts w:ascii="Arial" w:cs="Arial" w:eastAsia="Arial" w:hAnsi="Arial"/>
                <w:sz w:val="14"/>
                <w:szCs w:val="14"/>
                <w:b w:val="1"/>
                <w:bCs w:val="1"/>
                <w:color w:val="032E5C"/>
              </w:rPr>
              <w:t>$</w:t>
            </w:r>
          </w:p>
        </w:tc>
        <w:tc>
          <w:tcPr>
            <w:tcW w:w="1280" w:type="dxa"/>
            <w:vAlign w:val="bottom"/>
            <w:tcBorders>
              <w:bottom w:val="single" w:sz="8" w:color="3E5C7C"/>
            </w:tcBorders>
          </w:tcPr>
          <w:p>
            <w:pPr>
              <w:jc w:val="right"/>
              <w:ind w:right="408"/>
              <w:spacing w:after="0"/>
              <w:rPr>
                <w:sz w:val="20"/>
                <w:szCs w:val="20"/>
                <w:color w:val="auto"/>
              </w:rPr>
            </w:pPr>
            <w:r>
              <w:rPr>
                <w:rFonts w:ascii="Arial" w:cs="Arial" w:eastAsia="Arial" w:hAnsi="Arial"/>
                <w:sz w:val="14"/>
                <w:szCs w:val="14"/>
                <w:b w:val="1"/>
                <w:bCs w:val="1"/>
                <w:color w:val="032E5C"/>
              </w:rPr>
              <w:t>833,109</w:t>
            </w:r>
          </w:p>
        </w:tc>
        <w:tc>
          <w:tcPr>
            <w:tcW w:w="400" w:type="dxa"/>
            <w:vAlign w:val="bottom"/>
            <w:tcBorders>
              <w:bottom w:val="single" w:sz="8" w:color="3E5C7C"/>
            </w:tcBorders>
          </w:tcPr>
          <w:p>
            <w:pPr>
              <w:jc w:val="right"/>
              <w:ind w:right="188"/>
              <w:spacing w:after="0"/>
              <w:rPr>
                <w:sz w:val="20"/>
                <w:szCs w:val="20"/>
                <w:color w:val="auto"/>
              </w:rPr>
            </w:pPr>
            <w:r>
              <w:rPr>
                <w:rFonts w:ascii="Arial" w:cs="Arial" w:eastAsia="Arial" w:hAnsi="Arial"/>
                <w:sz w:val="14"/>
                <w:szCs w:val="14"/>
                <w:b w:val="1"/>
                <w:bCs w:val="1"/>
                <w:color w:val="032E5C"/>
              </w:rPr>
              <w:t>$</w:t>
            </w:r>
          </w:p>
        </w:tc>
        <w:tc>
          <w:tcPr>
            <w:tcW w:w="960" w:type="dxa"/>
            <w:vAlign w:val="bottom"/>
            <w:tcBorders>
              <w:bottom w:val="single" w:sz="8" w:color="3E5C7C"/>
            </w:tcBorders>
          </w:tcPr>
          <w:p>
            <w:pPr>
              <w:jc w:val="right"/>
              <w:ind w:right="88"/>
              <w:spacing w:after="0"/>
              <w:rPr>
                <w:sz w:val="20"/>
                <w:szCs w:val="20"/>
                <w:color w:val="auto"/>
              </w:rPr>
            </w:pPr>
            <w:r>
              <w:rPr>
                <w:rFonts w:ascii="Arial" w:cs="Arial" w:eastAsia="Arial" w:hAnsi="Arial"/>
                <w:sz w:val="14"/>
                <w:szCs w:val="14"/>
                <w:b w:val="1"/>
                <w:bCs w:val="1"/>
                <w:color w:val="032E5C"/>
              </w:rPr>
              <w:t>832,987</w:t>
            </w: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20"/>
                <w:szCs w:val="20"/>
                <w:color w:val="auto"/>
              </w:rPr>
            </w:pPr>
            <w:r>
              <w:rPr>
                <w:rFonts w:ascii="Arial" w:cs="Arial" w:eastAsia="Arial" w:hAnsi="Arial"/>
                <w:sz w:val="14"/>
                <w:szCs w:val="14"/>
                <w:color w:val="29292B"/>
              </w:rPr>
              <w:t>(1)  Resort represents the sum of Mountain and Lodging.</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874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032E5C"/>
              </w:rPr>
              <w:t>99</w:t>
            </w:r>
          </w:p>
        </w:tc>
        <w:tc>
          <w:tcPr>
            <w:tcW w:w="0" w:type="dxa"/>
            <w:vAlign w:val="bottom"/>
          </w:tcPr>
          <w:p>
            <w:pPr>
              <w:spacing w:after="0"/>
              <w:rPr>
                <w:sz w:val="1"/>
                <w:szCs w:val="1"/>
                <w:color w:val="auto"/>
              </w:rPr>
            </w:pPr>
          </w:p>
        </w:tc>
      </w:tr>
      <w:tr>
        <w:trPr>
          <w:trHeight w:val="60"/>
        </w:trPr>
        <w:tc>
          <w:tcPr>
            <w:tcW w:w="874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04" w:name="page105"/>
    <w:bookmarkEnd w:id="104"/>
    <w:p>
      <w:pPr>
        <w:spacing w:after="0"/>
        <w:rPr>
          <w:sz w:val="20"/>
          <w:szCs w:val="20"/>
          <w:color w:val="auto"/>
        </w:rPr>
      </w:pPr>
      <w:r>
        <w:rPr>
          <w:rFonts w:ascii="Arial" w:cs="Arial" w:eastAsia="Arial" w:hAnsi="Arial"/>
          <w:sz w:val="50"/>
          <w:szCs w:val="50"/>
          <w:b w:val="1"/>
          <w:bCs w:val="1"/>
          <w:color w:val="032E5C"/>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975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397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Vail Resorts, Inc. 2024 Omnibus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1. Purpose.</w:t>
      </w:r>
    </w:p>
    <w:p>
      <w:pPr>
        <w:spacing w:after="0" w:line="126" w:lineRule="exact"/>
        <w:rPr>
          <w:sz w:val="20"/>
          <w:szCs w:val="20"/>
          <w:color w:val="auto"/>
        </w:rPr>
      </w:pPr>
    </w:p>
    <w:p>
      <w:pPr>
        <w:jc w:val="both"/>
        <w:ind w:right="120"/>
        <w:spacing w:after="0" w:line="319" w:lineRule="auto"/>
        <w:rPr>
          <w:sz w:val="20"/>
          <w:szCs w:val="20"/>
          <w:color w:val="auto"/>
        </w:rPr>
      </w:pPr>
      <w:r>
        <w:rPr>
          <w:rFonts w:ascii="Arial" w:cs="Arial" w:eastAsia="Arial" w:hAnsi="Arial"/>
          <w:sz w:val="16"/>
          <w:szCs w:val="16"/>
          <w:color w:val="29292B"/>
        </w:rPr>
        <w:t>The purposes of the 2024 Omnibus Incentive Plan are to increase shareholder value and to advance the interests of Vail Resorts, Inc. and its shareholders by providing a means to attract, retain, and motivate employees, consultants, and directors of the Company upon whose judgment, initiative, and efforts the continued success, growth, and development of the Company is dependent.</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2. Definitions.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For purposes of the Plan, the following terms shall be defined as set forth below:</w:t>
      </w:r>
    </w:p>
    <w:p>
      <w:pPr>
        <w:spacing w:after="0" w:line="181" w:lineRule="exact"/>
        <w:rPr>
          <w:sz w:val="20"/>
          <w:szCs w:val="20"/>
          <w:color w:val="auto"/>
        </w:rPr>
      </w:pPr>
    </w:p>
    <w:p>
      <w:pPr>
        <w:ind w:left="500" w:right="60" w:hanging="492"/>
        <w:spacing w:after="0" w:line="310" w:lineRule="auto"/>
        <w:tabs>
          <w:tab w:leader="none" w:pos="509" w:val="left"/>
        </w:tabs>
        <w:numPr>
          <w:ilvl w:val="0"/>
          <w:numId w:val="81"/>
        </w:numPr>
        <w:rPr>
          <w:rFonts w:ascii="Arial" w:cs="Arial" w:eastAsia="Arial" w:hAnsi="Arial"/>
          <w:sz w:val="16"/>
          <w:szCs w:val="16"/>
          <w:color w:val="29292B"/>
        </w:rPr>
      </w:pPr>
      <w:r>
        <w:rPr>
          <w:rFonts w:ascii="Arial" w:cs="Arial" w:eastAsia="Arial" w:hAnsi="Arial"/>
          <w:sz w:val="16"/>
          <w:szCs w:val="16"/>
          <w:color w:val="29292B"/>
        </w:rPr>
        <w:t>“Affiliate” means any entity other than the Company and its Subsidiaries that is designated by the Board or the Committee as a participating employer under the Plan; provided, however, that the Company directly or indirectly owns at least 20% of the combined voting power of all classes of stock of such entity or at least 20% of the ownership interests in such entity.</w:t>
      </w:r>
    </w:p>
    <w:p>
      <w:pPr>
        <w:spacing w:after="0" w:line="97" w:lineRule="exact"/>
        <w:rPr>
          <w:rFonts w:ascii="Arial" w:cs="Arial" w:eastAsia="Arial" w:hAnsi="Arial"/>
          <w:sz w:val="16"/>
          <w:szCs w:val="16"/>
          <w:color w:val="29292B"/>
        </w:rPr>
      </w:pPr>
    </w:p>
    <w:p>
      <w:pPr>
        <w:ind w:left="500" w:right="20" w:hanging="492"/>
        <w:spacing w:after="0" w:line="319" w:lineRule="auto"/>
        <w:tabs>
          <w:tab w:leader="none" w:pos="495" w:val="left"/>
        </w:tabs>
        <w:numPr>
          <w:ilvl w:val="0"/>
          <w:numId w:val="81"/>
        </w:numPr>
        <w:rPr>
          <w:rFonts w:ascii="Arial" w:cs="Arial" w:eastAsia="Arial" w:hAnsi="Arial"/>
          <w:sz w:val="16"/>
          <w:szCs w:val="16"/>
          <w:color w:val="29292B"/>
        </w:rPr>
      </w:pPr>
      <w:r>
        <w:rPr>
          <w:rFonts w:ascii="Arial" w:cs="Arial" w:eastAsia="Arial" w:hAnsi="Arial"/>
          <w:sz w:val="16"/>
          <w:szCs w:val="16"/>
          <w:color w:val="29292B"/>
        </w:rPr>
        <w:t>“Award” means, individually or collectively, any Option, SAR, Restricted Share, Restricted Share Unit, Performance Share, Performance Unit, Performance Cash Award, Dividend Equivalent, Other Share-Based Award, other cash Award, or any other award granted to an Eligible Person under the Plan.</w:t>
      </w:r>
    </w:p>
    <w:p>
      <w:pPr>
        <w:spacing w:after="0" w:line="89" w:lineRule="exact"/>
        <w:rPr>
          <w:rFonts w:ascii="Arial" w:cs="Arial" w:eastAsia="Arial" w:hAnsi="Arial"/>
          <w:sz w:val="16"/>
          <w:szCs w:val="16"/>
          <w:color w:val="29292B"/>
        </w:rPr>
      </w:pPr>
    </w:p>
    <w:p>
      <w:pPr>
        <w:ind w:left="500" w:right="340" w:hanging="492"/>
        <w:spacing w:after="0" w:line="321" w:lineRule="auto"/>
        <w:tabs>
          <w:tab w:leader="none" w:pos="513" w:val="left"/>
        </w:tabs>
        <w:numPr>
          <w:ilvl w:val="0"/>
          <w:numId w:val="81"/>
        </w:numPr>
        <w:rPr>
          <w:rFonts w:ascii="Arial" w:cs="Arial" w:eastAsia="Arial" w:hAnsi="Arial"/>
          <w:sz w:val="16"/>
          <w:szCs w:val="16"/>
          <w:color w:val="29292B"/>
        </w:rPr>
      </w:pPr>
      <w:r>
        <w:rPr>
          <w:rFonts w:ascii="Arial" w:cs="Arial" w:eastAsia="Arial" w:hAnsi="Arial"/>
          <w:sz w:val="16"/>
          <w:szCs w:val="16"/>
          <w:color w:val="29292B"/>
        </w:rPr>
        <w:t>“Award Agreement” means any agreement, contract, or other instrument or document in a form specified by the Committee evidencing an Award, which may be written or electronic form as determined by the Committee.</w:t>
      </w:r>
    </w:p>
    <w:p>
      <w:pPr>
        <w:spacing w:after="0" w:line="88" w:lineRule="exact"/>
        <w:rPr>
          <w:rFonts w:ascii="Arial" w:cs="Arial" w:eastAsia="Arial" w:hAnsi="Arial"/>
          <w:sz w:val="16"/>
          <w:szCs w:val="16"/>
          <w:color w:val="29292B"/>
        </w:rPr>
      </w:pPr>
    </w:p>
    <w:p>
      <w:pPr>
        <w:ind w:left="500" w:right="120" w:hanging="492"/>
        <w:spacing w:after="0" w:line="312" w:lineRule="auto"/>
        <w:tabs>
          <w:tab w:leader="none" w:pos="495" w:val="left"/>
        </w:tabs>
        <w:numPr>
          <w:ilvl w:val="0"/>
          <w:numId w:val="81"/>
        </w:numPr>
        <w:rPr>
          <w:rFonts w:ascii="Arial" w:cs="Arial" w:eastAsia="Arial" w:hAnsi="Arial"/>
          <w:sz w:val="16"/>
          <w:szCs w:val="16"/>
          <w:color w:val="29292B"/>
        </w:rPr>
      </w:pPr>
      <w:r>
        <w:rPr>
          <w:rFonts w:ascii="Arial" w:cs="Arial" w:eastAsia="Arial" w:hAnsi="Arial"/>
          <w:sz w:val="16"/>
          <w:szCs w:val="16"/>
          <w:color w:val="29292B"/>
        </w:rPr>
        <w:t>“Beneficiary” means the Person, Persons, trust, or trusts which have been designated by an Eligible Person in his or her most recent written beneficiary designation filed with the Company to receive the benefits specified under this Plan upon the death of the Eligible Person or, if there is no designated Beneficiary or surviving designated Beneficiary, then the Person, Persons, trust, or trusts entitled by will or the laws of descent and distribution to receive such benefits.</w:t>
      </w:r>
    </w:p>
    <w:p>
      <w:pPr>
        <w:spacing w:after="0" w:line="82" w:lineRule="exact"/>
        <w:rPr>
          <w:rFonts w:ascii="Arial" w:cs="Arial" w:eastAsia="Arial" w:hAnsi="Arial"/>
          <w:sz w:val="16"/>
          <w:szCs w:val="16"/>
          <w:color w:val="29292B"/>
        </w:rPr>
      </w:pPr>
    </w:p>
    <w:p>
      <w:pPr>
        <w:ind w:left="500" w:right="60" w:hanging="492"/>
        <w:spacing w:after="0" w:line="319" w:lineRule="auto"/>
        <w:tabs>
          <w:tab w:leader="none" w:pos="509" w:val="left"/>
        </w:tabs>
        <w:numPr>
          <w:ilvl w:val="0"/>
          <w:numId w:val="81"/>
        </w:numPr>
        <w:rPr>
          <w:rFonts w:ascii="Arial" w:cs="Arial" w:eastAsia="Arial" w:hAnsi="Arial"/>
          <w:sz w:val="16"/>
          <w:szCs w:val="16"/>
          <w:color w:val="29292B"/>
        </w:rPr>
      </w:pPr>
      <w:r>
        <w:rPr>
          <w:rFonts w:ascii="Arial" w:cs="Arial" w:eastAsia="Arial" w:hAnsi="Arial"/>
          <w:sz w:val="16"/>
          <w:szCs w:val="16"/>
          <w:color w:val="29292B"/>
        </w:rPr>
        <w:t>“Benefit Arrangement” means any formal or informal plan or other arrangement for the direct or indirect provision of compensation to a Participant (including groups or classes of Participants or beneficiaries of which the Participant is a member), whether or not such compensation is deferred, is in cash, or is in the form of a benefit to or for the Participant.</w:t>
      </w:r>
    </w:p>
    <w:p>
      <w:pPr>
        <w:spacing w:after="0" w:line="89" w:lineRule="exact"/>
        <w:rPr>
          <w:rFonts w:ascii="Arial" w:cs="Arial" w:eastAsia="Arial" w:hAnsi="Arial"/>
          <w:sz w:val="16"/>
          <w:szCs w:val="16"/>
          <w:color w:val="29292B"/>
        </w:rPr>
      </w:pPr>
    </w:p>
    <w:p>
      <w:pPr>
        <w:ind w:left="480" w:hanging="472"/>
        <w:spacing w:after="0"/>
        <w:tabs>
          <w:tab w:leader="none" w:pos="480" w:val="left"/>
        </w:tabs>
        <w:numPr>
          <w:ilvl w:val="0"/>
          <w:numId w:val="81"/>
        </w:numPr>
        <w:rPr>
          <w:rFonts w:ascii="Arial" w:cs="Arial" w:eastAsia="Arial" w:hAnsi="Arial"/>
          <w:sz w:val="16"/>
          <w:szCs w:val="16"/>
          <w:color w:val="29292B"/>
        </w:rPr>
      </w:pPr>
      <w:r>
        <w:rPr>
          <w:rFonts w:ascii="Arial" w:cs="Arial" w:eastAsia="Arial" w:hAnsi="Arial"/>
          <w:sz w:val="16"/>
          <w:szCs w:val="16"/>
          <w:color w:val="29292B"/>
        </w:rPr>
        <w:t>“Board” means the Board of Directors of the Company.</w:t>
      </w:r>
    </w:p>
    <w:p>
      <w:pPr>
        <w:spacing w:after="0" w:line="180" w:lineRule="exact"/>
        <w:rPr>
          <w:rFonts w:ascii="Arial" w:cs="Arial" w:eastAsia="Arial" w:hAnsi="Arial"/>
          <w:sz w:val="16"/>
          <w:szCs w:val="16"/>
          <w:color w:val="29292B"/>
        </w:rPr>
      </w:pPr>
    </w:p>
    <w:p>
      <w:pPr>
        <w:ind w:left="500" w:hanging="492"/>
        <w:spacing w:after="0" w:line="298" w:lineRule="auto"/>
        <w:tabs>
          <w:tab w:leader="none" w:pos="509" w:val="left"/>
        </w:tabs>
        <w:numPr>
          <w:ilvl w:val="0"/>
          <w:numId w:val="81"/>
        </w:numPr>
        <w:rPr>
          <w:rFonts w:ascii="Arial" w:cs="Arial" w:eastAsia="Arial" w:hAnsi="Arial"/>
          <w:sz w:val="16"/>
          <w:szCs w:val="16"/>
          <w:color w:val="29292B"/>
        </w:rPr>
      </w:pPr>
      <w:r>
        <w:rPr>
          <w:rFonts w:ascii="Arial" w:cs="Arial" w:eastAsia="Arial" w:hAnsi="Arial"/>
          <w:sz w:val="16"/>
          <w:szCs w:val="16"/>
          <w:color w:val="29292B"/>
        </w:rPr>
        <w:t>“Cause” shall have the equivalent meaning or the same meaning as “cause” or “for cause” set forth in any employment, consulting, or other agreement for the performance of services between a Participant and the Company or an Affiliate or, in the absence of any such agreement or any such definition in such agreement, such term shall mean (i) a Participant’s conviction of or indictment for any crime (whether or not involving the Company or any Affiliate) (A) constituting a felony or (B) that has, or could reasonably be expected to result in, an adverse impact on the performance of the Participant’s duties to the Company or any Affiliate, or otherwise has, or could reasonably be expected to result in, an adverse impact on the business or reputation of the Company or any Affiliate; (ii) conduct of a Participant, in connection with Participant’s employment or service, that has, or could reasonably be expected to result in, material injury to the business or reputation of the Company or any Affiliate; (iii) willful neglect in the performance of a Participant’s duties for the Company or any Affiliate or willful or repeated failure or refusal to perform such duties; (iv) acts of willful misconduct on the part of a Participant in the course Participant’s employment or service that has, or could be reasonably expected to result in, material injury to the reputation or business of the Company or any Affiliate; (v) a Participant’s violation of any of the Company’s policies, including, but not limited to, policies regarding sexual harassment, insider trading, confidentiality, non-disclosure, non-competition, non-</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540" w:type="dxa"/>
            <w:vAlign w:val="bottom"/>
          </w:tcPr>
          <w:p>
            <w:pPr>
              <w:jc w:val="right"/>
              <w:ind w:right="2179"/>
              <w:spacing w:after="0"/>
              <w:rPr>
                <w:sz w:val="20"/>
                <w:szCs w:val="20"/>
                <w:color w:val="auto"/>
              </w:rPr>
            </w:pPr>
            <w:r>
              <w:rPr>
                <w:rFonts w:ascii="Arial" w:cs="Arial" w:eastAsia="Arial" w:hAnsi="Arial"/>
                <w:sz w:val="16"/>
                <w:szCs w:val="16"/>
                <w:b w:val="1"/>
                <w:bCs w:val="1"/>
                <w:color w:val="032E5C"/>
                <w:w w:val="97"/>
              </w:rPr>
              <w:t>100</w:t>
            </w:r>
          </w:p>
        </w:tc>
        <w:tc>
          <w:tcPr>
            <w:tcW w:w="3860" w:type="dxa"/>
            <w:vAlign w:val="bottom"/>
            <w:vMerge w:val="restart"/>
          </w:tcPr>
          <w:p>
            <w:pPr>
              <w:ind w:left="224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05" w:name="page106"/>
    <w:bookmarkEnd w:id="105"/>
    <w:tbl>
      <w:tblPr>
        <w:tblLayout w:type="fixed"/>
        <w:tblInd w:w="20"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Arial" w:cs="Arial" w:eastAsia="Arial" w:hAnsi="Arial"/>
                <w:sz w:val="14"/>
                <w:szCs w:val="14"/>
                <w:color w:val="032E5C"/>
              </w:rPr>
              <w:t>Table of Contents</w:t>
            </w:r>
          </w:p>
        </w:tc>
        <w:tc>
          <w:tcPr>
            <w:tcW w:w="5300" w:type="dxa"/>
            <w:vAlign w:val="bottom"/>
            <w:vMerge w:val="restart"/>
          </w:tcPr>
          <w:p>
            <w:pPr>
              <w:ind w:left="4540"/>
              <w:spacing w:after="0"/>
              <w:rPr>
                <w:sz w:val="20"/>
                <w:szCs w:val="20"/>
                <w:color w:val="auto"/>
              </w:rPr>
            </w:pPr>
            <w:r>
              <w:rPr>
                <w:rFonts w:ascii="Arial" w:cs="Arial" w:eastAsia="Arial" w:hAnsi="Arial"/>
                <w:sz w:val="13"/>
                <w:szCs w:val="13"/>
                <w:b w:val="1"/>
                <w:bCs w:val="1"/>
                <w:color w:val="032E5C"/>
                <w:w w:val="93"/>
              </w:rPr>
              <w:t>APPENDIX B</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6525895</wp:posOffset>
            </wp:positionH>
            <wp:positionV relativeFrom="page">
              <wp:posOffset>106045</wp:posOffset>
            </wp:positionV>
            <wp:extent cx="814705" cy="2400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1470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00" w:right="40"/>
        <w:spacing w:after="0" w:line="301" w:lineRule="auto"/>
        <w:rPr>
          <w:sz w:val="20"/>
          <w:szCs w:val="20"/>
          <w:color w:val="auto"/>
        </w:rPr>
      </w:pPr>
      <w:r>
        <w:rPr>
          <w:rFonts w:ascii="Arial" w:cs="Arial" w:eastAsia="Arial" w:hAnsi="Arial"/>
          <w:sz w:val="16"/>
          <w:szCs w:val="16"/>
          <w:color w:val="29292B"/>
        </w:rPr>
        <w:t>disparagement, substance abuse, and conflicts of interest and any other written policy of the Company, which breach is not susceptible to cure or that is not cured within 30 days after the Participant is given written notice of such breach by the Company; or (vi) a Participant’s breach of any material provision of any employment or service agreement that has, or could be reasonably expected to result in, material injury to the reputation or business of the Company or any Affiliate, which breach is not susceptible to cure or that is not cured within 30 days after the Participant is given written notice of such breach by the Company; provided, however, that if, subsequent to a Participant’s Date of Termination, it is discovered that the Participant’s employment or service could have been terminated for Cause, upon determination by the Committee, such Participant’s employment or service shall be deemed to have been terminated for Cause for all purposes under the Plan. In the event there is an effective Award Agreement or an employment or service agreement with the Participant defining Cause, “Cause” shall have the meaning provided in such agreement and a termination of employment or service by the Company or any Affiliate for Cause hereunder shall not be deemed to have occurred unless all applicable notice and cure periods in such Award Agreement or employment or service agreement are complied with.</w:t>
      </w:r>
    </w:p>
    <w:p>
      <w:pPr>
        <w:spacing w:after="0" w:line="96" w:lineRule="exact"/>
        <w:rPr>
          <w:sz w:val="20"/>
          <w:szCs w:val="20"/>
          <w:color w:val="auto"/>
        </w:rPr>
      </w:pPr>
    </w:p>
    <w:p>
      <w:pPr>
        <w:ind w:left="480" w:hanging="472"/>
        <w:spacing w:after="0"/>
        <w:tabs>
          <w:tab w:leader="none" w:pos="480" w:val="left"/>
        </w:tabs>
        <w:numPr>
          <w:ilvl w:val="0"/>
          <w:numId w:val="82"/>
        </w:numPr>
        <w:rPr>
          <w:rFonts w:ascii="Arial" w:cs="Arial" w:eastAsia="Arial" w:hAnsi="Arial"/>
          <w:sz w:val="16"/>
          <w:szCs w:val="16"/>
          <w:color w:val="29292B"/>
        </w:rPr>
      </w:pPr>
      <w:r>
        <w:rPr>
          <w:rFonts w:ascii="Arial" w:cs="Arial" w:eastAsia="Arial" w:hAnsi="Arial"/>
          <w:sz w:val="16"/>
          <w:szCs w:val="16"/>
          <w:color w:val="29292B"/>
        </w:rPr>
        <w:t>“Change in Control” means an event or series of events by which:</w:t>
      </w:r>
    </w:p>
    <w:p>
      <w:pPr>
        <w:spacing w:after="0" w:line="180" w:lineRule="exact"/>
        <w:rPr>
          <w:rFonts w:ascii="Arial" w:cs="Arial" w:eastAsia="Arial" w:hAnsi="Arial"/>
          <w:sz w:val="16"/>
          <w:szCs w:val="16"/>
          <w:color w:val="29292B"/>
        </w:rPr>
      </w:pPr>
    </w:p>
    <w:p>
      <w:pPr>
        <w:ind w:left="980" w:right="160" w:hanging="486"/>
        <w:spacing w:after="0" w:line="303" w:lineRule="auto"/>
        <w:tabs>
          <w:tab w:leader="none" w:pos="975" w:val="left"/>
        </w:tabs>
        <w:numPr>
          <w:ilvl w:val="1"/>
          <w:numId w:val="82"/>
        </w:numPr>
        <w:rPr>
          <w:rFonts w:ascii="Arial" w:cs="Arial" w:eastAsia="Arial" w:hAnsi="Arial"/>
          <w:sz w:val="16"/>
          <w:szCs w:val="16"/>
          <w:color w:val="29292B"/>
        </w:rPr>
      </w:pPr>
      <w:r>
        <w:rPr>
          <w:rFonts w:ascii="Arial" w:cs="Arial" w:eastAsia="Arial" w:hAnsi="Arial"/>
          <w:sz w:val="16"/>
          <w:szCs w:val="16"/>
          <w:color w:val="29292B"/>
        </w:rPr>
        <w:t>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 13d-5 under the Exchange Act), directly or indirectly, of 35% or more of the equity securities of the Company entitled to vote for members of the Board or equivalent governing body of the Company on a fully-diluted basis, except for any Person who becomes the beneficial owner in connection with a merger or consolidation of the Company, with any other corporation immediately following which the individuals who comprise the Board immediately prior thereto, constitute at least a majority of the Board or the surviving entity; or</w:t>
      </w:r>
    </w:p>
    <w:p>
      <w:pPr>
        <w:spacing w:after="0" w:line="102" w:lineRule="exact"/>
        <w:rPr>
          <w:rFonts w:ascii="Arial" w:cs="Arial" w:eastAsia="Arial" w:hAnsi="Arial"/>
          <w:sz w:val="16"/>
          <w:szCs w:val="16"/>
          <w:color w:val="29292B"/>
        </w:rPr>
      </w:pPr>
    </w:p>
    <w:p>
      <w:pPr>
        <w:ind w:left="980" w:right="40" w:hanging="486"/>
        <w:spacing w:after="0" w:line="299" w:lineRule="auto"/>
        <w:tabs>
          <w:tab w:leader="none" w:pos="971" w:val="left"/>
        </w:tabs>
        <w:numPr>
          <w:ilvl w:val="1"/>
          <w:numId w:val="82"/>
        </w:numPr>
        <w:rPr>
          <w:rFonts w:ascii="Arial" w:cs="Arial" w:eastAsia="Arial" w:hAnsi="Arial"/>
          <w:sz w:val="16"/>
          <w:szCs w:val="16"/>
          <w:color w:val="29292B"/>
        </w:rPr>
      </w:pPr>
      <w:r>
        <w:rPr>
          <w:rFonts w:ascii="Arial" w:cs="Arial" w:eastAsia="Arial" w:hAnsi="Arial"/>
          <w:sz w:val="16"/>
          <w:szCs w:val="16"/>
          <w:color w:val="29292B"/>
        </w:rPr>
        <w:t>during any period of 12 consecutive months, a majority of the members of the Board or other equivalent governing body of the Company cease to be composed of individuals (A) who were members of that Board or equivalent governing body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 (excluding, in the case of both clause (B) and clause (C),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or</w:t>
      </w:r>
    </w:p>
    <w:p>
      <w:pPr>
        <w:spacing w:after="0" w:line="110" w:lineRule="exact"/>
        <w:rPr>
          <w:rFonts w:ascii="Arial" w:cs="Arial" w:eastAsia="Arial" w:hAnsi="Arial"/>
          <w:sz w:val="16"/>
          <w:szCs w:val="16"/>
          <w:color w:val="29292B"/>
        </w:rPr>
      </w:pPr>
    </w:p>
    <w:p>
      <w:pPr>
        <w:ind w:left="980" w:right="360" w:hanging="486"/>
        <w:spacing w:after="0" w:line="306" w:lineRule="auto"/>
        <w:tabs>
          <w:tab w:leader="none" w:pos="966" w:val="left"/>
        </w:tabs>
        <w:numPr>
          <w:ilvl w:val="1"/>
          <w:numId w:val="82"/>
        </w:numPr>
        <w:rPr>
          <w:rFonts w:ascii="Arial" w:cs="Arial" w:eastAsia="Arial" w:hAnsi="Arial"/>
          <w:sz w:val="16"/>
          <w:szCs w:val="16"/>
          <w:color w:val="29292B"/>
        </w:rPr>
      </w:pPr>
      <w:r>
        <w:rPr>
          <w:rFonts w:ascii="Arial" w:cs="Arial" w:eastAsia="Arial" w:hAnsi="Arial"/>
          <w:sz w:val="16"/>
          <w:szCs w:val="16"/>
          <w:color w:val="29292B"/>
        </w:rPr>
        <w:t>any person or two or more persons acting in concert shall have acquired,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w:t>
      </w:r>
    </w:p>
    <w:p>
      <w:pPr>
        <w:spacing w:after="0" w:line="101" w:lineRule="exact"/>
        <w:rPr>
          <w:rFonts w:ascii="Arial" w:cs="Arial" w:eastAsia="Arial" w:hAnsi="Arial"/>
          <w:sz w:val="16"/>
          <w:szCs w:val="16"/>
          <w:color w:val="29292B"/>
        </w:rPr>
      </w:pPr>
    </w:p>
    <w:p>
      <w:pPr>
        <w:ind w:left="980" w:right="80" w:hanging="486"/>
        <w:spacing w:after="0" w:line="302" w:lineRule="auto"/>
        <w:tabs>
          <w:tab w:leader="none" w:pos="975" w:val="left"/>
        </w:tabs>
        <w:numPr>
          <w:ilvl w:val="1"/>
          <w:numId w:val="82"/>
        </w:numPr>
        <w:rPr>
          <w:rFonts w:ascii="Arial" w:cs="Arial" w:eastAsia="Arial" w:hAnsi="Arial"/>
          <w:sz w:val="16"/>
          <w:szCs w:val="16"/>
          <w:color w:val="29292B"/>
        </w:rPr>
      </w:pPr>
      <w:r>
        <w:rPr>
          <w:rFonts w:ascii="Arial" w:cs="Arial" w:eastAsia="Arial" w:hAnsi="Arial"/>
          <w:sz w:val="16"/>
          <w:szCs w:val="16"/>
          <w:color w:val="29292B"/>
        </w:rPr>
        <w:t>the consummation of a merger, reorganization, consolidation, or similar transaction involving the Company; provided, however, a Change in Control shall not be deemed to have occurred (A) if such merger, reorganization, consolidation, or similar transaction would result in all or a portion of the voting securities of the Company outstanding immediately prior thereto continuing to represent (either by remaining outstanding or by being converted into voting securities of the surviving entity) either directly or indirectly more than 50% of the combined voting power of the voting securities of the Company or such surviving entity outstanding immediately after such merger, reorganization, consolidation, or similar transaction, or (B) if following the merger, reorganization, consolidation, or similar transaction, the members of the Board prior to such merger, reorganization, consolidation, or similar transaction constitute at least a majority of the Board of the Company or the entity that directly or indirectly controls the Company after such merger, reorganization, consolidation, or similar transaction; or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032E5C"/>
              </w:rPr>
              <w:t>101</w:t>
            </w:r>
          </w:p>
        </w:tc>
        <w:tc>
          <w:tcPr>
            <w:tcW w:w="0" w:type="dxa"/>
            <w:vAlign w:val="bottom"/>
          </w:tcPr>
          <w:p>
            <w:pPr>
              <w:spacing w:after="0"/>
              <w:rPr>
                <w:sz w:val="1"/>
                <w:szCs w:val="1"/>
                <w:color w:val="auto"/>
              </w:rPr>
            </w:pPr>
          </w:p>
        </w:tc>
      </w:tr>
      <w:tr>
        <w:trPr>
          <w:trHeight w:val="60"/>
        </w:trPr>
        <w:tc>
          <w:tcPr>
            <w:tcW w:w="868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6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0"/>
        </w:trPr>
        <w:tc>
          <w:tcPr>
            <w:tcW w:w="1280" w:type="dxa"/>
            <w:vAlign w:val="bottom"/>
            <w:vMerge w:val="restart"/>
            <w:shd w:val="clear" w:color="auto" w:fill="98BDE2"/>
          </w:tcPr>
          <w:p>
            <w:pPr>
              <w:ind w:left="260"/>
              <w:spacing w:after="0"/>
              <w:rPr>
                <w:sz w:val="20"/>
                <w:szCs w:val="20"/>
                <w:color w:val="auto"/>
              </w:rPr>
            </w:pPr>
            <w:r>
              <w:rPr>
                <w:rFonts w:ascii="Arial" w:cs="Arial" w:eastAsia="Arial" w:hAnsi="Arial"/>
                <w:sz w:val="13"/>
                <w:szCs w:val="13"/>
                <w:b w:val="1"/>
                <w:bCs w:val="1"/>
                <w:color w:val="032E5C"/>
              </w:rPr>
              <w:t>APPENDIX B</w:t>
            </w:r>
          </w:p>
        </w:tc>
        <w:tc>
          <w:tcPr>
            <w:tcW w:w="9940" w:type="dxa"/>
            <w:vAlign w:val="bottom"/>
          </w:tcPr>
          <w:p>
            <w:pPr>
              <w:ind w:left="88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280" w:type="dxa"/>
            <w:vAlign w:val="bottom"/>
            <w:vMerge w:val="continue"/>
            <w:shd w:val="clear" w:color="auto" w:fill="98BDE2"/>
          </w:tcPr>
          <w:p>
            <w:pPr>
              <w:spacing w:after="0"/>
              <w:rPr>
                <w:sz w:val="4"/>
                <w:szCs w:val="4"/>
                <w:color w:val="auto"/>
              </w:rPr>
            </w:pPr>
          </w:p>
        </w:tc>
        <w:tc>
          <w:tcPr>
            <w:tcW w:w="9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280" w:type="dxa"/>
            <w:vAlign w:val="bottom"/>
            <w:shd w:val="clear" w:color="auto" w:fill="98BDE2"/>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right="380" w:hanging="486"/>
        <w:spacing w:after="0" w:line="339" w:lineRule="auto"/>
        <w:tabs>
          <w:tab w:leader="none" w:pos="980" w:val="left"/>
        </w:tabs>
        <w:numPr>
          <w:ilvl w:val="0"/>
          <w:numId w:val="83"/>
        </w:numPr>
        <w:rPr>
          <w:rFonts w:ascii="Arial" w:cs="Arial" w:eastAsia="Arial" w:hAnsi="Arial"/>
          <w:sz w:val="16"/>
          <w:szCs w:val="16"/>
          <w:color w:val="29292B"/>
        </w:rPr>
      </w:pPr>
      <w:r>
        <w:rPr>
          <w:rFonts w:ascii="Arial" w:cs="Arial" w:eastAsia="Arial" w:hAnsi="Arial"/>
          <w:sz w:val="16"/>
          <w:szCs w:val="16"/>
          <w:color w:val="29292B"/>
        </w:rPr>
        <w:t>the Company sells or transfers (other than by mortgage or pledge) all or substantially all of its properties and assets to another “person” or “group” (as such terms are used in Sections 13(d) and 14(d) of the Exchange Act).</w:t>
      </w:r>
    </w:p>
    <w:p>
      <w:pPr>
        <w:spacing w:after="0" w:line="74" w:lineRule="exact"/>
        <w:rPr>
          <w:sz w:val="20"/>
          <w:szCs w:val="20"/>
          <w:color w:val="auto"/>
        </w:rPr>
      </w:pPr>
    </w:p>
    <w:p>
      <w:pPr>
        <w:ind w:left="500" w:right="20"/>
        <w:spacing w:after="0" w:line="339" w:lineRule="auto"/>
        <w:rPr>
          <w:sz w:val="20"/>
          <w:szCs w:val="20"/>
          <w:color w:val="auto"/>
        </w:rPr>
      </w:pPr>
      <w:r>
        <w:rPr>
          <w:rFonts w:ascii="Arial" w:cs="Arial" w:eastAsia="Arial" w:hAnsi="Arial"/>
          <w:sz w:val="16"/>
          <w:szCs w:val="16"/>
          <w:color w:val="29292B"/>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spacing w:after="0" w:line="74" w:lineRule="exact"/>
        <w:rPr>
          <w:sz w:val="20"/>
          <w:szCs w:val="20"/>
          <w:color w:val="auto"/>
        </w:rPr>
      </w:pPr>
    </w:p>
    <w:p>
      <w:pPr>
        <w:ind w:left="500" w:right="540" w:hanging="492"/>
        <w:spacing w:after="0" w:line="321" w:lineRule="auto"/>
        <w:tabs>
          <w:tab w:leader="none" w:pos="495"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“Code” means the Internal Revenue Code of 1986, as amended from time to time. References to any provision of the Code shall be deemed to include successor provisions thereto and regulations or other interpretative guidance thereunder.</w:t>
      </w:r>
    </w:p>
    <w:p>
      <w:pPr>
        <w:spacing w:after="0" w:line="88" w:lineRule="exact"/>
        <w:rPr>
          <w:rFonts w:ascii="Arial" w:cs="Arial" w:eastAsia="Arial" w:hAnsi="Arial"/>
          <w:sz w:val="16"/>
          <w:szCs w:val="16"/>
          <w:color w:val="29292B"/>
        </w:rPr>
      </w:pPr>
    </w:p>
    <w:p>
      <w:pPr>
        <w:ind w:left="500" w:right="60" w:hanging="492"/>
        <w:spacing w:after="0" w:line="303" w:lineRule="auto"/>
        <w:tabs>
          <w:tab w:leader="none" w:pos="495"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“Committee” means the Compensation Committee of the Board or a subcommittee thereof, or such other Board committee (or if the Board so designates, the entire Board) as may be designated by the Board to administer the Plan; provided, however, that, unless otherwise determined by the Board, the Committee shall consist of two or more directors of the Company, each of whom is a “non-employee director” within the meaning of Rule 16b-3 under the Exchange Act, to the extent applicable, and each of whom is an independent director in accordance with the rules of any stock exchange on which the Shares are listed; provided, further, that the mere fact that the Committee shall fail to qualify under each of the foregoing requirements shall not invalidate any Award made by the Committee which Award is otherwise validly made under the Plan.</w:t>
      </w:r>
    </w:p>
    <w:p>
      <w:pPr>
        <w:spacing w:after="0" w:line="104" w:lineRule="exact"/>
        <w:rPr>
          <w:rFonts w:ascii="Arial" w:cs="Arial" w:eastAsia="Arial" w:hAnsi="Arial"/>
          <w:sz w:val="16"/>
          <w:szCs w:val="16"/>
          <w:color w:val="29292B"/>
        </w:rPr>
      </w:pPr>
    </w:p>
    <w:p>
      <w:pPr>
        <w:ind w:left="500" w:hanging="492"/>
        <w:spacing w:after="0"/>
        <w:tabs>
          <w:tab w:leader="none" w:pos="500"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“Company” means Vail Resorts, Inc., a corporation organized under the laws of Delaware, or any successor corporation.</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“Director” means a member of the Board who is not an employee of the Company, a Subsidiary, or an Affiliate.</w:t>
      </w:r>
    </w:p>
    <w:p>
      <w:pPr>
        <w:spacing w:after="0" w:line="180" w:lineRule="exact"/>
        <w:rPr>
          <w:rFonts w:ascii="Arial" w:cs="Arial" w:eastAsia="Arial" w:hAnsi="Arial"/>
          <w:sz w:val="16"/>
          <w:szCs w:val="16"/>
          <w:color w:val="29292B"/>
        </w:rPr>
      </w:pPr>
    </w:p>
    <w:p>
      <w:pPr>
        <w:ind w:left="500" w:right="60" w:hanging="492"/>
        <w:spacing w:after="0" w:line="303" w:lineRule="auto"/>
        <w:tabs>
          <w:tab w:leader="none" w:pos="486"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“Disability” shall mean (i) for Awards that are not subject to Section 409A, “disability” as such term is defined in the long-term disability insurance plan or program of the Company or any Subsidiary then covering the Participant or, in the absence of such a plan or program, as determined by the Committee; provided that, with respect to Awards that are not subject to Section 409A, in the case of any Participant who, as of the date of determination, is a party to an effective employment, severance, consulting, or other services agreement with the Company or any Subsidiary that employs such Participant, “disability” shall have the meaning, if any, specified in such agreement, and (ii) for Awards that are subject to Section 409A, “disability” shall have the meaning set forth in Section 409A(a)(2)(c) of the Code.</w:t>
      </w:r>
    </w:p>
    <w:p>
      <w:pPr>
        <w:spacing w:after="0" w:line="91" w:lineRule="exact"/>
        <w:rPr>
          <w:rFonts w:ascii="Arial" w:cs="Arial" w:eastAsia="Arial" w:hAnsi="Arial"/>
          <w:sz w:val="16"/>
          <w:szCs w:val="16"/>
          <w:color w:val="29292B"/>
        </w:rPr>
      </w:pPr>
    </w:p>
    <w:p>
      <w:pPr>
        <w:ind w:left="480" w:hanging="472"/>
        <w:spacing w:after="0"/>
        <w:tabs>
          <w:tab w:leader="none" w:pos="480"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“Disqualified Individual” shall have the meaning set forth in Section 280G(c) of the Code.</w:t>
      </w:r>
    </w:p>
    <w:p>
      <w:pPr>
        <w:spacing w:after="0" w:line="180" w:lineRule="exact"/>
        <w:rPr>
          <w:rFonts w:ascii="Arial" w:cs="Arial" w:eastAsia="Arial" w:hAnsi="Arial"/>
          <w:sz w:val="16"/>
          <w:szCs w:val="16"/>
          <w:color w:val="29292B"/>
        </w:rPr>
      </w:pPr>
    </w:p>
    <w:p>
      <w:pPr>
        <w:ind w:left="500" w:right="140" w:hanging="492"/>
        <w:spacing w:after="0" w:line="306" w:lineRule="auto"/>
        <w:tabs>
          <w:tab w:leader="none" w:pos="495"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“Dividend Equivalent” means a right, granted under Section 5(g), to receive cash, Shares, or other property equal in value to dividends paid with respect to a specified number of Shares. Dividend Equivalents may be awarded on a free-standing basis or in connection with another Award, and may be paid currently or on a deferred basis; provided, however, that no Dividend Equivalents may be awarded in connection with, or related to, any unvested Awards or Awards of Options or SARs.</w:t>
      </w:r>
    </w:p>
    <w:p>
      <w:pPr>
        <w:spacing w:after="0" w:line="101" w:lineRule="exact"/>
        <w:rPr>
          <w:rFonts w:ascii="Arial" w:cs="Arial" w:eastAsia="Arial" w:hAnsi="Arial"/>
          <w:sz w:val="16"/>
          <w:szCs w:val="16"/>
          <w:color w:val="29292B"/>
        </w:rPr>
      </w:pPr>
    </w:p>
    <w:p>
      <w:pPr>
        <w:ind w:left="500" w:right="320" w:hanging="492"/>
        <w:spacing w:after="0" w:line="312" w:lineRule="auto"/>
        <w:tabs>
          <w:tab w:leader="none" w:pos="495"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"EBITDA" means earnings before interest, taxes, depreciation, and amortization, determined before (i) the payment of awards pursuant to the Company’s 2015 Omnibus Incentive Plan, Amended and Restated 2002 Long-Term Incentive and Share Award Plan, or the Plan (but after the payment of other management compensation), (ii) the impact of the lower of cost or market adjustments, and (iii) any gains (losses) on the sale of property, plant, and equipment, in each case, as determined by the Board or the Committee in good faith.</w:t>
      </w:r>
    </w:p>
    <w:p>
      <w:pPr>
        <w:spacing w:after="0" w:line="82" w:lineRule="exact"/>
        <w:rPr>
          <w:rFonts w:ascii="Arial" w:cs="Arial" w:eastAsia="Arial" w:hAnsi="Arial"/>
          <w:sz w:val="16"/>
          <w:szCs w:val="16"/>
          <w:color w:val="29292B"/>
        </w:rPr>
      </w:pPr>
    </w:p>
    <w:p>
      <w:pPr>
        <w:ind w:left="480" w:hanging="472"/>
        <w:spacing w:after="0"/>
        <w:tabs>
          <w:tab w:leader="none" w:pos="480"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“Effective Date” means December 5, 2024, the date the Plan was approved by stockholders of the Company.</w:t>
      </w:r>
    </w:p>
    <w:p>
      <w:pPr>
        <w:spacing w:after="0" w:line="180" w:lineRule="exact"/>
        <w:rPr>
          <w:rFonts w:ascii="Arial" w:cs="Arial" w:eastAsia="Arial" w:hAnsi="Arial"/>
          <w:sz w:val="16"/>
          <w:szCs w:val="16"/>
          <w:color w:val="29292B"/>
        </w:rPr>
      </w:pPr>
    </w:p>
    <w:p>
      <w:pPr>
        <w:ind w:left="500" w:right="240" w:hanging="492"/>
        <w:spacing w:after="0" w:line="304" w:lineRule="auto"/>
        <w:tabs>
          <w:tab w:leader="none" w:pos="500"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“Eligible Person” means (i) an employee or consultant, including any former employee serving as a consultant, of the Company, a Subsidiary, or an Affiliate, including any director who is an employee, or (ii) a Director. Notwithstanding any provisions of this Plan to the contrary, an Award may be granted to an employee or consultant, in connection with his or her hiring or retention prior to the date the employee or consultant first performs services for the Company, a Subsidiary, or an Affiliate; provided, however, that any such Award shall not become vested prior to the date the employee or consultant first performs such services.</w:t>
      </w:r>
    </w:p>
    <w:p>
      <w:pPr>
        <w:spacing w:after="0" w:line="103" w:lineRule="exact"/>
        <w:rPr>
          <w:rFonts w:ascii="Arial" w:cs="Arial" w:eastAsia="Arial" w:hAnsi="Arial"/>
          <w:sz w:val="16"/>
          <w:szCs w:val="16"/>
          <w:color w:val="29292B"/>
        </w:rPr>
      </w:pPr>
    </w:p>
    <w:p>
      <w:pPr>
        <w:ind w:left="500" w:hanging="492"/>
        <w:spacing w:after="0" w:line="339" w:lineRule="auto"/>
        <w:tabs>
          <w:tab w:leader="none" w:pos="513" w:val="left"/>
        </w:tabs>
        <w:numPr>
          <w:ilvl w:val="0"/>
          <w:numId w:val="84"/>
        </w:numPr>
        <w:rPr>
          <w:rFonts w:ascii="Arial" w:cs="Arial" w:eastAsia="Arial" w:hAnsi="Arial"/>
          <w:sz w:val="16"/>
          <w:szCs w:val="16"/>
          <w:color w:val="29292B"/>
        </w:rPr>
      </w:pPr>
      <w:r>
        <w:rPr>
          <w:rFonts w:ascii="Arial" w:cs="Arial" w:eastAsia="Arial" w:hAnsi="Arial"/>
          <w:sz w:val="16"/>
          <w:szCs w:val="16"/>
          <w:color w:val="29292B"/>
        </w:rPr>
        <w:t>“Exchange Act” means the Securities Exchange Act of 1934, as amended from time to time. References to any provision of the Exchange Act shall be deemed to include successor provisions thereto and rules and regulations thereunder.</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540" w:type="dxa"/>
            <w:vAlign w:val="bottom"/>
          </w:tcPr>
          <w:p>
            <w:pPr>
              <w:jc w:val="right"/>
              <w:ind w:right="2179"/>
              <w:spacing w:after="0"/>
              <w:rPr>
                <w:sz w:val="20"/>
                <w:szCs w:val="20"/>
                <w:color w:val="auto"/>
              </w:rPr>
            </w:pPr>
            <w:r>
              <w:rPr>
                <w:rFonts w:ascii="Arial" w:cs="Arial" w:eastAsia="Arial" w:hAnsi="Arial"/>
                <w:sz w:val="16"/>
                <w:szCs w:val="16"/>
                <w:b w:val="1"/>
                <w:bCs w:val="1"/>
                <w:color w:val="032E5C"/>
                <w:w w:val="97"/>
              </w:rPr>
              <w:t>102</w:t>
            </w:r>
          </w:p>
        </w:tc>
        <w:tc>
          <w:tcPr>
            <w:tcW w:w="3860" w:type="dxa"/>
            <w:vAlign w:val="bottom"/>
            <w:vMerge w:val="restart"/>
          </w:tcPr>
          <w:p>
            <w:pPr>
              <w:ind w:left="224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7" w:name="page108"/>
    <w:bookmarkEnd w:id="107"/>
    <w:tbl>
      <w:tblPr>
        <w:tblLayout w:type="fixed"/>
        <w:tblInd w:w="20"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Arial" w:cs="Arial" w:eastAsia="Arial" w:hAnsi="Arial"/>
                <w:sz w:val="14"/>
                <w:szCs w:val="14"/>
                <w:color w:val="032E5C"/>
              </w:rPr>
              <w:t>Table of Contents</w:t>
            </w:r>
          </w:p>
        </w:tc>
        <w:tc>
          <w:tcPr>
            <w:tcW w:w="5300" w:type="dxa"/>
            <w:vAlign w:val="bottom"/>
            <w:vMerge w:val="restart"/>
          </w:tcPr>
          <w:p>
            <w:pPr>
              <w:ind w:left="4540"/>
              <w:spacing w:after="0"/>
              <w:rPr>
                <w:sz w:val="20"/>
                <w:szCs w:val="20"/>
                <w:color w:val="auto"/>
              </w:rPr>
            </w:pPr>
            <w:r>
              <w:rPr>
                <w:rFonts w:ascii="Arial" w:cs="Arial" w:eastAsia="Arial" w:hAnsi="Arial"/>
                <w:sz w:val="13"/>
                <w:szCs w:val="13"/>
                <w:b w:val="1"/>
                <w:bCs w:val="1"/>
                <w:color w:val="032E5C"/>
                <w:w w:val="93"/>
              </w:rPr>
              <w:t>APPENDIX B</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6525895</wp:posOffset>
            </wp:positionH>
            <wp:positionV relativeFrom="page">
              <wp:posOffset>106045</wp:posOffset>
            </wp:positionV>
            <wp:extent cx="814705" cy="2400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1470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00" w:right="100" w:hanging="492"/>
        <w:spacing w:after="0" w:line="303" w:lineRule="auto"/>
        <w:tabs>
          <w:tab w:leader="none" w:pos="491" w:val="left"/>
        </w:tabs>
        <w:numPr>
          <w:ilvl w:val="0"/>
          <w:numId w:val="85"/>
        </w:numPr>
        <w:rPr>
          <w:rFonts w:ascii="Arial" w:cs="Arial" w:eastAsia="Arial" w:hAnsi="Arial"/>
          <w:sz w:val="16"/>
          <w:szCs w:val="16"/>
          <w:color w:val="29292B"/>
        </w:rPr>
      </w:pPr>
      <w:r>
        <w:rPr>
          <w:rFonts w:ascii="Arial" w:cs="Arial" w:eastAsia="Arial" w:hAnsi="Arial"/>
          <w:sz w:val="16"/>
          <w:szCs w:val="16"/>
          <w:color w:val="29292B"/>
        </w:rPr>
        <w:t>“Fair Market Value” means, with respect to Shares or other property, the fair market value of such Shares or other property determined by such methods or procedures as shall be established from time to time by the Committee. If the Shares are listed on any established stock exchange or a national market system, unless otherwise determined by the Committee in good faith, the "Fair Market Value of Shares" shall mean the closing price per Share on the date of grant or such other determination date (or, if the Shares were not traded on that day, the next preceding day that the Shares were traded) on the principal exchange or market system on which the Shares are traded (if there is more than one such exchange or market the Committee shall determine the appropriate exchange or market), as such prices are officially quoted on such exchange or market.</w:t>
      </w:r>
    </w:p>
    <w:p>
      <w:pPr>
        <w:spacing w:after="0" w:line="104" w:lineRule="exact"/>
        <w:rPr>
          <w:rFonts w:ascii="Arial" w:cs="Arial" w:eastAsia="Arial" w:hAnsi="Arial"/>
          <w:sz w:val="16"/>
          <w:szCs w:val="16"/>
          <w:color w:val="29292B"/>
        </w:rPr>
      </w:pPr>
    </w:p>
    <w:p>
      <w:pPr>
        <w:ind w:left="480" w:hanging="472"/>
        <w:spacing w:after="0"/>
        <w:tabs>
          <w:tab w:leader="none" w:pos="480" w:val="left"/>
        </w:tabs>
        <w:numPr>
          <w:ilvl w:val="0"/>
          <w:numId w:val="85"/>
        </w:numPr>
        <w:rPr>
          <w:rFonts w:ascii="Arial" w:cs="Arial" w:eastAsia="Arial" w:hAnsi="Arial"/>
          <w:sz w:val="16"/>
          <w:szCs w:val="16"/>
          <w:color w:val="29292B"/>
        </w:rPr>
      </w:pPr>
      <w:r>
        <w:rPr>
          <w:rFonts w:ascii="Arial" w:cs="Arial" w:eastAsia="Arial" w:hAnsi="Arial"/>
          <w:sz w:val="16"/>
          <w:szCs w:val="16"/>
          <w:color w:val="29292B"/>
        </w:rPr>
        <w:t>“GAAP” means generally accepted accounting principles in the United States of America in effect from time to time.</w:t>
      </w:r>
    </w:p>
    <w:p>
      <w:pPr>
        <w:spacing w:after="0" w:line="180" w:lineRule="exact"/>
        <w:rPr>
          <w:rFonts w:ascii="Arial" w:cs="Arial" w:eastAsia="Arial" w:hAnsi="Arial"/>
          <w:sz w:val="16"/>
          <w:szCs w:val="16"/>
          <w:color w:val="29292B"/>
        </w:rPr>
      </w:pPr>
    </w:p>
    <w:p>
      <w:pPr>
        <w:ind w:left="500" w:hanging="492"/>
        <w:spacing w:after="0"/>
        <w:tabs>
          <w:tab w:leader="none" w:pos="500" w:val="left"/>
        </w:tabs>
        <w:numPr>
          <w:ilvl w:val="0"/>
          <w:numId w:val="85"/>
        </w:numPr>
        <w:rPr>
          <w:rFonts w:ascii="Arial" w:cs="Arial" w:eastAsia="Arial" w:hAnsi="Arial"/>
          <w:sz w:val="16"/>
          <w:szCs w:val="16"/>
          <w:color w:val="29292B"/>
        </w:rPr>
      </w:pPr>
      <w:r>
        <w:rPr>
          <w:rFonts w:ascii="Arial" w:cs="Arial" w:eastAsia="Arial" w:hAnsi="Arial"/>
          <w:sz w:val="16"/>
          <w:szCs w:val="16"/>
          <w:color w:val="29292B"/>
        </w:rPr>
        <w:t>“ISO” means any option intended to be and designated as an incentive stock option within the meaning of Section 422 of the Code.</w:t>
      </w:r>
    </w:p>
    <w:p>
      <w:pPr>
        <w:spacing w:after="0" w:line="180" w:lineRule="exact"/>
        <w:rPr>
          <w:rFonts w:ascii="Arial" w:cs="Arial" w:eastAsia="Arial" w:hAnsi="Arial"/>
          <w:sz w:val="16"/>
          <w:szCs w:val="16"/>
          <w:color w:val="29292B"/>
        </w:rPr>
      </w:pPr>
    </w:p>
    <w:p>
      <w:pPr>
        <w:ind w:left="500" w:right="60" w:hanging="492"/>
        <w:spacing w:after="0" w:line="306" w:lineRule="auto"/>
        <w:tabs>
          <w:tab w:leader="none" w:pos="495" w:val="left"/>
        </w:tabs>
        <w:numPr>
          <w:ilvl w:val="0"/>
          <w:numId w:val="85"/>
        </w:numPr>
        <w:rPr>
          <w:rFonts w:ascii="Arial" w:cs="Arial" w:eastAsia="Arial" w:hAnsi="Arial"/>
          <w:sz w:val="16"/>
          <w:szCs w:val="16"/>
          <w:color w:val="29292B"/>
        </w:rPr>
      </w:pPr>
      <w:r>
        <w:rPr>
          <w:rFonts w:ascii="Arial" w:cs="Arial" w:eastAsia="Arial" w:hAnsi="Arial"/>
          <w:sz w:val="16"/>
          <w:szCs w:val="16"/>
          <w:color w:val="29292B"/>
        </w:rPr>
        <w:t>“Net Debt” means an amount equal to the sum of (i) all indebtedness of the Company for borrowed money then outstanding, including (A) the face value of any bonds, notes, debentures, or similar instruments, and (B) any amounts outstanding under or drawn on credit facilities or other borrowing-based facilities, plus (ii) any capital lease obligations of the Company, minus (iii) cash and cash equivalents, in all cases determined by the Board or the Committee in good faith.</w:t>
      </w:r>
    </w:p>
    <w:p>
      <w:pPr>
        <w:spacing w:after="0" w:line="101" w:lineRule="exact"/>
        <w:rPr>
          <w:rFonts w:ascii="Arial" w:cs="Arial" w:eastAsia="Arial" w:hAnsi="Arial"/>
          <w:sz w:val="16"/>
          <w:szCs w:val="16"/>
          <w:color w:val="29292B"/>
        </w:rPr>
      </w:pPr>
    </w:p>
    <w:p>
      <w:pPr>
        <w:ind w:left="500" w:hanging="492"/>
        <w:spacing w:after="0"/>
        <w:tabs>
          <w:tab w:leader="none" w:pos="500" w:val="left"/>
        </w:tabs>
        <w:numPr>
          <w:ilvl w:val="0"/>
          <w:numId w:val="85"/>
        </w:numPr>
        <w:rPr>
          <w:rFonts w:ascii="Arial" w:cs="Arial" w:eastAsia="Arial" w:hAnsi="Arial"/>
          <w:sz w:val="16"/>
          <w:szCs w:val="16"/>
          <w:color w:val="29292B"/>
        </w:rPr>
      </w:pPr>
      <w:r>
        <w:rPr>
          <w:rFonts w:ascii="Arial" w:cs="Arial" w:eastAsia="Arial" w:hAnsi="Arial"/>
          <w:sz w:val="16"/>
          <w:szCs w:val="16"/>
          <w:color w:val="29292B"/>
        </w:rPr>
        <w:t>“NQSO” means any Option that is not an ISO.</w:t>
      </w:r>
    </w:p>
    <w:p>
      <w:pPr>
        <w:spacing w:after="0" w:line="180" w:lineRule="exact"/>
        <w:rPr>
          <w:rFonts w:ascii="Arial" w:cs="Arial" w:eastAsia="Arial" w:hAnsi="Arial"/>
          <w:sz w:val="16"/>
          <w:szCs w:val="16"/>
          <w:color w:val="29292B"/>
        </w:rPr>
      </w:pPr>
    </w:p>
    <w:p>
      <w:pPr>
        <w:ind w:left="500" w:hanging="492"/>
        <w:spacing w:after="0"/>
        <w:tabs>
          <w:tab w:leader="none" w:pos="500" w:val="left"/>
        </w:tabs>
        <w:numPr>
          <w:ilvl w:val="0"/>
          <w:numId w:val="85"/>
        </w:numPr>
        <w:rPr>
          <w:rFonts w:ascii="Arial" w:cs="Arial" w:eastAsia="Arial" w:hAnsi="Arial"/>
          <w:sz w:val="16"/>
          <w:szCs w:val="16"/>
          <w:color w:val="29292B"/>
        </w:rPr>
      </w:pPr>
      <w:r>
        <w:rPr>
          <w:rFonts w:ascii="Arial" w:cs="Arial" w:eastAsia="Arial" w:hAnsi="Arial"/>
          <w:sz w:val="16"/>
          <w:szCs w:val="16"/>
          <w:color w:val="29292B"/>
        </w:rPr>
        <w:t>“Option” means a right granted under Section 5(b), to purchase Shares.</w:t>
      </w:r>
    </w:p>
    <w:p>
      <w:pPr>
        <w:spacing w:after="0" w:line="180" w:lineRule="exact"/>
        <w:rPr>
          <w:rFonts w:ascii="Arial" w:cs="Arial" w:eastAsia="Arial" w:hAnsi="Arial"/>
          <w:sz w:val="16"/>
          <w:szCs w:val="16"/>
          <w:color w:val="29292B"/>
        </w:rPr>
      </w:pPr>
    </w:p>
    <w:p>
      <w:pPr>
        <w:ind w:left="500" w:right="260" w:hanging="492"/>
        <w:spacing w:after="0" w:line="321" w:lineRule="auto"/>
        <w:tabs>
          <w:tab w:leader="none" w:pos="513" w:val="left"/>
        </w:tabs>
        <w:numPr>
          <w:ilvl w:val="0"/>
          <w:numId w:val="85"/>
        </w:numPr>
        <w:rPr>
          <w:rFonts w:ascii="Arial" w:cs="Arial" w:eastAsia="Arial" w:hAnsi="Arial"/>
          <w:sz w:val="16"/>
          <w:szCs w:val="16"/>
          <w:color w:val="29292B"/>
        </w:rPr>
      </w:pPr>
      <w:r>
        <w:rPr>
          <w:rFonts w:ascii="Arial" w:cs="Arial" w:eastAsia="Arial" w:hAnsi="Arial"/>
          <w:sz w:val="16"/>
          <w:szCs w:val="16"/>
          <w:color w:val="29292B"/>
        </w:rPr>
        <w:t>“Other Agreement” means any agreement, contract, or understanding heretofore or hereafter entered into by a Participant with the Company or an Affiliate, except an agreement, contract, or understanding that expressly addresses Sections 280G and/or 4999 of the Code.</w:t>
      </w:r>
    </w:p>
    <w:p>
      <w:pPr>
        <w:spacing w:after="0" w:line="88"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“Other Share-Based Award” means a right, granted under Section 5(h), that relates to or is valued by reference to Shares.</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“Parachute Payment” means a “parachute payment” within the meaning of Section 280G(b)(2) of the Code.</w:t>
      </w:r>
    </w:p>
    <w:p>
      <w:pPr>
        <w:spacing w:after="0" w:line="180" w:lineRule="exact"/>
        <w:rPr>
          <w:rFonts w:ascii="Arial" w:cs="Arial" w:eastAsia="Arial" w:hAnsi="Arial"/>
          <w:sz w:val="16"/>
          <w:szCs w:val="16"/>
          <w:color w:val="29292B"/>
        </w:rPr>
      </w:pPr>
    </w:p>
    <w:p>
      <w:pPr>
        <w:ind w:left="500" w:hanging="492"/>
        <w:spacing w:after="0"/>
        <w:tabs>
          <w:tab w:leader="none" w:pos="500"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“Participant” means an Eligible Person who has been granted an Award under the Plan.</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“Performance Cash Award” means a performance cash award granted under Section 5(f).</w:t>
      </w:r>
    </w:p>
    <w:p>
      <w:pPr>
        <w:spacing w:after="0" w:line="167" w:lineRule="exact"/>
        <w:rPr>
          <w:rFonts w:ascii="Arial" w:cs="Arial" w:eastAsia="Arial" w:hAnsi="Arial"/>
          <w:sz w:val="16"/>
          <w:szCs w:val="16"/>
          <w:color w:val="29292B"/>
        </w:rPr>
      </w:pPr>
    </w:p>
    <w:p>
      <w:pPr>
        <w:ind w:left="500" w:hanging="492"/>
        <w:spacing w:after="0"/>
        <w:tabs>
          <w:tab w:leader="none" w:pos="500"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“Performance Share” means a performance share granted under Section 5(f).</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“Performance Unit” means a performance unit granted under Section 5(f).</w:t>
      </w:r>
    </w:p>
    <w:p>
      <w:pPr>
        <w:spacing w:after="0" w:line="180" w:lineRule="exact"/>
        <w:rPr>
          <w:rFonts w:ascii="Arial" w:cs="Arial" w:eastAsia="Arial" w:hAnsi="Arial"/>
          <w:sz w:val="16"/>
          <w:szCs w:val="16"/>
          <w:color w:val="29292B"/>
        </w:rPr>
      </w:pPr>
    </w:p>
    <w:p>
      <w:pPr>
        <w:ind w:left="500" w:right="440" w:hanging="492"/>
        <w:spacing w:after="0" w:line="339" w:lineRule="auto"/>
        <w:tabs>
          <w:tab w:leader="none" w:pos="504"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“Person” means an individual, a corporation, a partnership, a limited liability company, an association, a trust, or any other entity or organization, including a government or political subdivision or an agency or instrumentality thereof.</w:t>
      </w:r>
    </w:p>
    <w:p>
      <w:pPr>
        <w:spacing w:after="0" w:line="60" w:lineRule="exact"/>
        <w:rPr>
          <w:rFonts w:ascii="Arial" w:cs="Arial" w:eastAsia="Arial" w:hAnsi="Arial"/>
          <w:sz w:val="16"/>
          <w:szCs w:val="16"/>
          <w:color w:val="29292B"/>
        </w:rPr>
      </w:pPr>
    </w:p>
    <w:p>
      <w:pPr>
        <w:ind w:left="480" w:hanging="472"/>
        <w:spacing w:after="0"/>
        <w:tabs>
          <w:tab w:leader="none" w:pos="480"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“Plan” means this 2024 Omnibus Incentive Plan, as it may be amended from time to time.</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“Restricted Shares” means an Award of Shares under Section 5(d) that may be subject to certain restrictions and to a risk of forfeiture.</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“Restricted Share Unit” means a right, granted under Section 5(e), to receive Shares or cash at the end of a specified deferral period.</w:t>
      </w:r>
    </w:p>
    <w:p>
      <w:pPr>
        <w:spacing w:after="0" w:line="180" w:lineRule="exact"/>
        <w:rPr>
          <w:rFonts w:ascii="Arial" w:cs="Arial" w:eastAsia="Arial" w:hAnsi="Arial"/>
          <w:sz w:val="16"/>
          <w:szCs w:val="16"/>
          <w:color w:val="29292B"/>
        </w:rPr>
      </w:pPr>
    </w:p>
    <w:p>
      <w:pPr>
        <w:ind w:left="500" w:right="700" w:hanging="492"/>
        <w:spacing w:after="0" w:line="339" w:lineRule="auto"/>
        <w:tabs>
          <w:tab w:leader="none" w:pos="500"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“Rule 16b-3” means Rule 16b-3, as from time to time in effect and applicable to the Plan and Participants, promulgated by the Securities and Exchange Commission under Section 16 of the Exchange Act.</w:t>
      </w:r>
    </w:p>
    <w:p>
      <w:pPr>
        <w:spacing w:after="0" w:line="60" w:lineRule="exact"/>
        <w:rPr>
          <w:rFonts w:ascii="Arial" w:cs="Arial" w:eastAsia="Arial" w:hAnsi="Arial"/>
          <w:sz w:val="16"/>
          <w:szCs w:val="16"/>
          <w:color w:val="29292B"/>
        </w:rPr>
      </w:pPr>
    </w:p>
    <w:p>
      <w:pPr>
        <w:ind w:left="500" w:right="160" w:hanging="492"/>
        <w:spacing w:after="0" w:line="319" w:lineRule="auto"/>
        <w:tabs>
          <w:tab w:leader="none" w:pos="491"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“SAR” means the right, granted under Section 5(c), to be paid an amount measured by the difference between the exercise price of the right and the Fair Market Value of Shares on the date of exercise of the right, with payment to be made in cash, Shares, or property as specified in the Award or determined by the Committee.</w:t>
      </w:r>
    </w:p>
    <w:p>
      <w:pPr>
        <w:spacing w:after="0" w:line="89" w:lineRule="exact"/>
        <w:rPr>
          <w:rFonts w:ascii="Arial" w:cs="Arial" w:eastAsia="Arial" w:hAnsi="Arial"/>
          <w:sz w:val="16"/>
          <w:szCs w:val="16"/>
          <w:color w:val="29292B"/>
        </w:rPr>
      </w:pPr>
    </w:p>
    <w:p>
      <w:pPr>
        <w:ind w:left="500" w:right="380" w:hanging="492"/>
        <w:spacing w:after="0" w:line="339" w:lineRule="auto"/>
        <w:tabs>
          <w:tab w:leader="none" w:pos="473" w:val="left"/>
        </w:tabs>
        <w:numPr>
          <w:ilvl w:val="0"/>
          <w:numId w:val="86"/>
        </w:numPr>
        <w:rPr>
          <w:rFonts w:ascii="Arial" w:cs="Arial" w:eastAsia="Arial" w:hAnsi="Arial"/>
          <w:sz w:val="16"/>
          <w:szCs w:val="16"/>
          <w:color w:val="29292B"/>
        </w:rPr>
      </w:pPr>
      <w:r>
        <w:rPr>
          <w:rFonts w:ascii="Arial" w:cs="Arial" w:eastAsia="Arial" w:hAnsi="Arial"/>
          <w:sz w:val="16"/>
          <w:szCs w:val="16"/>
          <w:color w:val="29292B"/>
        </w:rPr>
        <w:t>“Section 409A” means Section 409A, as it has been and may be amended from time to time, and any proposed or final Treasury Regulations and Internal Revenue Service guidance that has been promulgated or may be promulgated thereunder from time to time.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032E5C"/>
              </w:rPr>
              <w:t>103</w:t>
            </w:r>
          </w:p>
        </w:tc>
        <w:tc>
          <w:tcPr>
            <w:tcW w:w="0" w:type="dxa"/>
            <w:vAlign w:val="bottom"/>
          </w:tcPr>
          <w:p>
            <w:pPr>
              <w:spacing w:after="0"/>
              <w:rPr>
                <w:sz w:val="1"/>
                <w:szCs w:val="1"/>
                <w:color w:val="auto"/>
              </w:rPr>
            </w:pPr>
          </w:p>
        </w:tc>
      </w:tr>
      <w:tr>
        <w:trPr>
          <w:trHeight w:val="59"/>
        </w:trPr>
        <w:tc>
          <w:tcPr>
            <w:tcW w:w="868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6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0"/>
        </w:trPr>
        <w:tc>
          <w:tcPr>
            <w:tcW w:w="1280" w:type="dxa"/>
            <w:vAlign w:val="bottom"/>
            <w:vMerge w:val="restart"/>
            <w:shd w:val="clear" w:color="auto" w:fill="98BDE2"/>
          </w:tcPr>
          <w:p>
            <w:pPr>
              <w:ind w:left="260"/>
              <w:spacing w:after="0"/>
              <w:rPr>
                <w:sz w:val="20"/>
                <w:szCs w:val="20"/>
                <w:color w:val="auto"/>
              </w:rPr>
            </w:pPr>
            <w:r>
              <w:rPr>
                <w:rFonts w:ascii="Arial" w:cs="Arial" w:eastAsia="Arial" w:hAnsi="Arial"/>
                <w:sz w:val="13"/>
                <w:szCs w:val="13"/>
                <w:b w:val="1"/>
                <w:bCs w:val="1"/>
                <w:color w:val="032E5C"/>
              </w:rPr>
              <w:t>APPENDIX B</w:t>
            </w:r>
          </w:p>
        </w:tc>
        <w:tc>
          <w:tcPr>
            <w:tcW w:w="9940" w:type="dxa"/>
            <w:vAlign w:val="bottom"/>
          </w:tcPr>
          <w:p>
            <w:pPr>
              <w:ind w:left="88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280" w:type="dxa"/>
            <w:vAlign w:val="bottom"/>
            <w:vMerge w:val="continue"/>
            <w:shd w:val="clear" w:color="auto" w:fill="98BDE2"/>
          </w:tcPr>
          <w:p>
            <w:pPr>
              <w:spacing w:after="0"/>
              <w:rPr>
                <w:sz w:val="4"/>
                <w:szCs w:val="4"/>
                <w:color w:val="auto"/>
              </w:rPr>
            </w:pPr>
          </w:p>
        </w:tc>
        <w:tc>
          <w:tcPr>
            <w:tcW w:w="9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280" w:type="dxa"/>
            <w:vAlign w:val="bottom"/>
            <w:shd w:val="clear" w:color="auto" w:fill="98BDE2"/>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hanging="472"/>
        <w:spacing w:after="0"/>
        <w:tabs>
          <w:tab w:leader="none" w:pos="480" w:val="left"/>
        </w:tabs>
        <w:numPr>
          <w:ilvl w:val="0"/>
          <w:numId w:val="87"/>
        </w:numPr>
        <w:rPr>
          <w:rFonts w:ascii="Arial" w:cs="Arial" w:eastAsia="Arial" w:hAnsi="Arial"/>
          <w:sz w:val="16"/>
          <w:szCs w:val="16"/>
          <w:color w:val="29292B"/>
        </w:rPr>
      </w:pPr>
      <w:r>
        <w:rPr>
          <w:rFonts w:ascii="Arial" w:cs="Arial" w:eastAsia="Arial" w:hAnsi="Arial"/>
          <w:sz w:val="16"/>
          <w:szCs w:val="16"/>
          <w:color w:val="29292B"/>
        </w:rPr>
        <w:t>“Separation from Service” shall have the meaning set forth in Section 409A.</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87"/>
        </w:numPr>
        <w:rPr>
          <w:rFonts w:ascii="Arial" w:cs="Arial" w:eastAsia="Arial" w:hAnsi="Arial"/>
          <w:sz w:val="16"/>
          <w:szCs w:val="16"/>
          <w:color w:val="29292B"/>
        </w:rPr>
      </w:pPr>
      <w:r>
        <w:rPr>
          <w:rFonts w:ascii="Arial" w:cs="Arial" w:eastAsia="Arial" w:hAnsi="Arial"/>
          <w:sz w:val="16"/>
          <w:szCs w:val="16"/>
          <w:color w:val="29292B"/>
        </w:rPr>
        <w:t>“Shares” means common stock, $.01 par value per share, of the Company.</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87"/>
        </w:numPr>
        <w:rPr>
          <w:rFonts w:ascii="Arial" w:cs="Arial" w:eastAsia="Arial" w:hAnsi="Arial"/>
          <w:sz w:val="16"/>
          <w:szCs w:val="16"/>
          <w:color w:val="29292B"/>
        </w:rPr>
      </w:pPr>
      <w:r>
        <w:rPr>
          <w:rFonts w:ascii="Arial" w:cs="Arial" w:eastAsia="Arial" w:hAnsi="Arial"/>
          <w:sz w:val="16"/>
          <w:szCs w:val="16"/>
          <w:color w:val="29292B"/>
        </w:rPr>
        <w:t>“Short-Term Deferral Period” shall have the meaning set forth in Section 409A.</w:t>
      </w:r>
    </w:p>
    <w:p>
      <w:pPr>
        <w:spacing w:after="0" w:line="180" w:lineRule="exact"/>
        <w:rPr>
          <w:rFonts w:ascii="Arial" w:cs="Arial" w:eastAsia="Arial" w:hAnsi="Arial"/>
          <w:sz w:val="16"/>
          <w:szCs w:val="16"/>
          <w:color w:val="29292B"/>
        </w:rPr>
      </w:pPr>
    </w:p>
    <w:p>
      <w:pPr>
        <w:ind w:left="500" w:right="260" w:hanging="492"/>
        <w:spacing w:after="0" w:line="310" w:lineRule="auto"/>
        <w:tabs>
          <w:tab w:leader="none" w:pos="491" w:val="left"/>
        </w:tabs>
        <w:numPr>
          <w:ilvl w:val="0"/>
          <w:numId w:val="87"/>
        </w:numPr>
        <w:rPr>
          <w:rFonts w:ascii="Arial" w:cs="Arial" w:eastAsia="Arial" w:hAnsi="Arial"/>
          <w:sz w:val="16"/>
          <w:szCs w:val="16"/>
          <w:color w:val="29292B"/>
        </w:rPr>
      </w:pPr>
      <w:r>
        <w:rPr>
          <w:rFonts w:ascii="Arial" w:cs="Arial" w:eastAsia="Arial" w:hAnsi="Arial"/>
          <w:sz w:val="16"/>
          <w:szCs w:val="16"/>
          <w:color w:val="29292B"/>
        </w:rPr>
        <w:t>"Subsidiary” means any corporation (other than the Company) in an unbroken chain of corporations beginning with the Company if each of the corporations (other than the last corporation in the unbroken chain) owns shares possessing 50% or more of the total combined voting power of all classes of stock in one of the other corporations in the chain.</w:t>
      </w:r>
    </w:p>
    <w:p>
      <w:pPr>
        <w:spacing w:after="0" w:line="97" w:lineRule="exact"/>
        <w:rPr>
          <w:rFonts w:ascii="Arial" w:cs="Arial" w:eastAsia="Arial" w:hAnsi="Arial"/>
          <w:sz w:val="16"/>
          <w:szCs w:val="16"/>
          <w:color w:val="29292B"/>
        </w:rPr>
      </w:pPr>
    </w:p>
    <w:p>
      <w:pPr>
        <w:ind w:left="500" w:hanging="492"/>
        <w:spacing w:after="0" w:line="319" w:lineRule="auto"/>
        <w:tabs>
          <w:tab w:leader="none" w:pos="486" w:val="left"/>
        </w:tabs>
        <w:numPr>
          <w:ilvl w:val="0"/>
          <w:numId w:val="87"/>
        </w:numPr>
        <w:rPr>
          <w:rFonts w:ascii="Arial" w:cs="Arial" w:eastAsia="Arial" w:hAnsi="Arial"/>
          <w:sz w:val="16"/>
          <w:szCs w:val="16"/>
          <w:color w:val="29292B"/>
        </w:rPr>
      </w:pPr>
      <w:r>
        <w:rPr>
          <w:rFonts w:ascii="Arial" w:cs="Arial" w:eastAsia="Arial" w:hAnsi="Arial"/>
          <w:sz w:val="16"/>
          <w:szCs w:val="16"/>
          <w:color w:val="29292B"/>
        </w:rPr>
        <w:t>“Ten Percent Shareholder” means a natural Person who owns more than ten percent of the total combined voting power of all classes of stock of the Company, the Company’s parent (if any), or any of the Company’s Subsidiaries. In determining stock ownership, the attribution rules of Section 424(d) of the Code shall be applied.</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3. Administration.</w:t>
      </w:r>
    </w:p>
    <w:p>
      <w:pPr>
        <w:spacing w:after="0" w:line="126" w:lineRule="exact"/>
        <w:rPr>
          <w:sz w:val="20"/>
          <w:szCs w:val="20"/>
          <w:color w:val="auto"/>
        </w:rPr>
      </w:pPr>
    </w:p>
    <w:p>
      <w:pPr>
        <w:ind w:left="500" w:right="560" w:hanging="492"/>
        <w:spacing w:after="0" w:line="339" w:lineRule="auto"/>
        <w:tabs>
          <w:tab w:leader="none" w:pos="509" w:val="left"/>
        </w:tabs>
        <w:numPr>
          <w:ilvl w:val="0"/>
          <w:numId w:val="88"/>
        </w:numPr>
        <w:rPr>
          <w:rFonts w:ascii="Arial" w:cs="Arial" w:eastAsia="Arial" w:hAnsi="Arial"/>
          <w:sz w:val="16"/>
          <w:szCs w:val="16"/>
          <w:color w:val="29292B"/>
        </w:rPr>
      </w:pPr>
      <w:r>
        <w:rPr>
          <w:rFonts w:ascii="Arial" w:cs="Arial" w:eastAsia="Arial" w:hAnsi="Arial"/>
          <w:sz w:val="16"/>
          <w:szCs w:val="16"/>
          <w:i w:val="1"/>
          <w:iCs w:val="1"/>
          <w:color w:val="29292B"/>
        </w:rPr>
        <w:t xml:space="preserve">Authority of the Committee. </w:t>
      </w:r>
      <w:r>
        <w:rPr>
          <w:rFonts w:ascii="Arial" w:cs="Arial" w:eastAsia="Arial" w:hAnsi="Arial"/>
          <w:sz w:val="16"/>
          <w:szCs w:val="16"/>
          <w:color w:val="29292B"/>
        </w:rPr>
        <w:t>The Plan shall be administered by the Committee, and the Committee shall have full and final authority to take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following actions, in each case subject to and consistent with the provisions of the Plan:</w:t>
      </w:r>
    </w:p>
    <w:p>
      <w:pPr>
        <w:spacing w:after="0" w:line="60" w:lineRule="exact"/>
        <w:rPr>
          <w:rFonts w:ascii="Arial" w:cs="Arial" w:eastAsia="Arial" w:hAnsi="Arial"/>
          <w:sz w:val="16"/>
          <w:szCs w:val="16"/>
          <w:color w:val="29292B"/>
        </w:rPr>
      </w:pPr>
    </w:p>
    <w:p>
      <w:pPr>
        <w:ind w:left="980" w:hanging="486"/>
        <w:spacing w:after="0"/>
        <w:tabs>
          <w:tab w:leader="none" w:pos="980"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select Eligible Persons to whom Awards may be granted;</w:t>
      </w:r>
    </w:p>
    <w:p>
      <w:pPr>
        <w:spacing w:after="0" w:line="180" w:lineRule="exact"/>
        <w:rPr>
          <w:rFonts w:ascii="Arial" w:cs="Arial" w:eastAsia="Arial" w:hAnsi="Arial"/>
          <w:sz w:val="16"/>
          <w:szCs w:val="16"/>
          <w:color w:val="29292B"/>
        </w:rPr>
      </w:pPr>
    </w:p>
    <w:p>
      <w:pPr>
        <w:ind w:left="980" w:hanging="486"/>
        <w:spacing w:after="0"/>
        <w:tabs>
          <w:tab w:leader="none" w:pos="980"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designate Affiliates;</w:t>
      </w:r>
    </w:p>
    <w:p>
      <w:pPr>
        <w:spacing w:after="0" w:line="180" w:lineRule="exact"/>
        <w:rPr>
          <w:rFonts w:ascii="Arial" w:cs="Arial" w:eastAsia="Arial" w:hAnsi="Arial"/>
          <w:sz w:val="16"/>
          <w:szCs w:val="16"/>
          <w:color w:val="29292B"/>
        </w:rPr>
      </w:pPr>
    </w:p>
    <w:p>
      <w:pPr>
        <w:ind w:left="960" w:hanging="466"/>
        <w:spacing w:after="0"/>
        <w:tabs>
          <w:tab w:leader="none" w:pos="960"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determine the type or types of Awards to be granted to each Eligible Person;</w:t>
      </w:r>
    </w:p>
    <w:p>
      <w:pPr>
        <w:spacing w:after="0" w:line="180" w:lineRule="exact"/>
        <w:rPr>
          <w:rFonts w:ascii="Arial" w:cs="Arial" w:eastAsia="Arial" w:hAnsi="Arial"/>
          <w:sz w:val="16"/>
          <w:szCs w:val="16"/>
          <w:color w:val="29292B"/>
        </w:rPr>
      </w:pPr>
    </w:p>
    <w:p>
      <w:pPr>
        <w:ind w:left="980" w:right="20" w:hanging="486"/>
        <w:spacing w:after="0" w:line="303" w:lineRule="auto"/>
        <w:tabs>
          <w:tab w:leader="none" w:pos="975"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determine the type and number of Awards to be granted, the number of Shares to which an Award may relate, the terms and conditions of any Award granted under the Plan (including, but not limited to, any exercise price, grant price, or purchase price and any bases for adjusting such exercise, grant, or purchase price, any restriction or condition, any schedule for lapse of restrictions or conditions relating to transferability or forfeiture, exercisability, or settlement of an Award, and waiver or accelerations thereof, and waivers of performance conditions relating to an Award, based in each case on such considerations as the Committee shall determine), and all other matters to be determined in connection with an Award;</w:t>
      </w:r>
    </w:p>
    <w:p>
      <w:pPr>
        <w:spacing w:after="0" w:line="91" w:lineRule="exact"/>
        <w:rPr>
          <w:rFonts w:ascii="Arial" w:cs="Arial" w:eastAsia="Arial" w:hAnsi="Arial"/>
          <w:sz w:val="16"/>
          <w:szCs w:val="16"/>
          <w:color w:val="29292B"/>
        </w:rPr>
      </w:pPr>
    </w:p>
    <w:p>
      <w:pPr>
        <w:ind w:left="980" w:right="80" w:hanging="486"/>
        <w:spacing w:after="0" w:line="339" w:lineRule="auto"/>
        <w:tabs>
          <w:tab w:leader="none" w:pos="980"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determine whether, to what extent, and under what circumstances an Award may be settled, or the exercise price of an Award may be paid, in cash, Shares, other Awards, or other property, or an Award may be canceled, forfeited, exchanged, or surrendered;</w:t>
      </w:r>
    </w:p>
    <w:p>
      <w:pPr>
        <w:spacing w:after="0" w:line="74" w:lineRule="exact"/>
        <w:rPr>
          <w:rFonts w:ascii="Arial" w:cs="Arial" w:eastAsia="Arial" w:hAnsi="Arial"/>
          <w:sz w:val="16"/>
          <w:szCs w:val="16"/>
          <w:color w:val="29292B"/>
        </w:rPr>
      </w:pPr>
    </w:p>
    <w:p>
      <w:pPr>
        <w:ind w:left="980" w:right="100" w:hanging="486"/>
        <w:spacing w:after="0" w:line="339" w:lineRule="auto"/>
        <w:tabs>
          <w:tab w:leader="none" w:pos="975"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determine whether, to what extent, and under what circumstances cash, Shares, other Awards, or other property payable with respect to an Award will be deferred either automatically, at the election of the Committee, or at the election of the Eligible Person;</w:t>
      </w:r>
    </w:p>
    <w:p>
      <w:pPr>
        <w:spacing w:after="0" w:line="74" w:lineRule="exact"/>
        <w:rPr>
          <w:rFonts w:ascii="Arial" w:cs="Arial" w:eastAsia="Arial" w:hAnsi="Arial"/>
          <w:sz w:val="16"/>
          <w:szCs w:val="16"/>
          <w:color w:val="29292B"/>
        </w:rPr>
      </w:pPr>
    </w:p>
    <w:p>
      <w:pPr>
        <w:ind w:left="980" w:hanging="486"/>
        <w:spacing w:after="0"/>
        <w:tabs>
          <w:tab w:leader="none" w:pos="980"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prescribe the form of each Award Agreement, which need not be identical for each Eligible Person;</w:t>
      </w:r>
    </w:p>
    <w:p>
      <w:pPr>
        <w:spacing w:after="0" w:line="167" w:lineRule="exact"/>
        <w:rPr>
          <w:rFonts w:ascii="Arial" w:cs="Arial" w:eastAsia="Arial" w:hAnsi="Arial"/>
          <w:sz w:val="16"/>
          <w:szCs w:val="16"/>
          <w:color w:val="29292B"/>
        </w:rPr>
      </w:pPr>
    </w:p>
    <w:p>
      <w:pPr>
        <w:ind w:left="980" w:right="60" w:hanging="486"/>
        <w:spacing w:after="0" w:line="339" w:lineRule="auto"/>
        <w:tabs>
          <w:tab w:leader="none" w:pos="966"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adopt, amend, suspend, waive, and rescind such rules and regulations, and appoint such agents as the Committee may deem necessary or advisable to administer the Plan, consistent with applicable law;</w:t>
      </w:r>
    </w:p>
    <w:p>
      <w:pPr>
        <w:spacing w:after="0" w:line="74" w:lineRule="exact"/>
        <w:rPr>
          <w:rFonts w:ascii="Arial" w:cs="Arial" w:eastAsia="Arial" w:hAnsi="Arial"/>
          <w:sz w:val="16"/>
          <w:szCs w:val="16"/>
          <w:color w:val="29292B"/>
        </w:rPr>
      </w:pPr>
    </w:p>
    <w:p>
      <w:pPr>
        <w:ind w:left="980" w:right="320" w:hanging="486"/>
        <w:spacing w:after="0" w:line="339" w:lineRule="auto"/>
        <w:tabs>
          <w:tab w:leader="none" w:pos="975"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correct any defect or supply any omission or reconcile any inconsistency in the Plan and construe and interpret the Plan and any Award, rules and regulations, Award Agreement, or other instrument hereunder;</w:t>
      </w:r>
    </w:p>
    <w:p>
      <w:pPr>
        <w:spacing w:after="0" w:line="74" w:lineRule="exact"/>
        <w:rPr>
          <w:rFonts w:ascii="Arial" w:cs="Arial" w:eastAsia="Arial" w:hAnsi="Arial"/>
          <w:sz w:val="16"/>
          <w:szCs w:val="16"/>
          <w:color w:val="29292B"/>
        </w:rPr>
      </w:pPr>
    </w:p>
    <w:p>
      <w:pPr>
        <w:jc w:val="both"/>
        <w:ind w:left="980" w:right="220" w:hanging="486"/>
        <w:spacing w:after="0" w:line="310" w:lineRule="auto"/>
        <w:tabs>
          <w:tab w:leader="none" w:pos="980"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accelerate the exercisability or vesting of all or any portion of any Award or to extend the period during which an Award is exercisable, but not beyond the expiration of the term of the Award, including, but not limited to, when a Participant is subject to a Separation of Service as a result of Disability or death; and</w:t>
      </w:r>
    </w:p>
    <w:p>
      <w:pPr>
        <w:spacing w:after="0" w:line="97" w:lineRule="exact"/>
        <w:rPr>
          <w:rFonts w:ascii="Arial" w:cs="Arial" w:eastAsia="Arial" w:hAnsi="Arial"/>
          <w:sz w:val="16"/>
          <w:szCs w:val="16"/>
          <w:color w:val="29292B"/>
        </w:rPr>
      </w:pPr>
    </w:p>
    <w:p>
      <w:pPr>
        <w:ind w:left="980" w:right="200" w:hanging="486"/>
        <w:spacing w:after="0" w:line="339" w:lineRule="auto"/>
        <w:tabs>
          <w:tab w:leader="none" w:pos="975" w:val="left"/>
        </w:tabs>
        <w:numPr>
          <w:ilvl w:val="1"/>
          <w:numId w:val="88"/>
        </w:numPr>
        <w:rPr>
          <w:rFonts w:ascii="Arial" w:cs="Arial" w:eastAsia="Arial" w:hAnsi="Arial"/>
          <w:sz w:val="16"/>
          <w:szCs w:val="16"/>
          <w:color w:val="29292B"/>
        </w:rPr>
      </w:pPr>
      <w:r>
        <w:rPr>
          <w:rFonts w:ascii="Arial" w:cs="Arial" w:eastAsia="Arial" w:hAnsi="Arial"/>
          <w:sz w:val="16"/>
          <w:szCs w:val="16"/>
          <w:color w:val="29292B"/>
        </w:rPr>
        <w:t>to make all other decisions and determinations as may be required under the terms of the Plan or as the Committee may deem necessary or advisable for the administration of the Plan.</w:t>
      </w:r>
    </w:p>
    <w:p>
      <w:pPr>
        <w:spacing w:after="0" w:line="74" w:lineRule="exact"/>
        <w:rPr>
          <w:rFonts w:ascii="Arial" w:cs="Arial" w:eastAsia="Arial" w:hAnsi="Arial"/>
          <w:sz w:val="16"/>
          <w:szCs w:val="16"/>
          <w:color w:val="29292B"/>
        </w:rPr>
      </w:pPr>
    </w:p>
    <w:p>
      <w:pPr>
        <w:ind w:left="500" w:right="200" w:hanging="492"/>
        <w:spacing w:after="0" w:line="306" w:lineRule="auto"/>
        <w:tabs>
          <w:tab w:leader="none" w:pos="495" w:val="left"/>
        </w:tabs>
        <w:numPr>
          <w:ilvl w:val="0"/>
          <w:numId w:val="88"/>
        </w:numPr>
        <w:rPr>
          <w:rFonts w:ascii="Arial" w:cs="Arial" w:eastAsia="Arial" w:hAnsi="Arial"/>
          <w:sz w:val="16"/>
          <w:szCs w:val="16"/>
          <w:color w:val="29292B"/>
        </w:rPr>
      </w:pPr>
      <w:r>
        <w:rPr>
          <w:rFonts w:ascii="Arial" w:cs="Arial" w:eastAsia="Arial" w:hAnsi="Arial"/>
          <w:sz w:val="16"/>
          <w:szCs w:val="16"/>
          <w:i w:val="1"/>
          <w:iCs w:val="1"/>
          <w:color w:val="29292B"/>
        </w:rPr>
        <w:t xml:space="preserve">Manner of Exercise of Committee Authority. </w:t>
      </w:r>
      <w:r>
        <w:rPr>
          <w:rFonts w:ascii="Arial" w:cs="Arial" w:eastAsia="Arial" w:hAnsi="Arial"/>
          <w:sz w:val="16"/>
          <w:szCs w:val="16"/>
          <w:color w:val="29292B"/>
        </w:rPr>
        <w:t>The Committee shall have sole discretion in exercising its authority under the Plan. Any action of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Committee with respect to the Plan shall be final, conclusive, and binding on all Persons, including the Company, Subsidiaries, Affiliates, Eligible Persons, any Person claiming any rights under the Plan from or through any Eligible Person, and shareholders. The express grant of any specific power to the Committee, and the taking of any action by the Committee, shall not be construed as limiting any power or authority of the Committee.</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540" w:type="dxa"/>
            <w:vAlign w:val="bottom"/>
          </w:tcPr>
          <w:p>
            <w:pPr>
              <w:jc w:val="right"/>
              <w:ind w:right="2179"/>
              <w:spacing w:after="0"/>
              <w:rPr>
                <w:sz w:val="20"/>
                <w:szCs w:val="20"/>
                <w:color w:val="auto"/>
              </w:rPr>
            </w:pPr>
            <w:r>
              <w:rPr>
                <w:rFonts w:ascii="Arial" w:cs="Arial" w:eastAsia="Arial" w:hAnsi="Arial"/>
                <w:sz w:val="16"/>
                <w:szCs w:val="16"/>
                <w:b w:val="1"/>
                <w:bCs w:val="1"/>
                <w:color w:val="032E5C"/>
                <w:w w:val="97"/>
              </w:rPr>
              <w:t>104</w:t>
            </w:r>
          </w:p>
        </w:tc>
        <w:tc>
          <w:tcPr>
            <w:tcW w:w="3860" w:type="dxa"/>
            <w:vAlign w:val="bottom"/>
            <w:vMerge w:val="restart"/>
          </w:tcPr>
          <w:p>
            <w:pPr>
              <w:ind w:left="224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09" w:name="page110"/>
    <w:bookmarkEnd w:id="109"/>
    <w:tbl>
      <w:tblPr>
        <w:tblLayout w:type="fixed"/>
        <w:tblInd w:w="20"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Arial" w:cs="Arial" w:eastAsia="Arial" w:hAnsi="Arial"/>
                <w:sz w:val="14"/>
                <w:szCs w:val="14"/>
                <w:color w:val="032E5C"/>
              </w:rPr>
              <w:t>Table of Contents</w:t>
            </w:r>
          </w:p>
        </w:tc>
        <w:tc>
          <w:tcPr>
            <w:tcW w:w="5300" w:type="dxa"/>
            <w:vAlign w:val="bottom"/>
            <w:vMerge w:val="restart"/>
          </w:tcPr>
          <w:p>
            <w:pPr>
              <w:ind w:left="4540"/>
              <w:spacing w:after="0"/>
              <w:rPr>
                <w:sz w:val="20"/>
                <w:szCs w:val="20"/>
                <w:color w:val="auto"/>
              </w:rPr>
            </w:pPr>
            <w:r>
              <w:rPr>
                <w:rFonts w:ascii="Arial" w:cs="Arial" w:eastAsia="Arial" w:hAnsi="Arial"/>
                <w:sz w:val="13"/>
                <w:szCs w:val="13"/>
                <w:b w:val="1"/>
                <w:bCs w:val="1"/>
                <w:color w:val="032E5C"/>
                <w:w w:val="93"/>
              </w:rPr>
              <w:t>APPENDIX B</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6525895</wp:posOffset>
            </wp:positionH>
            <wp:positionV relativeFrom="page">
              <wp:posOffset>106045</wp:posOffset>
            </wp:positionV>
            <wp:extent cx="814705" cy="2400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1470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00" w:right="180"/>
        <w:spacing w:after="0" w:line="312" w:lineRule="auto"/>
        <w:rPr>
          <w:sz w:val="20"/>
          <w:szCs w:val="20"/>
          <w:color w:val="auto"/>
        </w:rPr>
      </w:pPr>
      <w:r>
        <w:rPr>
          <w:rFonts w:ascii="Arial" w:cs="Arial" w:eastAsia="Arial" w:hAnsi="Arial"/>
          <w:sz w:val="16"/>
          <w:szCs w:val="16"/>
          <w:color w:val="29292B"/>
        </w:rPr>
        <w:t>The Committee may delegate to other members of the Board or officers or managers of the Company or any Subsidiary or Affiliate the authority, subject to such terms as the Committee shall determine, to perform administrative functions and, with respect to Awards granted to Eligible Persons not subject to Section 16 of the Exchange Act, to perform such other functions as the Committee may determine, to the extent permitted under Rule 16b-3 (if applicable) and applicable law.</w:t>
      </w:r>
    </w:p>
    <w:p>
      <w:pPr>
        <w:spacing w:after="0" w:line="96" w:lineRule="exact"/>
        <w:rPr>
          <w:sz w:val="20"/>
          <w:szCs w:val="20"/>
          <w:color w:val="auto"/>
        </w:rPr>
      </w:pPr>
    </w:p>
    <w:p>
      <w:pPr>
        <w:ind w:left="500" w:right="80" w:hanging="492"/>
        <w:spacing w:after="0" w:line="303" w:lineRule="auto"/>
        <w:tabs>
          <w:tab w:leader="none" w:pos="513" w:val="left"/>
        </w:tabs>
        <w:numPr>
          <w:ilvl w:val="0"/>
          <w:numId w:val="89"/>
        </w:numPr>
        <w:rPr>
          <w:rFonts w:ascii="Arial" w:cs="Arial" w:eastAsia="Arial" w:hAnsi="Arial"/>
          <w:sz w:val="16"/>
          <w:szCs w:val="16"/>
          <w:color w:val="29292B"/>
        </w:rPr>
      </w:pPr>
      <w:r>
        <w:rPr>
          <w:rFonts w:ascii="Arial" w:cs="Arial" w:eastAsia="Arial" w:hAnsi="Arial"/>
          <w:sz w:val="16"/>
          <w:szCs w:val="16"/>
          <w:i w:val="1"/>
          <w:iCs w:val="1"/>
          <w:color w:val="29292B"/>
        </w:rPr>
        <w:t xml:space="preserve">Limitation of Liability. </w:t>
      </w:r>
      <w:r>
        <w:rPr>
          <w:rFonts w:ascii="Arial" w:cs="Arial" w:eastAsia="Arial" w:hAnsi="Arial"/>
          <w:sz w:val="16"/>
          <w:szCs w:val="16"/>
          <w:color w:val="29292B"/>
        </w:rPr>
        <w:t>Each member of the Committee shall be entitled to, in good faith, rely or act upon any report or other information furnished to</w:t>
      </w:r>
      <w:r>
        <w:rPr>
          <w:rFonts w:ascii="Arial" w:cs="Arial" w:eastAsia="Arial" w:hAnsi="Arial"/>
          <w:sz w:val="16"/>
          <w:szCs w:val="16"/>
          <w:i w:val="1"/>
          <w:iCs w:val="1"/>
          <w:color w:val="29292B"/>
        </w:rPr>
        <w:t xml:space="preserve"> </w:t>
      </w:r>
      <w:r>
        <w:rPr>
          <w:rFonts w:ascii="Arial" w:cs="Arial" w:eastAsia="Arial" w:hAnsi="Arial"/>
          <w:sz w:val="16"/>
          <w:szCs w:val="16"/>
          <w:color w:val="29292B"/>
        </w:rPr>
        <w:t>him or her by any officer or other employee of the Company or any Subsidiary or Affiliate, the Company’s independent certified public accountants, or other professional retained by the Company to assist in the administration of the Plan. No member of the Committee, and no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their behalf shall, to the extent permitted by law, be fully indemnified and protected by the Company with respect to any such action, determination, or interpretation.</w:t>
      </w:r>
    </w:p>
    <w:p>
      <w:pPr>
        <w:spacing w:after="0" w:line="91" w:lineRule="exact"/>
        <w:rPr>
          <w:rFonts w:ascii="Arial" w:cs="Arial" w:eastAsia="Arial" w:hAnsi="Arial"/>
          <w:sz w:val="16"/>
          <w:szCs w:val="16"/>
          <w:color w:val="29292B"/>
        </w:rPr>
      </w:pPr>
    </w:p>
    <w:p>
      <w:pPr>
        <w:ind w:left="500" w:right="60" w:hanging="492"/>
        <w:spacing w:after="0" w:line="303" w:lineRule="auto"/>
        <w:tabs>
          <w:tab w:leader="none" w:pos="495" w:val="left"/>
        </w:tabs>
        <w:numPr>
          <w:ilvl w:val="0"/>
          <w:numId w:val="89"/>
        </w:numPr>
        <w:rPr>
          <w:rFonts w:ascii="Arial" w:cs="Arial" w:eastAsia="Arial" w:hAnsi="Arial"/>
          <w:sz w:val="16"/>
          <w:szCs w:val="16"/>
          <w:color w:val="29292B"/>
        </w:rPr>
      </w:pPr>
      <w:r>
        <w:rPr>
          <w:rFonts w:ascii="Arial" w:cs="Arial" w:eastAsia="Arial" w:hAnsi="Arial"/>
          <w:sz w:val="16"/>
          <w:szCs w:val="16"/>
          <w:i w:val="1"/>
          <w:iCs w:val="1"/>
          <w:color w:val="29292B"/>
        </w:rPr>
        <w:t xml:space="preserve">No Option or SAR Repricing Without Shareholder Approval. </w:t>
      </w:r>
      <w:r>
        <w:rPr>
          <w:rFonts w:ascii="Arial" w:cs="Arial" w:eastAsia="Arial" w:hAnsi="Arial"/>
          <w:sz w:val="16"/>
          <w:szCs w:val="16"/>
          <w:color w:val="29292B"/>
        </w:rPr>
        <w:t>Except as provided in the first sentence of Section 4(d) hereof relating to certain anti-dilution adjustments, unless the approval of shareholders of the Company is obtained, Options and SARs issued under the Plan shall not be (i) amended to lower their exercise price, (ii) exchanged for other Options or SARs with lower exercise prices, (iii) with respect to Options and SARs with an exercise price above the current Fair Market Value of a Share, canceled in exchange for cash or other securities, or (iv) any other action which is considered a “repricing” for purposes of the shareholder approval rules of any securities exchange or inter-dealer quotation system on which the securities of the Company are listed or quoted.</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4. Shares Subject to the Plan.</w:t>
      </w:r>
    </w:p>
    <w:p>
      <w:pPr>
        <w:spacing w:after="0" w:line="126" w:lineRule="exact"/>
        <w:rPr>
          <w:sz w:val="20"/>
          <w:szCs w:val="20"/>
          <w:color w:val="auto"/>
        </w:rPr>
      </w:pPr>
    </w:p>
    <w:p>
      <w:pPr>
        <w:ind w:left="500" w:hanging="492"/>
        <w:spacing w:after="0" w:line="298" w:lineRule="auto"/>
        <w:tabs>
          <w:tab w:leader="none" w:pos="509" w:val="left"/>
        </w:tabs>
        <w:numPr>
          <w:ilvl w:val="0"/>
          <w:numId w:val="90"/>
        </w:numPr>
        <w:rPr>
          <w:rFonts w:ascii="Arial" w:cs="Arial" w:eastAsia="Arial" w:hAnsi="Arial"/>
          <w:sz w:val="16"/>
          <w:szCs w:val="16"/>
          <w:color w:val="29292B"/>
        </w:rPr>
      </w:pPr>
      <w:r>
        <w:rPr>
          <w:rFonts w:ascii="Arial" w:cs="Arial" w:eastAsia="Arial" w:hAnsi="Arial"/>
          <w:sz w:val="16"/>
          <w:szCs w:val="16"/>
          <w:color w:val="29292B"/>
        </w:rPr>
        <w:t>Subject to adjustment as provided in Section 4(d) hereof, the total number of Shares reserved for issuance in connection with Awards under the Plan shall be 1,500,000. From and after the Effective Date, no awards shall be granted under the Company’s 2015 Omnibus Incentive Plan (“2015 Plan”) or Amended and Restated 2002 Long-Term Incentive and Share Award Plan (“2002 Plan”); however, any 2015 Plan or 2002 Plan Awards shall continue to be subject to the terms and conditions of their applicable plan. The number of shares, if any, that are subject to Awards issued under the 2015 Plan or 2002 Plan that are forfeited, canceled, terminated, or surrendered on or after the Effective Date shall be extinguished and unavailable for Awards under the Plan, the 2015 Plan, or 2002 Plan. Therefore, only 1,500,000 Shares will be issuable under the Plan as of the Effective Date. All Shares issuable under the Plan may be issued as ISOs. Shares issued or to be issued under the Plan shall be authorized but unissued shares or, to the extent permitted by applicable law, issued shares that have been reacquired by the Company. No Award may be granted if the number of Shares to which such Award relates, when added to the number of Shares previously issued under the Plan, exceeds the number of Shares reserved under the preceding sentence. Awards under the Plan that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will, to the extent of any such forfeiture, settlement, termination, cancellation, exchange, or surrender, again be available for Awards under the Plan. Upon the exercise of any Award granted in tandem with any other Awards, such related Awards shall be canceled to the extent of the number of Shares as to which the Award is exercised. The number of Shares reserved and available under the Plan will not be increased by the number of Shares (A) tendered, withheld, or subject to an Award granted under the Plan surrendered in connection with the purchase of Shares upon exercise of an Option, (B) that were not issued upon the net settlement or net exercise of a Share-settled SAR granted under the Plan, (C) deducted or delivered from payment of an Award granted under the Plan in connection with the Company’s tax withholding obligations as provided in Section 9(c), or (D) purchased by the Company with proceeds from Option exercises.</w:t>
      </w:r>
    </w:p>
    <w:p>
      <w:pPr>
        <w:spacing w:after="0" w:line="113" w:lineRule="exact"/>
        <w:rPr>
          <w:rFonts w:ascii="Arial" w:cs="Arial" w:eastAsia="Arial" w:hAnsi="Arial"/>
          <w:sz w:val="16"/>
          <w:szCs w:val="16"/>
          <w:color w:val="29292B"/>
        </w:rPr>
      </w:pPr>
    </w:p>
    <w:p>
      <w:pPr>
        <w:ind w:left="500" w:right="180" w:hanging="492"/>
        <w:spacing w:after="0" w:line="303" w:lineRule="auto"/>
        <w:tabs>
          <w:tab w:leader="none" w:pos="495" w:val="left"/>
        </w:tabs>
        <w:numPr>
          <w:ilvl w:val="0"/>
          <w:numId w:val="90"/>
        </w:numPr>
        <w:rPr>
          <w:rFonts w:ascii="Arial" w:cs="Arial" w:eastAsia="Arial" w:hAnsi="Arial"/>
          <w:sz w:val="16"/>
          <w:szCs w:val="16"/>
          <w:color w:val="29292B"/>
        </w:rPr>
      </w:pPr>
      <w:r>
        <w:rPr>
          <w:rFonts w:ascii="Arial" w:cs="Arial" w:eastAsia="Arial" w:hAnsi="Arial"/>
          <w:sz w:val="16"/>
          <w:szCs w:val="16"/>
          <w:color w:val="29292B"/>
        </w:rPr>
        <w:t>Shares covered by an Award shall be counted as used as of the date of grant of such Award for purposes of calculating the number of Shares available for issuance under Section 4(a). The number of Shares subject to an Award will be counted against the share limit set forth in Section 4(a) as one Share for every one Share subject to such Award. The target number of Shares issuable under a Performance Share or Performance Unit grant shall be counted against the share limit set forth in Section 4(a) in accordance with this Section 4(b) as of the date of grant of such Award, but such number shall be adjusted to reflect the actual number of Shares issued upon settlement of the Performance Shares or Performance Units, as applicable, to the extent different from such target number of Shares. Awards that do not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032E5C"/>
              </w:rPr>
              <w:t>105</w:t>
            </w:r>
          </w:p>
        </w:tc>
        <w:tc>
          <w:tcPr>
            <w:tcW w:w="0" w:type="dxa"/>
            <w:vAlign w:val="bottom"/>
          </w:tcPr>
          <w:p>
            <w:pPr>
              <w:spacing w:after="0"/>
              <w:rPr>
                <w:sz w:val="1"/>
                <w:szCs w:val="1"/>
                <w:color w:val="auto"/>
              </w:rPr>
            </w:pPr>
          </w:p>
        </w:tc>
      </w:tr>
      <w:tr>
        <w:trPr>
          <w:trHeight w:val="60"/>
        </w:trPr>
        <w:tc>
          <w:tcPr>
            <w:tcW w:w="868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6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0"/>
        </w:trPr>
        <w:tc>
          <w:tcPr>
            <w:tcW w:w="1280" w:type="dxa"/>
            <w:vAlign w:val="bottom"/>
            <w:vMerge w:val="restart"/>
            <w:shd w:val="clear" w:color="auto" w:fill="98BDE2"/>
          </w:tcPr>
          <w:p>
            <w:pPr>
              <w:ind w:left="260"/>
              <w:spacing w:after="0"/>
              <w:rPr>
                <w:sz w:val="20"/>
                <w:szCs w:val="20"/>
                <w:color w:val="auto"/>
              </w:rPr>
            </w:pPr>
            <w:r>
              <w:rPr>
                <w:rFonts w:ascii="Arial" w:cs="Arial" w:eastAsia="Arial" w:hAnsi="Arial"/>
                <w:sz w:val="13"/>
                <w:szCs w:val="13"/>
                <w:b w:val="1"/>
                <w:bCs w:val="1"/>
                <w:color w:val="032E5C"/>
              </w:rPr>
              <w:t>APPENDIX B</w:t>
            </w:r>
          </w:p>
        </w:tc>
        <w:tc>
          <w:tcPr>
            <w:tcW w:w="9940" w:type="dxa"/>
            <w:vAlign w:val="bottom"/>
          </w:tcPr>
          <w:p>
            <w:pPr>
              <w:ind w:left="88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280" w:type="dxa"/>
            <w:vAlign w:val="bottom"/>
            <w:vMerge w:val="continue"/>
            <w:shd w:val="clear" w:color="auto" w:fill="98BDE2"/>
          </w:tcPr>
          <w:p>
            <w:pPr>
              <w:spacing w:after="0"/>
              <w:rPr>
                <w:sz w:val="4"/>
                <w:szCs w:val="4"/>
                <w:color w:val="auto"/>
              </w:rPr>
            </w:pPr>
          </w:p>
        </w:tc>
        <w:tc>
          <w:tcPr>
            <w:tcW w:w="9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280" w:type="dxa"/>
            <w:vAlign w:val="bottom"/>
            <w:shd w:val="clear" w:color="auto" w:fill="98BDE2"/>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right="160"/>
        <w:spacing w:after="0" w:line="339" w:lineRule="auto"/>
        <w:rPr>
          <w:sz w:val="20"/>
          <w:szCs w:val="20"/>
          <w:color w:val="auto"/>
        </w:rPr>
      </w:pPr>
      <w:r>
        <w:rPr>
          <w:rFonts w:ascii="Arial" w:cs="Arial" w:eastAsia="Arial" w:hAnsi="Arial"/>
          <w:sz w:val="16"/>
          <w:szCs w:val="16"/>
          <w:color w:val="29292B"/>
        </w:rPr>
        <w:t>entitle the Participant thereof to receive or purchase Shares and Awards that are settled in cash shall not be counted against the share limit set forth in Section 4(a).</w:t>
      </w:r>
    </w:p>
    <w:p>
      <w:pPr>
        <w:spacing w:after="0" w:line="74" w:lineRule="exact"/>
        <w:rPr>
          <w:sz w:val="20"/>
          <w:szCs w:val="20"/>
          <w:color w:val="auto"/>
        </w:rPr>
      </w:pPr>
    </w:p>
    <w:p>
      <w:pPr>
        <w:ind w:left="500" w:right="40" w:hanging="492"/>
        <w:spacing w:after="0" w:line="319" w:lineRule="auto"/>
        <w:tabs>
          <w:tab w:leader="none" w:pos="513" w:val="left"/>
        </w:tabs>
        <w:numPr>
          <w:ilvl w:val="0"/>
          <w:numId w:val="91"/>
        </w:numPr>
        <w:rPr>
          <w:rFonts w:ascii="Arial" w:cs="Arial" w:eastAsia="Arial" w:hAnsi="Arial"/>
          <w:sz w:val="16"/>
          <w:szCs w:val="16"/>
          <w:color w:val="29292B"/>
        </w:rPr>
      </w:pPr>
      <w:r>
        <w:rPr>
          <w:rFonts w:ascii="Arial" w:cs="Arial" w:eastAsia="Arial" w:hAnsi="Arial"/>
          <w:sz w:val="16"/>
          <w:szCs w:val="16"/>
          <w:color w:val="29292B"/>
        </w:rPr>
        <w:t>The Committee shall have the right to substitute or assume Awards in connection with mergers, reorganizations, separations, or other transactions to which Section 424(a) of the Code applies. The number of Shares reserved pursuant to Section 4(a) may be increased by the corresponding number of Awards assumed and, in the case of a substitution, by the net increase in the number of Shares subject to Awards before and after the substitution.</w:t>
      </w:r>
    </w:p>
    <w:p>
      <w:pPr>
        <w:spacing w:after="0" w:line="76" w:lineRule="exact"/>
        <w:rPr>
          <w:rFonts w:ascii="Arial" w:cs="Arial" w:eastAsia="Arial" w:hAnsi="Arial"/>
          <w:sz w:val="16"/>
          <w:szCs w:val="16"/>
          <w:color w:val="29292B"/>
        </w:rPr>
      </w:pPr>
    </w:p>
    <w:p>
      <w:pPr>
        <w:ind w:left="500" w:right="40" w:hanging="492"/>
        <w:spacing w:after="0" w:line="302" w:lineRule="auto"/>
        <w:tabs>
          <w:tab w:leader="none" w:pos="495" w:val="left"/>
        </w:tabs>
        <w:numPr>
          <w:ilvl w:val="0"/>
          <w:numId w:val="91"/>
        </w:numPr>
        <w:rPr>
          <w:rFonts w:ascii="Arial" w:cs="Arial" w:eastAsia="Arial" w:hAnsi="Arial"/>
          <w:sz w:val="16"/>
          <w:szCs w:val="16"/>
          <w:color w:val="29292B"/>
        </w:rPr>
      </w:pPr>
      <w:r>
        <w:rPr>
          <w:rFonts w:ascii="Arial" w:cs="Arial" w:eastAsia="Arial" w:hAnsi="Arial"/>
          <w:sz w:val="16"/>
          <w:szCs w:val="16"/>
          <w:color w:val="29292B"/>
        </w:rPr>
        <w:t>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the rights of Eligible Persons under the Plan, then the Committee shall make such equitable changes or adjustments as it deems appropriate and, in such manner as it may deem equitable, adjust any or all of (i) the number and kind of shares which may thereafter be issued under the Plan, (ii) the number and kind of shares, other securities or other consideration issued or issuable in respect of outstanding Awards, and (iii) the exercise price, grant price, or purchase price relating to any Award; provided, however, in each case that, with respect to ISOs, such adjustment shall be made in accordance with Section 424(a) of the Code, unless the Committee determines otherwise.</w:t>
      </w:r>
    </w:p>
    <w:p>
      <w:pPr>
        <w:spacing w:after="0" w:line="105" w:lineRule="exact"/>
        <w:rPr>
          <w:rFonts w:ascii="Arial" w:cs="Arial" w:eastAsia="Arial" w:hAnsi="Arial"/>
          <w:sz w:val="16"/>
          <w:szCs w:val="16"/>
          <w:color w:val="29292B"/>
        </w:rPr>
      </w:pPr>
    </w:p>
    <w:p>
      <w:pPr>
        <w:ind w:left="500" w:right="40" w:hanging="492"/>
        <w:spacing w:after="0" w:line="339" w:lineRule="auto"/>
        <w:tabs>
          <w:tab w:leader="none" w:pos="509" w:val="left"/>
        </w:tabs>
        <w:numPr>
          <w:ilvl w:val="0"/>
          <w:numId w:val="91"/>
        </w:numPr>
        <w:rPr>
          <w:rFonts w:ascii="Arial" w:cs="Arial" w:eastAsia="Arial" w:hAnsi="Arial"/>
          <w:sz w:val="16"/>
          <w:szCs w:val="16"/>
          <w:color w:val="29292B"/>
        </w:rPr>
      </w:pPr>
      <w:r>
        <w:rPr>
          <w:rFonts w:ascii="Arial" w:cs="Arial" w:eastAsia="Arial" w:hAnsi="Arial"/>
          <w:sz w:val="16"/>
          <w:szCs w:val="16"/>
          <w:color w:val="29292B"/>
        </w:rPr>
        <w:t>Any Shares distributed pursuant to an Award may consist, in whole or in part, of authorized and unissued Shares or treasury Shares including Shares acquired by purchase in the open market or in private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5. Specific Terms of Awards.</w:t>
      </w:r>
    </w:p>
    <w:p>
      <w:pPr>
        <w:spacing w:after="0" w:line="139" w:lineRule="exact"/>
        <w:rPr>
          <w:sz w:val="20"/>
          <w:szCs w:val="20"/>
          <w:color w:val="auto"/>
        </w:rPr>
      </w:pPr>
    </w:p>
    <w:p>
      <w:pPr>
        <w:ind w:left="500" w:right="120" w:hanging="492"/>
        <w:spacing w:after="0" w:line="306" w:lineRule="auto"/>
        <w:tabs>
          <w:tab w:leader="none" w:pos="509" w:val="left"/>
        </w:tabs>
        <w:numPr>
          <w:ilvl w:val="0"/>
          <w:numId w:val="92"/>
        </w:numPr>
        <w:rPr>
          <w:rFonts w:ascii="Arial" w:cs="Arial" w:eastAsia="Arial" w:hAnsi="Arial"/>
          <w:sz w:val="16"/>
          <w:szCs w:val="16"/>
          <w:color w:val="29292B"/>
        </w:rPr>
      </w:pPr>
      <w:r>
        <w:rPr>
          <w:rFonts w:ascii="Arial" w:cs="Arial" w:eastAsia="Arial" w:hAnsi="Arial"/>
          <w:sz w:val="16"/>
          <w:szCs w:val="16"/>
          <w:i w:val="1"/>
          <w:iCs w:val="1"/>
          <w:color w:val="29292B"/>
        </w:rPr>
        <w:t xml:space="preserve">General. </w:t>
      </w:r>
      <w:r>
        <w:rPr>
          <w:rFonts w:ascii="Arial" w:cs="Arial" w:eastAsia="Arial" w:hAnsi="Arial"/>
          <w:sz w:val="16"/>
          <w:szCs w:val="16"/>
          <w:color w:val="29292B"/>
        </w:rPr>
        <w:t>Awards may be granted on the terms and conditions set forth in this Section 5. In addition, the Committee may impose on any Award or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exercise thereof, at the date of grant or thereafter (subject to Section 9(d)), such additional terms and conditions, not inconsistent with the provisions of the Plan, as the Committee shall determine, including terms regarding forfeiture of Awards or continued exercisability of Awards in the event of termination of service by the Eligible Person.</w:t>
      </w:r>
    </w:p>
    <w:p>
      <w:pPr>
        <w:spacing w:after="0" w:line="101" w:lineRule="exact"/>
        <w:rPr>
          <w:rFonts w:ascii="Arial" w:cs="Arial" w:eastAsia="Arial" w:hAnsi="Arial"/>
          <w:sz w:val="16"/>
          <w:szCs w:val="16"/>
          <w:color w:val="29292B"/>
        </w:rPr>
      </w:pPr>
    </w:p>
    <w:p>
      <w:pPr>
        <w:ind w:left="480" w:hanging="472"/>
        <w:spacing w:after="0"/>
        <w:tabs>
          <w:tab w:leader="none" w:pos="480" w:val="left"/>
        </w:tabs>
        <w:numPr>
          <w:ilvl w:val="0"/>
          <w:numId w:val="92"/>
        </w:numPr>
        <w:rPr>
          <w:rFonts w:ascii="Arial" w:cs="Arial" w:eastAsia="Arial" w:hAnsi="Arial"/>
          <w:sz w:val="16"/>
          <w:szCs w:val="16"/>
          <w:color w:val="29292B"/>
        </w:rPr>
      </w:pPr>
      <w:r>
        <w:rPr>
          <w:rFonts w:ascii="Arial" w:cs="Arial" w:eastAsia="Arial" w:hAnsi="Arial"/>
          <w:sz w:val="16"/>
          <w:szCs w:val="16"/>
          <w:i w:val="1"/>
          <w:iCs w:val="1"/>
          <w:color w:val="29292B"/>
        </w:rPr>
        <w:t>Options</w:t>
      </w:r>
      <w:r>
        <w:rPr>
          <w:rFonts w:ascii="Arial" w:cs="Arial" w:eastAsia="Arial" w:hAnsi="Arial"/>
          <w:sz w:val="16"/>
          <w:szCs w:val="16"/>
          <w:color w:val="29292B"/>
        </w:rPr>
        <w:t>. The Committee is authorized to grant Options, which may be NQSOs or ISOs, to Eligible Persons on the following terms and conditions:</w:t>
      </w:r>
    </w:p>
    <w:p>
      <w:pPr>
        <w:spacing w:after="0" w:line="167" w:lineRule="exact"/>
        <w:rPr>
          <w:rFonts w:ascii="Arial" w:cs="Arial" w:eastAsia="Arial" w:hAnsi="Arial"/>
          <w:sz w:val="16"/>
          <w:szCs w:val="16"/>
          <w:color w:val="29292B"/>
        </w:rPr>
      </w:pPr>
    </w:p>
    <w:p>
      <w:pPr>
        <w:ind w:left="980" w:right="120" w:hanging="486"/>
        <w:spacing w:after="0" w:line="312" w:lineRule="auto"/>
        <w:tabs>
          <w:tab w:leader="none" w:pos="975" w:val="left"/>
        </w:tabs>
        <w:numPr>
          <w:ilvl w:val="1"/>
          <w:numId w:val="92"/>
        </w:numPr>
        <w:rPr>
          <w:rFonts w:ascii="Arial" w:cs="Arial" w:eastAsia="Arial" w:hAnsi="Arial"/>
          <w:sz w:val="16"/>
          <w:szCs w:val="16"/>
          <w:color w:val="29292B"/>
        </w:rPr>
      </w:pPr>
      <w:r>
        <w:rPr>
          <w:rFonts w:ascii="Arial" w:cs="Arial" w:eastAsia="Arial" w:hAnsi="Arial"/>
          <w:sz w:val="16"/>
          <w:szCs w:val="16"/>
          <w:i w:val="1"/>
          <w:iCs w:val="1"/>
          <w:color w:val="29292B"/>
        </w:rPr>
        <w:t xml:space="preserve">Exercise Price. </w:t>
      </w:r>
      <w:r>
        <w:rPr>
          <w:rFonts w:ascii="Arial" w:cs="Arial" w:eastAsia="Arial" w:hAnsi="Arial"/>
          <w:sz w:val="16"/>
          <w:szCs w:val="16"/>
          <w:color w:val="29292B"/>
        </w:rPr>
        <w:t>The exercise price per Share purchasable under an Option shall be determined by the Committee; provided, however, that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exercise price per Share of an Option shall not be less than the Fair Market Value of a Share on the date of grant of the Option; provided, further, that, in the event that a Participant is a Ten Percent Shareholder, the exercise price of an Option granted to such Participant that is intended to be an ISO shall be not less than 110% of the Fair Market Value of one Share on the date of grant of such Option.</w:t>
      </w:r>
    </w:p>
    <w:p>
      <w:pPr>
        <w:spacing w:after="0" w:line="96" w:lineRule="exact"/>
        <w:rPr>
          <w:rFonts w:ascii="Arial" w:cs="Arial" w:eastAsia="Arial" w:hAnsi="Arial"/>
          <w:sz w:val="16"/>
          <w:szCs w:val="16"/>
          <w:color w:val="29292B"/>
        </w:rPr>
      </w:pPr>
    </w:p>
    <w:p>
      <w:pPr>
        <w:ind w:left="980" w:right="80" w:hanging="486"/>
        <w:spacing w:after="0" w:line="303" w:lineRule="auto"/>
        <w:tabs>
          <w:tab w:leader="none" w:pos="971" w:val="left"/>
        </w:tabs>
        <w:numPr>
          <w:ilvl w:val="1"/>
          <w:numId w:val="92"/>
        </w:numPr>
        <w:rPr>
          <w:rFonts w:ascii="Arial" w:cs="Arial" w:eastAsia="Arial" w:hAnsi="Arial"/>
          <w:sz w:val="16"/>
          <w:szCs w:val="16"/>
          <w:color w:val="29292B"/>
        </w:rPr>
      </w:pPr>
      <w:r>
        <w:rPr>
          <w:rFonts w:ascii="Arial" w:cs="Arial" w:eastAsia="Arial" w:hAnsi="Arial"/>
          <w:sz w:val="16"/>
          <w:szCs w:val="16"/>
          <w:i w:val="1"/>
          <w:iCs w:val="1"/>
          <w:color w:val="29292B"/>
        </w:rPr>
        <w:t xml:space="preserve">Option Term. </w:t>
      </w:r>
      <w:r>
        <w:rPr>
          <w:rFonts w:ascii="Arial" w:cs="Arial" w:eastAsia="Arial" w:hAnsi="Arial"/>
          <w:sz w:val="16"/>
          <w:szCs w:val="16"/>
          <w:color w:val="29292B"/>
        </w:rPr>
        <w:t>The term of each Option shall be determined by the Committee; provided, however, that such term shall not be longer than ten</w:t>
      </w:r>
      <w:r>
        <w:rPr>
          <w:rFonts w:ascii="Arial" w:cs="Arial" w:eastAsia="Arial" w:hAnsi="Arial"/>
          <w:sz w:val="16"/>
          <w:szCs w:val="16"/>
          <w:i w:val="1"/>
          <w:iCs w:val="1"/>
          <w:color w:val="29292B"/>
        </w:rPr>
        <w:t xml:space="preserve"> </w:t>
      </w:r>
      <w:r>
        <w:rPr>
          <w:rFonts w:ascii="Arial" w:cs="Arial" w:eastAsia="Arial" w:hAnsi="Arial"/>
          <w:sz w:val="16"/>
          <w:szCs w:val="16"/>
          <w:color w:val="29292B"/>
        </w:rPr>
        <w:t>years from the date of grant of the Option; provided, further, that, in the event that the Participant is a Ten Percent Shareholder, an Option granted to such Participant that is intended to be an ISO shall not be exercisable after the fifth anniversary of the date of grant of such Option; provided, further, that, to the extent deemed necessary or appropriate by the Committee to reflect differences in local law, tax policy, or custom with respect to any Option granted to a Participant who is a foreign national or who is employed outside the United States, such Option may have a term that is longer than ten years from the date of grant of the Option as the Committee shall determine.</w:t>
      </w:r>
    </w:p>
    <w:p>
      <w:pPr>
        <w:spacing w:after="0" w:line="91" w:lineRule="exact"/>
        <w:rPr>
          <w:rFonts w:ascii="Arial" w:cs="Arial" w:eastAsia="Arial" w:hAnsi="Arial"/>
          <w:sz w:val="16"/>
          <w:szCs w:val="16"/>
          <w:color w:val="29292B"/>
        </w:rPr>
      </w:pPr>
    </w:p>
    <w:p>
      <w:pPr>
        <w:ind w:left="980" w:hanging="486"/>
        <w:spacing w:after="0" w:line="302" w:lineRule="auto"/>
        <w:tabs>
          <w:tab w:leader="none" w:pos="966" w:val="left"/>
        </w:tabs>
        <w:numPr>
          <w:ilvl w:val="1"/>
          <w:numId w:val="92"/>
        </w:numPr>
        <w:rPr>
          <w:rFonts w:ascii="Arial" w:cs="Arial" w:eastAsia="Arial" w:hAnsi="Arial"/>
          <w:sz w:val="16"/>
          <w:szCs w:val="16"/>
          <w:color w:val="29292B"/>
        </w:rPr>
      </w:pPr>
      <w:r>
        <w:rPr>
          <w:rFonts w:ascii="Arial" w:cs="Arial" w:eastAsia="Arial" w:hAnsi="Arial"/>
          <w:sz w:val="16"/>
          <w:szCs w:val="16"/>
          <w:i w:val="1"/>
          <w:iCs w:val="1"/>
          <w:color w:val="29292B"/>
        </w:rPr>
        <w:t xml:space="preserve">Time and Method of Exercise. </w:t>
      </w:r>
      <w:r>
        <w:rPr>
          <w:rFonts w:ascii="Arial" w:cs="Arial" w:eastAsia="Arial" w:hAnsi="Arial"/>
          <w:sz w:val="16"/>
          <w:szCs w:val="16"/>
          <w:color w:val="29292B"/>
        </w:rPr>
        <w:t>The Committee shall determine at the date of grant or thereafter the time or times at which an Option may be</w:t>
      </w:r>
      <w:r>
        <w:rPr>
          <w:rFonts w:ascii="Arial" w:cs="Arial" w:eastAsia="Arial" w:hAnsi="Arial"/>
          <w:sz w:val="16"/>
          <w:szCs w:val="16"/>
          <w:i w:val="1"/>
          <w:iCs w:val="1"/>
          <w:color w:val="29292B"/>
        </w:rPr>
        <w:t xml:space="preserve"> </w:t>
      </w:r>
      <w:r>
        <w:rPr>
          <w:rFonts w:ascii="Arial" w:cs="Arial" w:eastAsia="Arial" w:hAnsi="Arial"/>
          <w:sz w:val="16"/>
          <w:szCs w:val="16"/>
          <w:color w:val="29292B"/>
        </w:rPr>
        <w:t>exercised in whole or in part (including, without limitation, upon achievement of performance criteria if deemed appropriate by the Committee), the methods by which such exercise price may be paid or deemed to be paid (including, without limitation, cashless exercises, net share settlements, or broker-assisted exercise arrangements), the form of such payment (including, without limitation, cash, Shares, or other property), and the methods by which Shares will be delivered or deemed to be delivered to Eligible Persons; provided, however, that in no event may any portion of the exercise price be paid with Shares acquired either under an Award granted pursuant to this Plan, upon exercise of a stock option granted under another Company plan or as a stock bonus or other stock award granted under another Company plan unless, in any such case, the Shares were acquired and vested more than six months in advance of the date of exercise.</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540" w:type="dxa"/>
            <w:vAlign w:val="bottom"/>
          </w:tcPr>
          <w:p>
            <w:pPr>
              <w:jc w:val="right"/>
              <w:ind w:right="2179"/>
              <w:spacing w:after="0"/>
              <w:rPr>
                <w:sz w:val="20"/>
                <w:szCs w:val="20"/>
                <w:color w:val="auto"/>
              </w:rPr>
            </w:pPr>
            <w:r>
              <w:rPr>
                <w:rFonts w:ascii="Arial" w:cs="Arial" w:eastAsia="Arial" w:hAnsi="Arial"/>
                <w:sz w:val="16"/>
                <w:szCs w:val="16"/>
                <w:b w:val="1"/>
                <w:bCs w:val="1"/>
                <w:color w:val="032E5C"/>
                <w:w w:val="97"/>
              </w:rPr>
              <w:t>106</w:t>
            </w:r>
          </w:p>
        </w:tc>
        <w:tc>
          <w:tcPr>
            <w:tcW w:w="3860" w:type="dxa"/>
            <w:vAlign w:val="bottom"/>
            <w:vMerge w:val="restart"/>
          </w:tcPr>
          <w:p>
            <w:pPr>
              <w:ind w:left="224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11" w:name="page112"/>
    <w:bookmarkEnd w:id="111"/>
    <w:tbl>
      <w:tblPr>
        <w:tblLayout w:type="fixed"/>
        <w:tblInd w:w="20"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Arial" w:cs="Arial" w:eastAsia="Arial" w:hAnsi="Arial"/>
                <w:sz w:val="14"/>
                <w:szCs w:val="14"/>
                <w:color w:val="032E5C"/>
              </w:rPr>
              <w:t>Table of Contents</w:t>
            </w:r>
          </w:p>
        </w:tc>
        <w:tc>
          <w:tcPr>
            <w:tcW w:w="5300" w:type="dxa"/>
            <w:vAlign w:val="bottom"/>
            <w:vMerge w:val="restart"/>
          </w:tcPr>
          <w:p>
            <w:pPr>
              <w:ind w:left="4540"/>
              <w:spacing w:after="0"/>
              <w:rPr>
                <w:sz w:val="20"/>
                <w:szCs w:val="20"/>
                <w:color w:val="auto"/>
              </w:rPr>
            </w:pPr>
            <w:r>
              <w:rPr>
                <w:rFonts w:ascii="Arial" w:cs="Arial" w:eastAsia="Arial" w:hAnsi="Arial"/>
                <w:sz w:val="13"/>
                <w:szCs w:val="13"/>
                <w:b w:val="1"/>
                <w:bCs w:val="1"/>
                <w:color w:val="032E5C"/>
                <w:w w:val="93"/>
              </w:rPr>
              <w:t>APPENDIX B</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6525895</wp:posOffset>
            </wp:positionH>
            <wp:positionV relativeFrom="page">
              <wp:posOffset>106045</wp:posOffset>
            </wp:positionV>
            <wp:extent cx="814705" cy="2400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1470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980" w:right="20" w:hanging="486"/>
        <w:spacing w:after="0" w:line="295" w:lineRule="auto"/>
        <w:tabs>
          <w:tab w:leader="none" w:pos="975" w:val="left"/>
        </w:tabs>
        <w:numPr>
          <w:ilvl w:val="1"/>
          <w:numId w:val="93"/>
        </w:numPr>
        <w:rPr>
          <w:rFonts w:ascii="Arial" w:cs="Arial" w:eastAsia="Arial" w:hAnsi="Arial"/>
          <w:sz w:val="16"/>
          <w:szCs w:val="16"/>
          <w:color w:val="29292B"/>
        </w:rPr>
      </w:pPr>
      <w:r>
        <w:rPr>
          <w:rFonts w:ascii="Arial" w:cs="Arial" w:eastAsia="Arial" w:hAnsi="Arial"/>
          <w:sz w:val="16"/>
          <w:szCs w:val="16"/>
          <w:i w:val="1"/>
          <w:iCs w:val="1"/>
          <w:color w:val="29292B"/>
        </w:rPr>
        <w:t xml:space="preserve">ISOs. </w:t>
      </w:r>
      <w:r>
        <w:rPr>
          <w:rFonts w:ascii="Arial" w:cs="Arial" w:eastAsia="Arial" w:hAnsi="Arial"/>
          <w:sz w:val="16"/>
          <w:szCs w:val="16"/>
          <w:color w:val="29292B"/>
        </w:rPr>
        <w:t>The terms of any ISO granted under the Plan shall comply in all respects with the provisions of Section 422 of the Code, including but</w:t>
      </w:r>
      <w:r>
        <w:rPr>
          <w:rFonts w:ascii="Arial" w:cs="Arial" w:eastAsia="Arial" w:hAnsi="Arial"/>
          <w:sz w:val="16"/>
          <w:szCs w:val="16"/>
          <w:i w:val="1"/>
          <w:iCs w:val="1"/>
          <w:color w:val="29292B"/>
        </w:rPr>
        <w:t xml:space="preserve"> </w:t>
      </w:r>
      <w:r>
        <w:rPr>
          <w:rFonts w:ascii="Arial" w:cs="Arial" w:eastAsia="Arial" w:hAnsi="Arial"/>
          <w:sz w:val="16"/>
          <w:szCs w:val="16"/>
          <w:color w:val="29292B"/>
        </w:rPr>
        <w:t>not limited to the requirement that the ISO shall be granted within ten years from the earlier of the date of adoption or shareholder approval of the Plan. An Option shall constitute an ISO only (a) if the Participant of such Option is an employee of the Company or any Subsidiary, (b) to the extent specifically provided in the related Award Agreement, and (c) to the extent that the aggregate Fair Market Value (determined at the time such Option is granted) of the Shares with respect to which all ISOs held by such Participant become exercisable for the first time during any calendar year (under the Plan and all other plans of the Company and its Affiliates) does not exceed $100,000. Except to the extent provided in the regulations under Section 422 of the Code, this limitation shall be applied by taking Options into account in the order in which they were granted. Each Participant awarded an ISO under the Plan shall notify the Company in writing immediately after the date he or she makes a disqualifying disposition of any Common Stock acquired pursuant to the exercise of such ISO. A disqualifying disposition is any disposition (including, without limitation, any sale) of such Common Stock before the later of (A) two years after the Date of Grant of the ISO, or</w:t>
      </w:r>
    </w:p>
    <w:p>
      <w:pPr>
        <w:spacing w:after="0" w:line="6" w:lineRule="exact"/>
        <w:rPr>
          <w:rFonts w:ascii="Arial" w:cs="Arial" w:eastAsia="Arial" w:hAnsi="Arial"/>
          <w:sz w:val="16"/>
          <w:szCs w:val="16"/>
          <w:color w:val="29292B"/>
        </w:rPr>
      </w:pPr>
    </w:p>
    <w:p>
      <w:pPr>
        <w:ind w:left="980" w:right="420"/>
        <w:spacing w:after="0" w:line="312" w:lineRule="auto"/>
        <w:tabs>
          <w:tab w:leader="none" w:pos="1241" w:val="left"/>
        </w:tabs>
        <w:numPr>
          <w:ilvl w:val="2"/>
          <w:numId w:val="93"/>
        </w:numPr>
        <w:rPr>
          <w:rFonts w:ascii="Arial" w:cs="Arial" w:eastAsia="Arial" w:hAnsi="Arial"/>
          <w:sz w:val="16"/>
          <w:szCs w:val="16"/>
          <w:color w:val="29292B"/>
        </w:rPr>
      </w:pPr>
      <w:r>
        <w:rPr>
          <w:rFonts w:ascii="Arial" w:cs="Arial" w:eastAsia="Arial" w:hAnsi="Arial"/>
          <w:sz w:val="16"/>
          <w:szCs w:val="16"/>
          <w:color w:val="29292B"/>
        </w:rPr>
        <w:t>one year after the date of exercise of the ISO. The Company may, if determined by the Committee and in accordance with procedures established by the Committee, retain possession, as agent for the applicable Participant, of any Common Stock acquired pursuant to the exercise of an ISO until the end of the period described in the preceding sentence, subject to complying with any instructions from such Participant as to the sale of such Common Stock.</w:t>
      </w:r>
    </w:p>
    <w:p>
      <w:pPr>
        <w:spacing w:after="0" w:line="96" w:lineRule="exact"/>
        <w:rPr>
          <w:rFonts w:ascii="Arial" w:cs="Arial" w:eastAsia="Arial" w:hAnsi="Arial"/>
          <w:sz w:val="16"/>
          <w:szCs w:val="16"/>
          <w:color w:val="29292B"/>
        </w:rPr>
      </w:pPr>
    </w:p>
    <w:p>
      <w:pPr>
        <w:ind w:left="500" w:hanging="492"/>
        <w:spacing w:after="0"/>
        <w:tabs>
          <w:tab w:leader="none" w:pos="500" w:val="left"/>
        </w:tabs>
        <w:numPr>
          <w:ilvl w:val="0"/>
          <w:numId w:val="94"/>
        </w:numPr>
        <w:rPr>
          <w:rFonts w:ascii="Arial" w:cs="Arial" w:eastAsia="Arial" w:hAnsi="Arial"/>
          <w:sz w:val="16"/>
          <w:szCs w:val="16"/>
          <w:color w:val="29292B"/>
        </w:rPr>
      </w:pPr>
      <w:r>
        <w:rPr>
          <w:rFonts w:ascii="Arial" w:cs="Arial" w:eastAsia="Arial" w:hAnsi="Arial"/>
          <w:sz w:val="16"/>
          <w:szCs w:val="16"/>
          <w:i w:val="1"/>
          <w:iCs w:val="1"/>
          <w:color w:val="29292B"/>
        </w:rPr>
        <w:t xml:space="preserve">SARs. </w:t>
      </w:r>
      <w:r>
        <w:rPr>
          <w:rFonts w:ascii="Arial" w:cs="Arial" w:eastAsia="Arial" w:hAnsi="Arial"/>
          <w:sz w:val="16"/>
          <w:szCs w:val="16"/>
          <w:color w:val="29292B"/>
        </w:rPr>
        <w:t>The Committee is authorized to grant SARs to Eligible Persons on the following terms and conditions:</w:t>
      </w:r>
    </w:p>
    <w:p>
      <w:pPr>
        <w:spacing w:after="0" w:line="167" w:lineRule="exact"/>
        <w:rPr>
          <w:rFonts w:ascii="Arial" w:cs="Arial" w:eastAsia="Arial" w:hAnsi="Arial"/>
          <w:sz w:val="16"/>
          <w:szCs w:val="16"/>
          <w:color w:val="29292B"/>
        </w:rPr>
      </w:pPr>
    </w:p>
    <w:p>
      <w:pPr>
        <w:ind w:left="980" w:right="60" w:hanging="486"/>
        <w:spacing w:after="0" w:line="299" w:lineRule="auto"/>
        <w:tabs>
          <w:tab w:leader="none" w:pos="975" w:val="left"/>
        </w:tabs>
        <w:numPr>
          <w:ilvl w:val="1"/>
          <w:numId w:val="94"/>
        </w:numPr>
        <w:rPr>
          <w:rFonts w:ascii="Arial" w:cs="Arial" w:eastAsia="Arial" w:hAnsi="Arial"/>
          <w:sz w:val="16"/>
          <w:szCs w:val="16"/>
          <w:color w:val="29292B"/>
        </w:rPr>
      </w:pPr>
      <w:r>
        <w:rPr>
          <w:rFonts w:ascii="Arial" w:cs="Arial" w:eastAsia="Arial" w:hAnsi="Arial"/>
          <w:sz w:val="16"/>
          <w:szCs w:val="16"/>
          <w:i w:val="1"/>
          <w:iCs w:val="1"/>
          <w:color w:val="29292B"/>
        </w:rPr>
        <w:t xml:space="preserve">Right to Payment. </w:t>
      </w:r>
      <w:r>
        <w:rPr>
          <w:rFonts w:ascii="Arial" w:cs="Arial" w:eastAsia="Arial" w:hAnsi="Arial"/>
          <w:sz w:val="16"/>
          <w:szCs w:val="16"/>
          <w:color w:val="29292B"/>
        </w:rPr>
        <w:t>A SAR shall confer on the Eligible Person to whom it is granted a right to receive with respect to each Share subject thereto,</w:t>
      </w:r>
      <w:r>
        <w:rPr>
          <w:rFonts w:ascii="Arial" w:cs="Arial" w:eastAsia="Arial" w:hAnsi="Arial"/>
          <w:sz w:val="16"/>
          <w:szCs w:val="16"/>
          <w:i w:val="1"/>
          <w:iCs w:val="1"/>
          <w:color w:val="29292B"/>
        </w:rPr>
        <w:t xml:space="preserve"> </w:t>
      </w:r>
      <w:r>
        <w:rPr>
          <w:rFonts w:ascii="Arial" w:cs="Arial" w:eastAsia="Arial" w:hAnsi="Arial"/>
          <w:sz w:val="16"/>
          <w:szCs w:val="16"/>
          <w:color w:val="29292B"/>
        </w:rPr>
        <w:t>upon exercise thereof, the excess of (A) the Fair Market Value of one Share on the date of exercise (or, if the Committee shall so determine in the case of any such right, the Fair Market Value of one Share at any time during a specified period before or after the date of exercise) over</w:t>
      </w:r>
    </w:p>
    <w:p>
      <w:pPr>
        <w:jc w:val="both"/>
        <w:ind w:left="980" w:right="400"/>
        <w:spacing w:after="0" w:line="306" w:lineRule="auto"/>
        <w:tabs>
          <w:tab w:leader="none" w:pos="1241" w:val="left"/>
        </w:tabs>
        <w:numPr>
          <w:ilvl w:val="2"/>
          <w:numId w:val="94"/>
        </w:numPr>
        <w:rPr>
          <w:rFonts w:ascii="Arial" w:cs="Arial" w:eastAsia="Arial" w:hAnsi="Arial"/>
          <w:sz w:val="16"/>
          <w:szCs w:val="16"/>
          <w:color w:val="29292B"/>
        </w:rPr>
      </w:pPr>
      <w:r>
        <w:rPr>
          <w:rFonts w:ascii="Arial" w:cs="Arial" w:eastAsia="Arial" w:hAnsi="Arial"/>
          <w:sz w:val="16"/>
          <w:szCs w:val="16"/>
          <w:color w:val="29292B"/>
        </w:rPr>
        <w:t>the exercise price of the SAR as determined by the Committee as of the date of grant of the SAR (which shall not be less than the Fair Market Value per Share on the date of grant of the SAR and, in the case of a SAR granted in tandem with an Option, shall be equal to the exercise price of the underlying Option). The Company shall pay such amount in cash, in shares of Common Stock valued at Fair Market Value, or any combination thereof, as determined by the Committee.</w:t>
      </w:r>
    </w:p>
    <w:p>
      <w:pPr>
        <w:spacing w:after="0" w:line="101" w:lineRule="exact"/>
        <w:rPr>
          <w:rFonts w:ascii="Arial" w:cs="Arial" w:eastAsia="Arial" w:hAnsi="Arial"/>
          <w:sz w:val="16"/>
          <w:szCs w:val="16"/>
          <w:color w:val="29292B"/>
        </w:rPr>
      </w:pPr>
    </w:p>
    <w:p>
      <w:pPr>
        <w:ind w:left="980" w:right="60" w:hanging="486"/>
        <w:spacing w:after="0" w:line="299" w:lineRule="auto"/>
        <w:tabs>
          <w:tab w:leader="none" w:pos="971" w:val="left"/>
        </w:tabs>
        <w:numPr>
          <w:ilvl w:val="1"/>
          <w:numId w:val="94"/>
        </w:numPr>
        <w:rPr>
          <w:rFonts w:ascii="Arial" w:cs="Arial" w:eastAsia="Arial" w:hAnsi="Arial"/>
          <w:sz w:val="16"/>
          <w:szCs w:val="16"/>
          <w:color w:val="29292B"/>
        </w:rPr>
      </w:pPr>
      <w:r>
        <w:rPr>
          <w:rFonts w:ascii="Arial" w:cs="Arial" w:eastAsia="Arial" w:hAnsi="Arial"/>
          <w:sz w:val="16"/>
          <w:szCs w:val="16"/>
          <w:i w:val="1"/>
          <w:iCs w:val="1"/>
          <w:color w:val="29292B"/>
        </w:rPr>
        <w:t>Other Terms</w:t>
      </w:r>
      <w:r>
        <w:rPr>
          <w:rFonts w:ascii="Arial" w:cs="Arial" w:eastAsia="Arial" w:hAnsi="Arial"/>
          <w:sz w:val="16"/>
          <w:szCs w:val="16"/>
          <w:color w:val="29292B"/>
        </w:rPr>
        <w:t>. The Committee shall determine, at the time of grant or thereafter, the time or times at which a SAR may be exercised in whole or</w:t>
      </w:r>
      <w:r>
        <w:rPr>
          <w:rFonts w:ascii="Arial" w:cs="Arial" w:eastAsia="Arial" w:hAnsi="Arial"/>
          <w:sz w:val="16"/>
          <w:szCs w:val="16"/>
          <w:i w:val="1"/>
          <w:iCs w:val="1"/>
          <w:color w:val="29292B"/>
        </w:rPr>
        <w:t xml:space="preserve"> </w:t>
      </w:r>
      <w:r>
        <w:rPr>
          <w:rFonts w:ascii="Arial" w:cs="Arial" w:eastAsia="Arial" w:hAnsi="Arial"/>
          <w:sz w:val="16"/>
          <w:szCs w:val="16"/>
          <w:color w:val="29292B"/>
        </w:rPr>
        <w:t>in part (which shall not be more than ten years after the date of grant of the SAR), the method of exercise, method of settlement, form of consideration payable in settlement, method by which Shares will be delivered or deemed to be delivered to Eligible Persons, whether or not a SAR shall be in tandem with any other Award, and any other terms and conditions of any SAR; provided, that if the SAR exercise period would expire at a time when trading in the shares of Common Stock is prohibited by the Company’s insider trading policy or Company-imposed blackout period, then the SAR exercise period shall be automatically extended until the earlier of (A) the 30th day following the expiration of such prohibition, and (B) the expiration of the original SAR Period. Unless the Committee determines otherwise, a SAR (1) granted in tandem with an NQSO may be granted at the time of grant of the related NQSO or at any time thereafter, and (2) granted in tandem with an ISO may only be granted at the time of grant of the related ISO.</w:t>
      </w:r>
    </w:p>
    <w:p>
      <w:pPr>
        <w:spacing w:after="0" w:line="110" w:lineRule="exact"/>
        <w:rPr>
          <w:rFonts w:ascii="Arial" w:cs="Arial" w:eastAsia="Arial" w:hAnsi="Arial"/>
          <w:sz w:val="16"/>
          <w:szCs w:val="16"/>
          <w:color w:val="29292B"/>
        </w:rPr>
      </w:pPr>
    </w:p>
    <w:p>
      <w:pPr>
        <w:ind w:left="480" w:hanging="472"/>
        <w:spacing w:after="0"/>
        <w:tabs>
          <w:tab w:leader="none" w:pos="480" w:val="left"/>
        </w:tabs>
        <w:numPr>
          <w:ilvl w:val="0"/>
          <w:numId w:val="94"/>
        </w:numPr>
        <w:rPr>
          <w:rFonts w:ascii="Arial" w:cs="Arial" w:eastAsia="Arial" w:hAnsi="Arial"/>
          <w:sz w:val="16"/>
          <w:szCs w:val="16"/>
          <w:color w:val="29292B"/>
        </w:rPr>
      </w:pPr>
      <w:r>
        <w:rPr>
          <w:rFonts w:ascii="Arial" w:cs="Arial" w:eastAsia="Arial" w:hAnsi="Arial"/>
          <w:sz w:val="16"/>
          <w:szCs w:val="16"/>
          <w:i w:val="1"/>
          <w:iCs w:val="1"/>
          <w:color w:val="29292B"/>
        </w:rPr>
        <w:t xml:space="preserve">Restricted Shares. </w:t>
      </w:r>
      <w:r>
        <w:rPr>
          <w:rFonts w:ascii="Arial" w:cs="Arial" w:eastAsia="Arial" w:hAnsi="Arial"/>
          <w:sz w:val="16"/>
          <w:szCs w:val="16"/>
          <w:color w:val="29292B"/>
        </w:rPr>
        <w:t>The Committee is authorized to grant Restricted Shares to Eligible Persons on the following terms and conditions:</w:t>
      </w:r>
    </w:p>
    <w:p>
      <w:pPr>
        <w:spacing w:after="0" w:line="180" w:lineRule="exact"/>
        <w:rPr>
          <w:rFonts w:ascii="Arial" w:cs="Arial" w:eastAsia="Arial" w:hAnsi="Arial"/>
          <w:sz w:val="16"/>
          <w:szCs w:val="16"/>
          <w:color w:val="29292B"/>
        </w:rPr>
      </w:pPr>
    </w:p>
    <w:p>
      <w:pPr>
        <w:ind w:left="980" w:right="160" w:hanging="486"/>
        <w:spacing w:after="0" w:line="300" w:lineRule="auto"/>
        <w:tabs>
          <w:tab w:leader="none" w:pos="975" w:val="left"/>
        </w:tabs>
        <w:numPr>
          <w:ilvl w:val="1"/>
          <w:numId w:val="94"/>
        </w:numPr>
        <w:rPr>
          <w:rFonts w:ascii="Arial" w:cs="Arial" w:eastAsia="Arial" w:hAnsi="Arial"/>
          <w:sz w:val="16"/>
          <w:szCs w:val="16"/>
          <w:color w:val="29292B"/>
        </w:rPr>
      </w:pPr>
      <w:r>
        <w:rPr>
          <w:rFonts w:ascii="Arial" w:cs="Arial" w:eastAsia="Arial" w:hAnsi="Arial"/>
          <w:sz w:val="16"/>
          <w:szCs w:val="16"/>
          <w:i w:val="1"/>
          <w:iCs w:val="1"/>
          <w:color w:val="29292B"/>
        </w:rPr>
        <w:t xml:space="preserve">Issuance and Restrictions. </w:t>
      </w:r>
      <w:r>
        <w:rPr>
          <w:rFonts w:ascii="Arial" w:cs="Arial" w:eastAsia="Arial" w:hAnsi="Arial"/>
          <w:sz w:val="16"/>
          <w:szCs w:val="16"/>
          <w:color w:val="29292B"/>
        </w:rPr>
        <w:t>Restricted Shares shall be subject to such restrictions on transferability and other restrictions, if any, as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Committee may impose at the date of grant or thereafter, which restrictions may lapse separately or in combination at such times, under such circumstances (including, without limitation, upon achievement of performance criteria if deemed appropriate by the Committee), in such installments, or otherwise, as the Committee may determine. Except to the extent restricted under the Award Agreement relating to the Restricted Shares, an Eligible Person granted Restricted Shares shall have all of the rights of a shareholder including, without limitation, the right to vote Restricted Shares and the right to receive dividends thereon; provided, however, that any dividends be subject to the same restrictions as the Restricted Shares and will be held in escrow and subject to forfeiture until such time as the Restricted Shares become fully vested.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032E5C"/>
              </w:rPr>
              <w:t>107</w:t>
            </w:r>
          </w:p>
        </w:tc>
        <w:tc>
          <w:tcPr>
            <w:tcW w:w="0" w:type="dxa"/>
            <w:vAlign w:val="bottom"/>
          </w:tcPr>
          <w:p>
            <w:pPr>
              <w:spacing w:after="0"/>
              <w:rPr>
                <w:sz w:val="1"/>
                <w:szCs w:val="1"/>
                <w:color w:val="auto"/>
              </w:rPr>
            </w:pPr>
          </w:p>
        </w:tc>
      </w:tr>
      <w:tr>
        <w:trPr>
          <w:trHeight w:val="60"/>
        </w:trPr>
        <w:tc>
          <w:tcPr>
            <w:tcW w:w="868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6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0"/>
        </w:trPr>
        <w:tc>
          <w:tcPr>
            <w:tcW w:w="1280" w:type="dxa"/>
            <w:vAlign w:val="bottom"/>
            <w:vMerge w:val="restart"/>
            <w:shd w:val="clear" w:color="auto" w:fill="98BDE2"/>
          </w:tcPr>
          <w:p>
            <w:pPr>
              <w:ind w:left="260"/>
              <w:spacing w:after="0"/>
              <w:rPr>
                <w:sz w:val="20"/>
                <w:szCs w:val="20"/>
                <w:color w:val="auto"/>
              </w:rPr>
            </w:pPr>
            <w:r>
              <w:rPr>
                <w:rFonts w:ascii="Arial" w:cs="Arial" w:eastAsia="Arial" w:hAnsi="Arial"/>
                <w:sz w:val="13"/>
                <w:szCs w:val="13"/>
                <w:b w:val="1"/>
                <w:bCs w:val="1"/>
                <w:color w:val="032E5C"/>
              </w:rPr>
              <w:t>APPENDIX B</w:t>
            </w:r>
          </w:p>
        </w:tc>
        <w:tc>
          <w:tcPr>
            <w:tcW w:w="9940" w:type="dxa"/>
            <w:vAlign w:val="bottom"/>
          </w:tcPr>
          <w:p>
            <w:pPr>
              <w:ind w:left="88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280" w:type="dxa"/>
            <w:vAlign w:val="bottom"/>
            <w:vMerge w:val="continue"/>
            <w:shd w:val="clear" w:color="auto" w:fill="98BDE2"/>
          </w:tcPr>
          <w:p>
            <w:pPr>
              <w:spacing w:after="0"/>
              <w:rPr>
                <w:sz w:val="4"/>
                <w:szCs w:val="4"/>
                <w:color w:val="auto"/>
              </w:rPr>
            </w:pPr>
          </w:p>
        </w:tc>
        <w:tc>
          <w:tcPr>
            <w:tcW w:w="9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280" w:type="dxa"/>
            <w:vAlign w:val="bottom"/>
            <w:shd w:val="clear" w:color="auto" w:fill="98BDE2"/>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right="220" w:hanging="486"/>
        <w:spacing w:after="0" w:line="303" w:lineRule="auto"/>
        <w:tabs>
          <w:tab w:leader="none" w:pos="971" w:val="left"/>
        </w:tabs>
        <w:numPr>
          <w:ilvl w:val="1"/>
          <w:numId w:val="95"/>
        </w:numPr>
        <w:rPr>
          <w:rFonts w:ascii="Arial" w:cs="Arial" w:eastAsia="Arial" w:hAnsi="Arial"/>
          <w:sz w:val="16"/>
          <w:szCs w:val="16"/>
          <w:color w:val="29292B"/>
        </w:rPr>
      </w:pPr>
      <w:r>
        <w:rPr>
          <w:rFonts w:ascii="Arial" w:cs="Arial" w:eastAsia="Arial" w:hAnsi="Arial"/>
          <w:sz w:val="16"/>
          <w:szCs w:val="16"/>
          <w:i w:val="1"/>
          <w:iCs w:val="1"/>
          <w:color w:val="29292B"/>
        </w:rPr>
        <w:t xml:space="preserve">Forfeiture. </w:t>
      </w:r>
      <w:r>
        <w:rPr>
          <w:rFonts w:ascii="Arial" w:cs="Arial" w:eastAsia="Arial" w:hAnsi="Arial"/>
          <w:sz w:val="16"/>
          <w:szCs w:val="16"/>
          <w:color w:val="29292B"/>
        </w:rPr>
        <w:t>Except as otherwise determined by the Committee, at the date of grant or thereafter, upon termination of service during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applicable restriction period, Restricted Shares and any accrued but unpaid dividends or Dividend Equivalents that are at that time subject to restrictions shall be forfeited; provided, however, that the Committee may provide, by rule or regulation or in any Award Agreement, or may determine in any individual case, that restrictions or forfeiture conditions relating to Restricted Shares will be waived in whole or in part in the event of terminations resulting from specified Causes, and the Committee may in other cases waive in whole or in part the forfeiture of Restricted Shares.</w:t>
      </w:r>
    </w:p>
    <w:p>
      <w:pPr>
        <w:spacing w:after="0" w:line="104" w:lineRule="exact"/>
        <w:rPr>
          <w:rFonts w:ascii="Arial" w:cs="Arial" w:eastAsia="Arial" w:hAnsi="Arial"/>
          <w:sz w:val="16"/>
          <w:szCs w:val="16"/>
          <w:color w:val="29292B"/>
        </w:rPr>
      </w:pPr>
    </w:p>
    <w:p>
      <w:pPr>
        <w:ind w:left="980" w:right="100" w:hanging="486"/>
        <w:spacing w:after="0" w:line="304" w:lineRule="auto"/>
        <w:tabs>
          <w:tab w:leader="none" w:pos="966" w:val="left"/>
        </w:tabs>
        <w:numPr>
          <w:ilvl w:val="1"/>
          <w:numId w:val="95"/>
        </w:numPr>
        <w:rPr>
          <w:rFonts w:ascii="Arial" w:cs="Arial" w:eastAsia="Arial" w:hAnsi="Arial"/>
          <w:sz w:val="16"/>
          <w:szCs w:val="16"/>
          <w:color w:val="29292B"/>
        </w:rPr>
      </w:pPr>
      <w:r>
        <w:rPr>
          <w:rFonts w:ascii="Arial" w:cs="Arial" w:eastAsia="Arial" w:hAnsi="Arial"/>
          <w:sz w:val="16"/>
          <w:szCs w:val="16"/>
          <w:i w:val="1"/>
          <w:iCs w:val="1"/>
          <w:color w:val="29292B"/>
        </w:rPr>
        <w:t xml:space="preserve">Certificates for Shares and Book-Entry. </w:t>
      </w:r>
      <w:r>
        <w:rPr>
          <w:rFonts w:ascii="Arial" w:cs="Arial" w:eastAsia="Arial" w:hAnsi="Arial"/>
          <w:sz w:val="16"/>
          <w:szCs w:val="16"/>
          <w:color w:val="29292B"/>
        </w:rPr>
        <w:t>Restricted Shares granted under the Plan may be evidenced in such manner as the Committee shall</w:t>
      </w:r>
      <w:r>
        <w:rPr>
          <w:rFonts w:ascii="Arial" w:cs="Arial" w:eastAsia="Arial" w:hAnsi="Arial"/>
          <w:sz w:val="16"/>
          <w:szCs w:val="16"/>
          <w:i w:val="1"/>
          <w:iCs w:val="1"/>
          <w:color w:val="29292B"/>
        </w:rPr>
        <w:t xml:space="preserve"> </w:t>
      </w:r>
      <w:r>
        <w:rPr>
          <w:rFonts w:ascii="Arial" w:cs="Arial" w:eastAsia="Arial" w:hAnsi="Arial"/>
          <w:sz w:val="16"/>
          <w:szCs w:val="16"/>
          <w:color w:val="29292B"/>
        </w:rPr>
        <w:t>determine, which may include book-entry form (subject to the Company’s direction) or the issuance of certificates. If certificates representing Restricted Shares are registered in the name of the Eligible Person, such certificates shall bear an appropriate legend, or in the case of book-entry shares, a notation, referring to the terms, conditions, and restrictions applicable to such Restricted Shares, and the Company shall retain physical possession of any certificates issued.</w:t>
      </w:r>
    </w:p>
    <w:p>
      <w:pPr>
        <w:spacing w:after="0" w:line="103" w:lineRule="exact"/>
        <w:rPr>
          <w:rFonts w:ascii="Arial" w:cs="Arial" w:eastAsia="Arial" w:hAnsi="Arial"/>
          <w:sz w:val="16"/>
          <w:szCs w:val="16"/>
          <w:color w:val="29292B"/>
        </w:rPr>
      </w:pPr>
    </w:p>
    <w:p>
      <w:pPr>
        <w:ind w:left="980" w:hanging="486"/>
        <w:spacing w:after="0" w:line="302" w:lineRule="auto"/>
        <w:tabs>
          <w:tab w:leader="none" w:pos="975" w:val="left"/>
        </w:tabs>
        <w:numPr>
          <w:ilvl w:val="1"/>
          <w:numId w:val="95"/>
        </w:numPr>
        <w:rPr>
          <w:rFonts w:ascii="Arial" w:cs="Arial" w:eastAsia="Arial" w:hAnsi="Arial"/>
          <w:sz w:val="16"/>
          <w:szCs w:val="16"/>
          <w:color w:val="29292B"/>
        </w:rPr>
      </w:pPr>
      <w:r>
        <w:rPr>
          <w:rFonts w:ascii="Arial" w:cs="Arial" w:eastAsia="Arial" w:hAnsi="Arial"/>
          <w:sz w:val="16"/>
          <w:szCs w:val="16"/>
          <w:i w:val="1"/>
          <w:iCs w:val="1"/>
          <w:color w:val="29292B"/>
        </w:rPr>
        <w:t xml:space="preserve">Dividends. </w:t>
      </w:r>
      <w:r>
        <w:rPr>
          <w:rFonts w:ascii="Arial" w:cs="Arial" w:eastAsia="Arial" w:hAnsi="Arial"/>
          <w:sz w:val="16"/>
          <w:szCs w:val="16"/>
          <w:color w:val="29292B"/>
        </w:rPr>
        <w:t>Dividends paid on vested Restricted Shares shall be either paid at the dividend payment date, or deferred for payment to such date</w:t>
      </w:r>
      <w:r>
        <w:rPr>
          <w:rFonts w:ascii="Arial" w:cs="Arial" w:eastAsia="Arial" w:hAnsi="Arial"/>
          <w:sz w:val="16"/>
          <w:szCs w:val="16"/>
          <w:i w:val="1"/>
          <w:iCs w:val="1"/>
          <w:color w:val="29292B"/>
        </w:rPr>
        <w:t xml:space="preserve"> </w:t>
      </w:r>
      <w:r>
        <w:rPr>
          <w:rFonts w:ascii="Arial" w:cs="Arial" w:eastAsia="Arial" w:hAnsi="Arial"/>
          <w:sz w:val="16"/>
          <w:szCs w:val="16"/>
          <w:color w:val="29292B"/>
        </w:rPr>
        <w:t>as determined by the Committee, in cash or in unrestricted Shares having a Fair Market Value equal to the amount of such dividends; provided, however, that dividends payable in respect of Restricted Shares that vest based on the achievement of performance criteria shall be subject to all conditions and restrictions of the underlying Restricted Shares to which they relate. Any dividends paid on unvested Restricted Shares will be subject to the same restrictions as the Restricted Shares and will be held in escrow and subject to forfeiture until such time as the Restricted Shares become fully vested. Shares distributed in connection with a Share split or dividend in Shares, and other property distributed as a dividend, shall be subject to restrictions and a risk of forfeiture to the same extent as the Restricted Shares with respect to which such Shares or other property has been distributed.</w:t>
      </w:r>
    </w:p>
    <w:p>
      <w:pPr>
        <w:spacing w:after="0" w:line="105" w:lineRule="exact"/>
        <w:rPr>
          <w:rFonts w:ascii="Arial" w:cs="Arial" w:eastAsia="Arial" w:hAnsi="Arial"/>
          <w:sz w:val="16"/>
          <w:szCs w:val="16"/>
          <w:color w:val="29292B"/>
        </w:rPr>
      </w:pPr>
    </w:p>
    <w:p>
      <w:pPr>
        <w:ind w:left="500" w:right="820" w:hanging="492"/>
        <w:spacing w:after="0" w:line="321" w:lineRule="auto"/>
        <w:tabs>
          <w:tab w:leader="none" w:pos="509" w:val="left"/>
        </w:tabs>
        <w:numPr>
          <w:ilvl w:val="0"/>
          <w:numId w:val="96"/>
        </w:numPr>
        <w:rPr>
          <w:rFonts w:ascii="Arial" w:cs="Arial" w:eastAsia="Arial" w:hAnsi="Arial"/>
          <w:sz w:val="16"/>
          <w:szCs w:val="16"/>
          <w:color w:val="29292B"/>
        </w:rPr>
      </w:pPr>
      <w:r>
        <w:rPr>
          <w:rFonts w:ascii="Arial" w:cs="Arial" w:eastAsia="Arial" w:hAnsi="Arial"/>
          <w:sz w:val="16"/>
          <w:szCs w:val="16"/>
          <w:i w:val="1"/>
          <w:iCs w:val="1"/>
          <w:color w:val="29292B"/>
        </w:rPr>
        <w:t xml:space="preserve">Restricted Share Units. </w:t>
      </w:r>
      <w:r>
        <w:rPr>
          <w:rFonts w:ascii="Arial" w:cs="Arial" w:eastAsia="Arial" w:hAnsi="Arial"/>
          <w:sz w:val="16"/>
          <w:szCs w:val="16"/>
          <w:color w:val="29292B"/>
        </w:rPr>
        <w:t>The Committee is authorized to grant Restricted Share Units to Eligible Persons, subject to the following terms and</w:t>
      </w:r>
      <w:r>
        <w:rPr>
          <w:rFonts w:ascii="Arial" w:cs="Arial" w:eastAsia="Arial" w:hAnsi="Arial"/>
          <w:sz w:val="16"/>
          <w:szCs w:val="16"/>
          <w:i w:val="1"/>
          <w:iCs w:val="1"/>
          <w:color w:val="29292B"/>
        </w:rPr>
        <w:t xml:space="preserve"> </w:t>
      </w:r>
      <w:r>
        <w:rPr>
          <w:rFonts w:ascii="Arial" w:cs="Arial" w:eastAsia="Arial" w:hAnsi="Arial"/>
          <w:sz w:val="16"/>
          <w:szCs w:val="16"/>
          <w:color w:val="29292B"/>
        </w:rPr>
        <w:t>conditions:</w:t>
      </w:r>
    </w:p>
    <w:p>
      <w:pPr>
        <w:spacing w:after="0" w:line="88" w:lineRule="exact"/>
        <w:rPr>
          <w:rFonts w:ascii="Arial" w:cs="Arial" w:eastAsia="Arial" w:hAnsi="Arial"/>
          <w:sz w:val="16"/>
          <w:szCs w:val="16"/>
          <w:color w:val="29292B"/>
        </w:rPr>
      </w:pPr>
    </w:p>
    <w:p>
      <w:pPr>
        <w:ind w:left="980" w:right="60" w:hanging="486"/>
        <w:spacing w:after="0" w:line="304" w:lineRule="auto"/>
        <w:tabs>
          <w:tab w:leader="none" w:pos="975" w:val="left"/>
        </w:tabs>
        <w:numPr>
          <w:ilvl w:val="1"/>
          <w:numId w:val="96"/>
        </w:numPr>
        <w:rPr>
          <w:rFonts w:ascii="Arial" w:cs="Arial" w:eastAsia="Arial" w:hAnsi="Arial"/>
          <w:sz w:val="16"/>
          <w:szCs w:val="16"/>
          <w:color w:val="29292B"/>
        </w:rPr>
      </w:pPr>
      <w:r>
        <w:rPr>
          <w:rFonts w:ascii="Arial" w:cs="Arial" w:eastAsia="Arial" w:hAnsi="Arial"/>
          <w:sz w:val="16"/>
          <w:szCs w:val="16"/>
          <w:i w:val="1"/>
          <w:iCs w:val="1"/>
          <w:color w:val="29292B"/>
        </w:rPr>
        <w:t xml:space="preserve">Award and Restrictions. </w:t>
      </w:r>
      <w:r>
        <w:rPr>
          <w:rFonts w:ascii="Arial" w:cs="Arial" w:eastAsia="Arial" w:hAnsi="Arial"/>
          <w:sz w:val="16"/>
          <w:szCs w:val="16"/>
          <w:color w:val="29292B"/>
        </w:rPr>
        <w:t>Delivery of Shares or cash, as the case may be, will occur upon expiration of the deferral period specified for</w:t>
      </w:r>
      <w:r>
        <w:rPr>
          <w:rFonts w:ascii="Arial" w:cs="Arial" w:eastAsia="Arial" w:hAnsi="Arial"/>
          <w:sz w:val="16"/>
          <w:szCs w:val="16"/>
          <w:i w:val="1"/>
          <w:iCs w:val="1"/>
          <w:color w:val="29292B"/>
        </w:rPr>
        <w:t xml:space="preserve"> </w:t>
      </w:r>
      <w:r>
        <w:rPr>
          <w:rFonts w:ascii="Arial" w:cs="Arial" w:eastAsia="Arial" w:hAnsi="Arial"/>
          <w:sz w:val="16"/>
          <w:szCs w:val="16"/>
          <w:color w:val="29292B"/>
        </w:rPr>
        <w:t>Restricted Share Units by the Committee (or, if permitted by the Committee, as elected by the Eligible Person). In addition, Restricted Share Units shall be subject to such restrictions as the Committee may impose, if any (including, without limitation, the achievement of performance criteria if deemed appropriate by the Committee), at the date of grant or thereafter, which restrictions may lapse at the expiration of the deferral period or at earlier or later specified times, separately or in combination, in installments or otherwise, as the Committee may determine.</w:t>
      </w:r>
    </w:p>
    <w:p>
      <w:pPr>
        <w:spacing w:after="0" w:line="103" w:lineRule="exact"/>
        <w:rPr>
          <w:rFonts w:ascii="Arial" w:cs="Arial" w:eastAsia="Arial" w:hAnsi="Arial"/>
          <w:sz w:val="16"/>
          <w:szCs w:val="16"/>
          <w:color w:val="29292B"/>
        </w:rPr>
      </w:pPr>
    </w:p>
    <w:p>
      <w:pPr>
        <w:ind w:left="980" w:right="20" w:hanging="486"/>
        <w:spacing w:after="0" w:line="302" w:lineRule="auto"/>
        <w:tabs>
          <w:tab w:leader="none" w:pos="971" w:val="left"/>
        </w:tabs>
        <w:numPr>
          <w:ilvl w:val="1"/>
          <w:numId w:val="96"/>
        </w:numPr>
        <w:rPr>
          <w:rFonts w:ascii="Arial" w:cs="Arial" w:eastAsia="Arial" w:hAnsi="Arial"/>
          <w:sz w:val="16"/>
          <w:szCs w:val="16"/>
          <w:color w:val="29292B"/>
        </w:rPr>
      </w:pPr>
      <w:r>
        <w:rPr>
          <w:rFonts w:ascii="Arial" w:cs="Arial" w:eastAsia="Arial" w:hAnsi="Arial"/>
          <w:sz w:val="16"/>
          <w:szCs w:val="16"/>
          <w:i w:val="1"/>
          <w:iCs w:val="1"/>
          <w:color w:val="29292B"/>
        </w:rPr>
        <w:t xml:space="preserve">Forfeiture. </w:t>
      </w:r>
      <w:r>
        <w:rPr>
          <w:rFonts w:ascii="Arial" w:cs="Arial" w:eastAsia="Arial" w:hAnsi="Arial"/>
          <w:sz w:val="16"/>
          <w:szCs w:val="16"/>
          <w:color w:val="29292B"/>
        </w:rPr>
        <w:t>Except as otherwise determined by the Committee at date of grant or thereafter, upon termination of service (as determined under</w:t>
      </w:r>
      <w:r>
        <w:rPr>
          <w:rFonts w:ascii="Arial" w:cs="Arial" w:eastAsia="Arial" w:hAnsi="Arial"/>
          <w:sz w:val="16"/>
          <w:szCs w:val="16"/>
          <w:i w:val="1"/>
          <w:iCs w:val="1"/>
          <w:color w:val="29292B"/>
        </w:rPr>
        <w:t xml:space="preserve"> </w:t>
      </w:r>
      <w:r>
        <w:rPr>
          <w:rFonts w:ascii="Arial" w:cs="Arial" w:eastAsia="Arial" w:hAnsi="Arial"/>
          <w:sz w:val="16"/>
          <w:szCs w:val="16"/>
          <w:color w:val="29292B"/>
        </w:rPr>
        <w:t>criteria established by the Committee) during the applicable deferral period or portion thereof to which forfeiture conditions apply (as provided in the Award Agreement evidencing the Restricted Share Units), or upon failure to satisfy any other conditions precedent to the delivery of Shares or cash to which such Restricted Share Units relate, all Restricted Share Units that are at that time subject to deferral or restriction shall be forfeited; provided, however, that the Committee may provide, by rule or regulation or in any Award Agreement, or may determine in any individual case, that restrictions or forfeiture conditions relating to Restricted Share Units will be waived in whole or in part in the event of termination resulting from specified Causes, and the Committee may in other cases waive in whole or in part the forfeiture of Restricted Share Units.</w:t>
      </w:r>
    </w:p>
    <w:p>
      <w:pPr>
        <w:spacing w:after="0" w:line="91" w:lineRule="exact"/>
        <w:rPr>
          <w:rFonts w:ascii="Arial" w:cs="Arial" w:eastAsia="Arial" w:hAnsi="Arial"/>
          <w:sz w:val="16"/>
          <w:szCs w:val="16"/>
          <w:color w:val="29292B"/>
        </w:rPr>
      </w:pPr>
    </w:p>
    <w:p>
      <w:pPr>
        <w:ind w:left="500" w:right="200" w:hanging="492"/>
        <w:spacing w:after="0" w:line="339" w:lineRule="auto"/>
        <w:tabs>
          <w:tab w:leader="none" w:pos="491" w:val="left"/>
        </w:tabs>
        <w:numPr>
          <w:ilvl w:val="0"/>
          <w:numId w:val="96"/>
        </w:numPr>
        <w:rPr>
          <w:rFonts w:ascii="Arial" w:cs="Arial" w:eastAsia="Arial" w:hAnsi="Arial"/>
          <w:sz w:val="16"/>
          <w:szCs w:val="16"/>
          <w:color w:val="29292B"/>
        </w:rPr>
      </w:pPr>
      <w:r>
        <w:rPr>
          <w:rFonts w:ascii="Arial" w:cs="Arial" w:eastAsia="Arial" w:hAnsi="Arial"/>
          <w:sz w:val="16"/>
          <w:szCs w:val="16"/>
          <w:i w:val="1"/>
          <w:iCs w:val="1"/>
          <w:color w:val="29292B"/>
        </w:rPr>
        <w:t xml:space="preserve">Performance Shares, Performance Units, and Performance Cash Awards. </w:t>
      </w:r>
      <w:r>
        <w:rPr>
          <w:rFonts w:ascii="Arial" w:cs="Arial" w:eastAsia="Arial" w:hAnsi="Arial"/>
          <w:sz w:val="16"/>
          <w:szCs w:val="16"/>
          <w:color w:val="29292B"/>
        </w:rPr>
        <w:t>The Committee is authorized to grant Performance Shares, Performance</w:t>
      </w:r>
      <w:r>
        <w:rPr>
          <w:rFonts w:ascii="Arial" w:cs="Arial" w:eastAsia="Arial" w:hAnsi="Arial"/>
          <w:sz w:val="16"/>
          <w:szCs w:val="16"/>
          <w:i w:val="1"/>
          <w:iCs w:val="1"/>
          <w:color w:val="29292B"/>
        </w:rPr>
        <w:t xml:space="preserve"> </w:t>
      </w:r>
      <w:r>
        <w:rPr>
          <w:rFonts w:ascii="Arial" w:cs="Arial" w:eastAsia="Arial" w:hAnsi="Arial"/>
          <w:sz w:val="16"/>
          <w:szCs w:val="16"/>
          <w:color w:val="29292B"/>
        </w:rPr>
        <w:t>Units, and Performance Cash Awards to Eligible Persons on the following terms and conditions:</w:t>
      </w:r>
    </w:p>
    <w:p>
      <w:pPr>
        <w:spacing w:after="0" w:line="74" w:lineRule="exact"/>
        <w:rPr>
          <w:rFonts w:ascii="Arial" w:cs="Arial" w:eastAsia="Arial" w:hAnsi="Arial"/>
          <w:sz w:val="16"/>
          <w:szCs w:val="16"/>
          <w:color w:val="29292B"/>
        </w:rPr>
      </w:pPr>
    </w:p>
    <w:p>
      <w:pPr>
        <w:ind w:left="980" w:right="40" w:hanging="486"/>
        <w:spacing w:after="0" w:line="306" w:lineRule="auto"/>
        <w:tabs>
          <w:tab w:leader="none" w:pos="975" w:val="left"/>
        </w:tabs>
        <w:numPr>
          <w:ilvl w:val="1"/>
          <w:numId w:val="96"/>
        </w:numPr>
        <w:rPr>
          <w:rFonts w:ascii="Arial" w:cs="Arial" w:eastAsia="Arial" w:hAnsi="Arial"/>
          <w:sz w:val="16"/>
          <w:szCs w:val="16"/>
          <w:color w:val="29292B"/>
        </w:rPr>
      </w:pPr>
      <w:r>
        <w:rPr>
          <w:rFonts w:ascii="Arial" w:cs="Arial" w:eastAsia="Arial" w:hAnsi="Arial"/>
          <w:sz w:val="16"/>
          <w:szCs w:val="16"/>
          <w:i w:val="1"/>
          <w:iCs w:val="1"/>
          <w:color w:val="29292B"/>
        </w:rPr>
        <w:t xml:space="preserve">General; Performance Period. </w:t>
      </w:r>
      <w:r>
        <w:rPr>
          <w:rFonts w:ascii="Arial" w:cs="Arial" w:eastAsia="Arial" w:hAnsi="Arial"/>
          <w:sz w:val="16"/>
          <w:szCs w:val="16"/>
          <w:color w:val="29292B"/>
        </w:rPr>
        <w:t>The right of a Participant to exercise or to receive a grant or settlement of any Performance Share, Performance</w:t>
      </w:r>
      <w:r>
        <w:rPr>
          <w:rFonts w:ascii="Arial" w:cs="Arial" w:eastAsia="Arial" w:hAnsi="Arial"/>
          <w:sz w:val="16"/>
          <w:szCs w:val="16"/>
          <w:i w:val="1"/>
          <w:iCs w:val="1"/>
          <w:color w:val="29292B"/>
        </w:rPr>
        <w:t xml:space="preserve"> </w:t>
      </w:r>
      <w:r>
        <w:rPr>
          <w:rFonts w:ascii="Arial" w:cs="Arial" w:eastAsia="Arial" w:hAnsi="Arial"/>
          <w:sz w:val="16"/>
          <w:szCs w:val="16"/>
          <w:color w:val="29292B"/>
        </w:rPr>
        <w:t>Unit, or Performance Cash Award, and the timing thereof, shall be subject to such performance objectives as may be specified by the Committee. Except as provided in Section 5(f)(iii), the Committee may use such business criteria and other measures of performance as it may deem appropriate in establishing any performance conditions. The Committee shall determine a performance period (the</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540" w:type="dxa"/>
            <w:vAlign w:val="bottom"/>
          </w:tcPr>
          <w:p>
            <w:pPr>
              <w:jc w:val="right"/>
              <w:ind w:right="2179"/>
              <w:spacing w:after="0"/>
              <w:rPr>
                <w:sz w:val="20"/>
                <w:szCs w:val="20"/>
                <w:color w:val="auto"/>
              </w:rPr>
            </w:pPr>
            <w:r>
              <w:rPr>
                <w:rFonts w:ascii="Arial" w:cs="Arial" w:eastAsia="Arial" w:hAnsi="Arial"/>
                <w:sz w:val="16"/>
                <w:szCs w:val="16"/>
                <w:b w:val="1"/>
                <w:bCs w:val="1"/>
                <w:color w:val="032E5C"/>
                <w:w w:val="97"/>
              </w:rPr>
              <w:t>108</w:t>
            </w:r>
          </w:p>
        </w:tc>
        <w:tc>
          <w:tcPr>
            <w:tcW w:w="3860" w:type="dxa"/>
            <w:vAlign w:val="bottom"/>
            <w:vMerge w:val="restart"/>
          </w:tcPr>
          <w:p>
            <w:pPr>
              <w:ind w:left="224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13" w:name="page114"/>
    <w:bookmarkEnd w:id="113"/>
    <w:tbl>
      <w:tblPr>
        <w:tblLayout w:type="fixed"/>
        <w:tblInd w:w="20"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Arial" w:cs="Arial" w:eastAsia="Arial" w:hAnsi="Arial"/>
                <w:sz w:val="14"/>
                <w:szCs w:val="14"/>
                <w:color w:val="032E5C"/>
              </w:rPr>
              <w:t>Table of Contents</w:t>
            </w:r>
          </w:p>
        </w:tc>
        <w:tc>
          <w:tcPr>
            <w:tcW w:w="5300" w:type="dxa"/>
            <w:vAlign w:val="bottom"/>
            <w:vMerge w:val="restart"/>
          </w:tcPr>
          <w:p>
            <w:pPr>
              <w:ind w:left="4540"/>
              <w:spacing w:after="0"/>
              <w:rPr>
                <w:sz w:val="20"/>
                <w:szCs w:val="20"/>
                <w:color w:val="auto"/>
              </w:rPr>
            </w:pPr>
            <w:r>
              <w:rPr>
                <w:rFonts w:ascii="Arial" w:cs="Arial" w:eastAsia="Arial" w:hAnsi="Arial"/>
                <w:sz w:val="13"/>
                <w:szCs w:val="13"/>
                <w:b w:val="1"/>
                <w:bCs w:val="1"/>
                <w:color w:val="032E5C"/>
                <w:w w:val="93"/>
              </w:rPr>
              <w:t>APPENDIX B</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6525895</wp:posOffset>
            </wp:positionH>
            <wp:positionV relativeFrom="page">
              <wp:posOffset>106045</wp:posOffset>
            </wp:positionV>
            <wp:extent cx="814705" cy="2400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1470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both"/>
        <w:ind w:left="980" w:right="140"/>
        <w:spacing w:after="0" w:line="319" w:lineRule="auto"/>
        <w:rPr>
          <w:sz w:val="20"/>
          <w:szCs w:val="20"/>
          <w:color w:val="auto"/>
        </w:rPr>
      </w:pPr>
      <w:r>
        <w:rPr>
          <w:rFonts w:ascii="Arial" w:cs="Arial" w:eastAsia="Arial" w:hAnsi="Arial"/>
          <w:sz w:val="16"/>
          <w:szCs w:val="16"/>
          <w:color w:val="29292B"/>
        </w:rPr>
        <w:t>“Performance Period”) of one or more years and shall determine the performance objectives for grants of Performance Shares, Performance Units, and Performance Cash Awards. Performance Periods may overlap and Eligible Persons may participate simultaneously with respect to Performance Shares, Performance Units, and Performance Cash Awards for which different Performance Periods are prescribed.</w:t>
      </w:r>
    </w:p>
    <w:p>
      <w:pPr>
        <w:spacing w:after="0" w:line="90" w:lineRule="exact"/>
        <w:rPr>
          <w:sz w:val="20"/>
          <w:szCs w:val="20"/>
          <w:color w:val="auto"/>
        </w:rPr>
      </w:pPr>
    </w:p>
    <w:p>
      <w:pPr>
        <w:ind w:left="980" w:right="140" w:hanging="486"/>
        <w:spacing w:after="0" w:line="310" w:lineRule="auto"/>
        <w:tabs>
          <w:tab w:leader="none" w:pos="971" w:val="left"/>
        </w:tabs>
        <w:numPr>
          <w:ilvl w:val="0"/>
          <w:numId w:val="97"/>
        </w:numPr>
        <w:rPr>
          <w:rFonts w:ascii="Arial" w:cs="Arial" w:eastAsia="Arial" w:hAnsi="Arial"/>
          <w:sz w:val="16"/>
          <w:szCs w:val="16"/>
          <w:color w:val="29292B"/>
        </w:rPr>
      </w:pPr>
      <w:r>
        <w:rPr>
          <w:rFonts w:ascii="Arial" w:cs="Arial" w:eastAsia="Arial" w:hAnsi="Arial"/>
          <w:sz w:val="16"/>
          <w:szCs w:val="16"/>
          <w:i w:val="1"/>
          <w:iCs w:val="1"/>
          <w:color w:val="29292B"/>
        </w:rPr>
        <w:t xml:space="preserve">Performance Criteria for Awards. </w:t>
      </w:r>
      <w:r>
        <w:rPr>
          <w:rFonts w:ascii="Arial" w:cs="Arial" w:eastAsia="Arial" w:hAnsi="Arial"/>
          <w:sz w:val="16"/>
          <w:szCs w:val="16"/>
          <w:color w:val="29292B"/>
        </w:rPr>
        <w:t>The performance objectives for Awards may vary from Eligible Person to Eligible Person and shall be based</w:t>
      </w:r>
      <w:r>
        <w:rPr>
          <w:rFonts w:ascii="Arial" w:cs="Arial" w:eastAsia="Arial" w:hAnsi="Arial"/>
          <w:sz w:val="16"/>
          <w:szCs w:val="16"/>
          <w:i w:val="1"/>
          <w:iCs w:val="1"/>
          <w:color w:val="29292B"/>
        </w:rPr>
        <w:t xml:space="preserve"> </w:t>
      </w:r>
      <w:r>
        <w:rPr>
          <w:rFonts w:ascii="Arial" w:cs="Arial" w:eastAsia="Arial" w:hAnsi="Arial"/>
          <w:sz w:val="16"/>
          <w:szCs w:val="16"/>
          <w:color w:val="29292B"/>
        </w:rPr>
        <w:t>upon one or more of the following performance criteria as the Committee may deem appropriate, and in any relative proportion to the extent multiple goals are used in combination:</w:t>
      </w:r>
    </w:p>
    <w:p>
      <w:pPr>
        <w:spacing w:after="0" w:line="97"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reported EBITDA results for the Company's mountain segment;</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reported EBITDA results for the Company's lodging segment;</w:t>
      </w:r>
    </w:p>
    <w:p>
      <w:pPr>
        <w:spacing w:after="0" w:line="180" w:lineRule="exact"/>
        <w:rPr>
          <w:rFonts w:ascii="Arial" w:cs="Arial" w:eastAsia="Arial" w:hAnsi="Arial"/>
          <w:sz w:val="16"/>
          <w:szCs w:val="16"/>
          <w:color w:val="29292B"/>
        </w:rPr>
      </w:pPr>
    </w:p>
    <w:p>
      <w:pPr>
        <w:ind w:left="1460" w:right="100" w:hanging="480"/>
        <w:spacing w:after="0" w:line="339" w:lineRule="auto"/>
        <w:tabs>
          <w:tab w:leader="none" w:pos="1482"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reported EBITDA results on a resort basis (which is a combination of the Company's reported mountain segment EBITDA and reported lodging segment EBITDA);</w:t>
      </w:r>
    </w:p>
    <w:p>
      <w:pPr>
        <w:spacing w:after="0" w:line="6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reported EBITDA results for the Company's real estate segment;</w:t>
      </w:r>
    </w:p>
    <w:p>
      <w:pPr>
        <w:spacing w:after="0" w:line="180" w:lineRule="exact"/>
        <w:rPr>
          <w:rFonts w:ascii="Arial" w:cs="Arial" w:eastAsia="Arial" w:hAnsi="Arial"/>
          <w:sz w:val="16"/>
          <w:szCs w:val="16"/>
          <w:color w:val="29292B"/>
        </w:rPr>
      </w:pPr>
    </w:p>
    <w:p>
      <w:pPr>
        <w:ind w:left="1460" w:right="480" w:hanging="480"/>
        <w:spacing w:after="0" w:line="339" w:lineRule="auto"/>
        <w:tabs>
          <w:tab w:leader="none" w:pos="1487"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reported EBITDA results excluding stock-based compensation expense for any of the Company's mountain, lodging or real estate segments, and/or on a resort basis;</w:t>
      </w:r>
    </w:p>
    <w:p>
      <w:pPr>
        <w:spacing w:after="0" w:line="74" w:lineRule="exact"/>
        <w:rPr>
          <w:rFonts w:ascii="Arial" w:cs="Arial" w:eastAsia="Arial" w:hAnsi="Arial"/>
          <w:sz w:val="16"/>
          <w:szCs w:val="16"/>
          <w:color w:val="29292B"/>
        </w:rPr>
      </w:pPr>
    </w:p>
    <w:p>
      <w:pPr>
        <w:ind w:left="1460" w:right="140" w:hanging="480"/>
        <w:spacing w:after="0" w:line="339" w:lineRule="auto"/>
        <w:tabs>
          <w:tab w:leader="none" w:pos="1478"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real estate segment goals, including pre-sales targets, sales, closing timing and profitability targets, and construction related approvals and timing milestones;</w:t>
      </w:r>
    </w:p>
    <w:p>
      <w:pPr>
        <w:spacing w:after="0" w:line="6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revenue;</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net income;</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net income excluding stock-based compensation;</w:t>
      </w:r>
    </w:p>
    <w:p>
      <w:pPr>
        <w:spacing w:after="0" w:line="180" w:lineRule="exact"/>
        <w:rPr>
          <w:rFonts w:ascii="Arial" w:cs="Arial" w:eastAsia="Arial" w:hAnsi="Arial"/>
          <w:sz w:val="16"/>
          <w:szCs w:val="16"/>
          <w:color w:val="29292B"/>
        </w:rPr>
      </w:pPr>
    </w:p>
    <w:p>
      <w:pPr>
        <w:ind w:left="1500" w:hanging="520"/>
        <w:spacing w:after="0"/>
        <w:tabs>
          <w:tab w:leader="none" w:pos="150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pretax earnings;</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earnings before interest expense, taxes, depreciation, and amortization;</w:t>
      </w:r>
    </w:p>
    <w:p>
      <w:pPr>
        <w:spacing w:after="0" w:line="167"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operating margin;</w:t>
      </w:r>
    </w:p>
    <w:p>
      <w:pPr>
        <w:spacing w:after="0" w:line="180" w:lineRule="exact"/>
        <w:rPr>
          <w:rFonts w:ascii="Arial" w:cs="Arial" w:eastAsia="Arial" w:hAnsi="Arial"/>
          <w:sz w:val="16"/>
          <w:szCs w:val="16"/>
          <w:color w:val="29292B"/>
        </w:rPr>
      </w:pPr>
    </w:p>
    <w:p>
      <w:pPr>
        <w:ind w:left="1460" w:hanging="480"/>
        <w:spacing w:after="0"/>
        <w:tabs>
          <w:tab w:leader="none" w:pos="146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earnings per share;</w:t>
      </w:r>
    </w:p>
    <w:p>
      <w:pPr>
        <w:spacing w:after="0" w:line="180" w:lineRule="exact"/>
        <w:rPr>
          <w:rFonts w:ascii="Arial" w:cs="Arial" w:eastAsia="Arial" w:hAnsi="Arial"/>
          <w:sz w:val="16"/>
          <w:szCs w:val="16"/>
          <w:color w:val="29292B"/>
        </w:rPr>
      </w:pPr>
    </w:p>
    <w:p>
      <w:pPr>
        <w:ind w:left="1460" w:hanging="480"/>
        <w:spacing w:after="0"/>
        <w:tabs>
          <w:tab w:leader="none" w:pos="146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return on equity;</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return on capital;</w:t>
      </w:r>
    </w:p>
    <w:p>
      <w:pPr>
        <w:spacing w:after="0" w:line="167"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return on investment;</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operating earnings;</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working capital;</w:t>
      </w:r>
    </w:p>
    <w:p>
      <w:pPr>
        <w:spacing w:after="0" w:line="180" w:lineRule="exact"/>
        <w:rPr>
          <w:rFonts w:ascii="Arial" w:cs="Arial" w:eastAsia="Arial" w:hAnsi="Arial"/>
          <w:sz w:val="16"/>
          <w:szCs w:val="16"/>
          <w:color w:val="29292B"/>
        </w:rPr>
      </w:pPr>
    </w:p>
    <w:p>
      <w:pPr>
        <w:ind w:left="1500" w:hanging="520"/>
        <w:spacing w:after="0"/>
        <w:tabs>
          <w:tab w:leader="none" w:pos="150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ratio of debt to stockholders’ equity;</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Net Debt;</w:t>
      </w:r>
    </w:p>
    <w:p>
      <w:pPr>
        <w:spacing w:after="0" w:line="167"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ratio of Net Debt to Reported EBITDA;</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total stockholder return; and/or</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97"/>
        </w:numPr>
        <w:rPr>
          <w:rFonts w:ascii="Arial" w:cs="Arial" w:eastAsia="Arial" w:hAnsi="Arial"/>
          <w:sz w:val="16"/>
          <w:szCs w:val="16"/>
          <w:color w:val="29292B"/>
        </w:rPr>
      </w:pPr>
      <w:r>
        <w:rPr>
          <w:rFonts w:ascii="Arial" w:cs="Arial" w:eastAsia="Arial" w:hAnsi="Arial"/>
          <w:sz w:val="16"/>
          <w:szCs w:val="16"/>
          <w:color w:val="29292B"/>
        </w:rPr>
        <w:t>such combination of the foregoing performance-based criteria as the Committee shall determine in its sole discretion.</w:t>
      </w:r>
    </w:p>
    <w:p>
      <w:pPr>
        <w:spacing w:after="0" w:line="181" w:lineRule="exact"/>
        <w:rPr>
          <w:sz w:val="20"/>
          <w:szCs w:val="20"/>
          <w:color w:val="auto"/>
        </w:rPr>
      </w:pPr>
    </w:p>
    <w:p>
      <w:pPr>
        <w:ind w:left="980" w:right="40"/>
        <w:spacing w:after="0" w:line="304" w:lineRule="auto"/>
        <w:rPr>
          <w:sz w:val="20"/>
          <w:szCs w:val="20"/>
          <w:color w:val="auto"/>
        </w:rPr>
      </w:pPr>
      <w:r>
        <w:rPr>
          <w:rFonts w:ascii="Arial" w:cs="Arial" w:eastAsia="Arial" w:hAnsi="Arial"/>
          <w:sz w:val="16"/>
          <w:szCs w:val="16"/>
          <w:color w:val="29292B"/>
        </w:rPr>
        <w:t>The foregoing performance criteria may be determined by reference to the performance of the Company, or of a Subsidiary or Affiliate, or of a division or unit of any of the foregoing. Performance under any of the foregoing performance criteria (1) may be used to measure the performance of (a) the Company, its Subsidiaries, and other Affiliates as a whole, (b) the Company, any Subsidiary, any other Affiliate, or any combination thereof, or (c) any one or more business units or operating segments of the Company, any Subsidiary, and/or any other Affiliate, in each case as the Committee, in its sole discretion, deems appropriate, (2) may be compared to the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032E5C"/>
              </w:rPr>
              <w:t>109</w:t>
            </w:r>
          </w:p>
        </w:tc>
        <w:tc>
          <w:tcPr>
            <w:tcW w:w="0" w:type="dxa"/>
            <w:vAlign w:val="bottom"/>
          </w:tcPr>
          <w:p>
            <w:pPr>
              <w:spacing w:after="0"/>
              <w:rPr>
                <w:sz w:val="1"/>
                <w:szCs w:val="1"/>
                <w:color w:val="auto"/>
              </w:rPr>
            </w:pPr>
          </w:p>
        </w:tc>
      </w:tr>
      <w:tr>
        <w:trPr>
          <w:trHeight w:val="60"/>
        </w:trPr>
        <w:tc>
          <w:tcPr>
            <w:tcW w:w="868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6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0"/>
        </w:trPr>
        <w:tc>
          <w:tcPr>
            <w:tcW w:w="1280" w:type="dxa"/>
            <w:vAlign w:val="bottom"/>
            <w:vMerge w:val="restart"/>
            <w:shd w:val="clear" w:color="auto" w:fill="98BDE2"/>
          </w:tcPr>
          <w:p>
            <w:pPr>
              <w:ind w:left="260"/>
              <w:spacing w:after="0"/>
              <w:rPr>
                <w:sz w:val="20"/>
                <w:szCs w:val="20"/>
                <w:color w:val="auto"/>
              </w:rPr>
            </w:pPr>
            <w:r>
              <w:rPr>
                <w:rFonts w:ascii="Arial" w:cs="Arial" w:eastAsia="Arial" w:hAnsi="Arial"/>
                <w:sz w:val="13"/>
                <w:szCs w:val="13"/>
                <w:b w:val="1"/>
                <w:bCs w:val="1"/>
                <w:color w:val="032E5C"/>
              </w:rPr>
              <w:t>APPENDIX B</w:t>
            </w:r>
          </w:p>
        </w:tc>
        <w:tc>
          <w:tcPr>
            <w:tcW w:w="9940" w:type="dxa"/>
            <w:vAlign w:val="bottom"/>
          </w:tcPr>
          <w:p>
            <w:pPr>
              <w:ind w:left="88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280" w:type="dxa"/>
            <w:vAlign w:val="bottom"/>
            <w:vMerge w:val="continue"/>
            <w:shd w:val="clear" w:color="auto" w:fill="98BDE2"/>
          </w:tcPr>
          <w:p>
            <w:pPr>
              <w:spacing w:after="0"/>
              <w:rPr>
                <w:sz w:val="4"/>
                <w:szCs w:val="4"/>
                <w:color w:val="auto"/>
              </w:rPr>
            </w:pPr>
          </w:p>
        </w:tc>
        <w:tc>
          <w:tcPr>
            <w:tcW w:w="9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280" w:type="dxa"/>
            <w:vAlign w:val="bottom"/>
            <w:shd w:val="clear" w:color="auto" w:fill="98BDE2"/>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right="20"/>
        <w:spacing w:after="0" w:line="303" w:lineRule="auto"/>
        <w:rPr>
          <w:sz w:val="20"/>
          <w:szCs w:val="20"/>
          <w:color w:val="auto"/>
        </w:rPr>
      </w:pPr>
      <w:r>
        <w:rPr>
          <w:rFonts w:ascii="Arial" w:cs="Arial" w:eastAsia="Arial" w:hAnsi="Arial"/>
          <w:sz w:val="16"/>
          <w:szCs w:val="16"/>
          <w:color w:val="29292B"/>
        </w:rPr>
        <w:t>performance of one or more other companies or one or more published or special indices designated or approved by the Committee for such comparison, as the Committee, in its sole discretion, deems appropriate, (3) may be stated as a combination of one or more performance objectives, and (4) may be measured on an absolute or relative basis and on a GAAP or non-GAAP basis. In addition, the Committee, in its sole discretion, may select performance under the total shareholder return performance criteria specified above for comparison to performance under one or more stock market indices designated or approved by the Committee. The Committee shall also have the authority to provide for accelerated vesting of any Award intended to qualify as performance-based compensation based on the achievement of performance objectives pursuant to the performance criteria specified above.</w:t>
      </w:r>
    </w:p>
    <w:p>
      <w:pPr>
        <w:spacing w:after="0" w:line="102" w:lineRule="exact"/>
        <w:rPr>
          <w:sz w:val="20"/>
          <w:szCs w:val="20"/>
          <w:color w:val="auto"/>
        </w:rPr>
      </w:pPr>
    </w:p>
    <w:p>
      <w:pPr>
        <w:jc w:val="both"/>
        <w:ind w:left="980" w:right="140" w:hanging="486"/>
        <w:spacing w:after="0" w:line="299" w:lineRule="auto"/>
        <w:tabs>
          <w:tab w:leader="none" w:pos="966" w:val="left"/>
        </w:tabs>
        <w:numPr>
          <w:ilvl w:val="1"/>
          <w:numId w:val="98"/>
        </w:numPr>
        <w:rPr>
          <w:rFonts w:ascii="Arial" w:cs="Arial" w:eastAsia="Arial" w:hAnsi="Arial"/>
          <w:sz w:val="16"/>
          <w:szCs w:val="16"/>
          <w:color w:val="29292B"/>
        </w:rPr>
      </w:pPr>
      <w:r>
        <w:rPr>
          <w:rFonts w:ascii="Arial" w:cs="Arial" w:eastAsia="Arial" w:hAnsi="Arial"/>
          <w:sz w:val="16"/>
          <w:szCs w:val="16"/>
          <w:i w:val="1"/>
          <w:iCs w:val="1"/>
          <w:color w:val="29292B"/>
        </w:rPr>
        <w:t xml:space="preserve">Evaluation of Performance. </w:t>
      </w:r>
      <w:r>
        <w:rPr>
          <w:rFonts w:ascii="Arial" w:cs="Arial" w:eastAsia="Arial" w:hAnsi="Arial"/>
          <w:sz w:val="16"/>
          <w:szCs w:val="16"/>
          <w:color w:val="29292B"/>
        </w:rPr>
        <w:t>The Committee may provide in any Performance Share, Performance Unit, or Performance Cash Award that any</w:t>
      </w:r>
      <w:r>
        <w:rPr>
          <w:rFonts w:ascii="Arial" w:cs="Arial" w:eastAsia="Arial" w:hAnsi="Arial"/>
          <w:sz w:val="16"/>
          <w:szCs w:val="16"/>
          <w:i w:val="1"/>
          <w:iCs w:val="1"/>
          <w:color w:val="29292B"/>
        </w:rPr>
        <w:t xml:space="preserve"> </w:t>
      </w:r>
      <w:r>
        <w:rPr>
          <w:rFonts w:ascii="Arial" w:cs="Arial" w:eastAsia="Arial" w:hAnsi="Arial"/>
          <w:sz w:val="16"/>
          <w:szCs w:val="16"/>
          <w:color w:val="29292B"/>
        </w:rPr>
        <w:t>evaluation of performance may include or exclude any of the following events that occur during a Performance Period: (A) asset write-downs;</w:t>
      </w:r>
    </w:p>
    <w:p>
      <w:pPr>
        <w:jc w:val="both"/>
        <w:ind w:left="980" w:right="60"/>
        <w:spacing w:after="0" w:line="306" w:lineRule="auto"/>
        <w:tabs>
          <w:tab w:leader="none" w:pos="1241" w:val="left"/>
        </w:tabs>
        <w:numPr>
          <w:ilvl w:val="2"/>
          <w:numId w:val="98"/>
        </w:numPr>
        <w:rPr>
          <w:rFonts w:ascii="Arial" w:cs="Arial" w:eastAsia="Arial" w:hAnsi="Arial"/>
          <w:sz w:val="16"/>
          <w:szCs w:val="16"/>
          <w:color w:val="29292B"/>
        </w:rPr>
      </w:pPr>
      <w:r>
        <w:rPr>
          <w:rFonts w:ascii="Arial" w:cs="Arial" w:eastAsia="Arial" w:hAnsi="Arial"/>
          <w:sz w:val="16"/>
          <w:szCs w:val="16"/>
          <w:color w:val="29292B"/>
        </w:rPr>
        <w:t>litigation or claims, judgments, or settlements; (C) the effect of changes in tax laws, accounting principles, or other laws or provisions affecting reported results; (D) any reorganization or restructuring events or programs; (E) extraordinary, non-core, non-operating, or non-recurring items; (F) acquisitions or divestitures; (G) foreign exchange gains and losses; (H) impact of shares of stock purchased through share repurchase programs; (I) tax valuation allowance reversals; (J) impairment expense; and (K) environmental expense.</w:t>
      </w:r>
    </w:p>
    <w:p>
      <w:pPr>
        <w:spacing w:after="0" w:line="101" w:lineRule="exact"/>
        <w:rPr>
          <w:rFonts w:ascii="Arial" w:cs="Arial" w:eastAsia="Arial" w:hAnsi="Arial"/>
          <w:sz w:val="16"/>
          <w:szCs w:val="16"/>
          <w:color w:val="29292B"/>
        </w:rPr>
      </w:pPr>
    </w:p>
    <w:p>
      <w:pPr>
        <w:ind w:left="980" w:right="80" w:hanging="486"/>
        <w:spacing w:after="0" w:line="304" w:lineRule="auto"/>
        <w:tabs>
          <w:tab w:leader="none" w:pos="975" w:val="left"/>
        </w:tabs>
        <w:numPr>
          <w:ilvl w:val="1"/>
          <w:numId w:val="98"/>
        </w:numPr>
        <w:rPr>
          <w:rFonts w:ascii="Arial" w:cs="Arial" w:eastAsia="Arial" w:hAnsi="Arial"/>
          <w:sz w:val="16"/>
          <w:szCs w:val="16"/>
          <w:color w:val="29292B"/>
        </w:rPr>
      </w:pPr>
      <w:r>
        <w:rPr>
          <w:rFonts w:ascii="Arial" w:cs="Arial" w:eastAsia="Arial" w:hAnsi="Arial"/>
          <w:sz w:val="16"/>
          <w:szCs w:val="16"/>
          <w:i w:val="1"/>
          <w:iCs w:val="1"/>
          <w:color w:val="29292B"/>
        </w:rPr>
        <w:t xml:space="preserve">Award Value. </w:t>
      </w:r>
      <w:r>
        <w:rPr>
          <w:rFonts w:ascii="Arial" w:cs="Arial" w:eastAsia="Arial" w:hAnsi="Arial"/>
          <w:sz w:val="16"/>
          <w:szCs w:val="16"/>
          <w:color w:val="29292B"/>
        </w:rPr>
        <w:t>At the beginning of a Performance Period, the Committee shall determine for each Eligible Person or group of Eligible Persons</w:t>
      </w:r>
      <w:r>
        <w:rPr>
          <w:rFonts w:ascii="Arial" w:cs="Arial" w:eastAsia="Arial" w:hAnsi="Arial"/>
          <w:sz w:val="16"/>
          <w:szCs w:val="16"/>
          <w:i w:val="1"/>
          <w:iCs w:val="1"/>
          <w:color w:val="29292B"/>
        </w:rPr>
        <w:t xml:space="preserve"> </w:t>
      </w:r>
      <w:r>
        <w:rPr>
          <w:rFonts w:ascii="Arial" w:cs="Arial" w:eastAsia="Arial" w:hAnsi="Arial"/>
          <w:sz w:val="16"/>
          <w:szCs w:val="16"/>
          <w:color w:val="29292B"/>
        </w:rPr>
        <w:t>with respect to that Performance Period (A) the range of number of Shares, if any, in the case of Performance Shares, (B) the range of dollar values, if any, in the case of Performance Units, or (C) the range of cash awards in the case of Performance Cash Awards which may be fixed or may vary in accordance with such performance or other criteria specified by the Committee, which shall be paid to an Eligible Person as an Award if the relevant measure of Company performance for the Performance Period is met.</w:t>
      </w:r>
    </w:p>
    <w:p>
      <w:pPr>
        <w:spacing w:after="0" w:line="103" w:lineRule="exact"/>
        <w:rPr>
          <w:rFonts w:ascii="Arial" w:cs="Arial" w:eastAsia="Arial" w:hAnsi="Arial"/>
          <w:sz w:val="16"/>
          <w:szCs w:val="16"/>
          <w:color w:val="29292B"/>
        </w:rPr>
      </w:pPr>
    </w:p>
    <w:p>
      <w:pPr>
        <w:ind w:left="980" w:right="40" w:hanging="486"/>
        <w:spacing w:after="0" w:line="304" w:lineRule="auto"/>
        <w:tabs>
          <w:tab w:leader="none" w:pos="980" w:val="left"/>
        </w:tabs>
        <w:numPr>
          <w:ilvl w:val="1"/>
          <w:numId w:val="98"/>
        </w:numPr>
        <w:rPr>
          <w:rFonts w:ascii="Arial" w:cs="Arial" w:eastAsia="Arial" w:hAnsi="Arial"/>
          <w:sz w:val="16"/>
          <w:szCs w:val="16"/>
          <w:color w:val="29292B"/>
        </w:rPr>
      </w:pPr>
      <w:r>
        <w:rPr>
          <w:rFonts w:ascii="Arial" w:cs="Arial" w:eastAsia="Arial" w:hAnsi="Arial"/>
          <w:sz w:val="16"/>
          <w:szCs w:val="16"/>
          <w:i w:val="1"/>
          <w:iCs w:val="1"/>
          <w:color w:val="29292B"/>
        </w:rPr>
        <w:t xml:space="preserve">Significant Events. </w:t>
      </w:r>
      <w:r>
        <w:rPr>
          <w:rFonts w:ascii="Arial" w:cs="Arial" w:eastAsia="Arial" w:hAnsi="Arial"/>
          <w:sz w:val="16"/>
          <w:szCs w:val="16"/>
          <w:color w:val="29292B"/>
        </w:rPr>
        <w:t>If during the course of a Performance Period there shall occur significant events as determined by the Committee which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Committee expects to have a substantial effect on a performance objective during such period, the Committee may revise such objective; provided, however, that, the Committee shall not have any discretion to increase the amount of compensation payable under an Award. The Committee may, in its sole discretion, reduce the amount of a payment otherwise to be made in connection with Performance Shares, Performance Units, and Performance Cash Awards.</w:t>
      </w:r>
    </w:p>
    <w:p>
      <w:pPr>
        <w:spacing w:after="0" w:line="103" w:lineRule="exact"/>
        <w:rPr>
          <w:rFonts w:ascii="Arial" w:cs="Arial" w:eastAsia="Arial" w:hAnsi="Arial"/>
          <w:sz w:val="16"/>
          <w:szCs w:val="16"/>
          <w:color w:val="29292B"/>
        </w:rPr>
      </w:pPr>
    </w:p>
    <w:p>
      <w:pPr>
        <w:ind w:left="980" w:right="20" w:hanging="486"/>
        <w:spacing w:after="0" w:line="303" w:lineRule="auto"/>
        <w:tabs>
          <w:tab w:leader="none" w:pos="975" w:val="left"/>
        </w:tabs>
        <w:numPr>
          <w:ilvl w:val="1"/>
          <w:numId w:val="98"/>
        </w:numPr>
        <w:rPr>
          <w:rFonts w:ascii="Arial" w:cs="Arial" w:eastAsia="Arial" w:hAnsi="Arial"/>
          <w:sz w:val="16"/>
          <w:szCs w:val="16"/>
          <w:color w:val="29292B"/>
        </w:rPr>
      </w:pPr>
      <w:r>
        <w:rPr>
          <w:rFonts w:ascii="Arial" w:cs="Arial" w:eastAsia="Arial" w:hAnsi="Arial"/>
          <w:sz w:val="16"/>
          <w:szCs w:val="16"/>
          <w:i w:val="1"/>
          <w:iCs w:val="1"/>
          <w:color w:val="29292B"/>
        </w:rPr>
        <w:t xml:space="preserve">Forfeiture. </w:t>
      </w:r>
      <w:r>
        <w:rPr>
          <w:rFonts w:ascii="Arial" w:cs="Arial" w:eastAsia="Arial" w:hAnsi="Arial"/>
          <w:sz w:val="16"/>
          <w:szCs w:val="16"/>
          <w:color w:val="29292B"/>
        </w:rPr>
        <w:t>Except as otherwise determined by the Committee, at the date of grant or thereafter, upon termination of service during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applicable Performance Period, Performance Shares, Performance Units, and Performance Cash Awards for which the Performance Period was prescribed shall be forfeited; provided, however, that the Committee may provide, by rule or regulation or in any Award Agreement, or may determine in an individual case, that restrictions or forfeiture conditions relating to Performance Shares, Performance Units, and Performance Cash Awards will be waived in whole or in part in the event of terminations resulting from specified Causes, and the Committee may in other cases waive in whole or in part the forfeiture of Performance Shares, Performance Units, and Performance Cash Awards.</w:t>
      </w:r>
    </w:p>
    <w:p>
      <w:pPr>
        <w:spacing w:after="0" w:line="91" w:lineRule="exact"/>
        <w:rPr>
          <w:rFonts w:ascii="Arial" w:cs="Arial" w:eastAsia="Arial" w:hAnsi="Arial"/>
          <w:sz w:val="16"/>
          <w:szCs w:val="16"/>
          <w:color w:val="29292B"/>
        </w:rPr>
      </w:pPr>
    </w:p>
    <w:p>
      <w:pPr>
        <w:ind w:left="980" w:right="20" w:hanging="486"/>
        <w:spacing w:after="0" w:line="302" w:lineRule="auto"/>
        <w:tabs>
          <w:tab w:leader="none" w:pos="971" w:val="left"/>
        </w:tabs>
        <w:numPr>
          <w:ilvl w:val="1"/>
          <w:numId w:val="98"/>
        </w:numPr>
        <w:rPr>
          <w:rFonts w:ascii="Arial" w:cs="Arial" w:eastAsia="Arial" w:hAnsi="Arial"/>
          <w:sz w:val="16"/>
          <w:szCs w:val="16"/>
          <w:color w:val="29292B"/>
        </w:rPr>
      </w:pPr>
      <w:r>
        <w:rPr>
          <w:rFonts w:ascii="Arial" w:cs="Arial" w:eastAsia="Arial" w:hAnsi="Arial"/>
          <w:sz w:val="16"/>
          <w:szCs w:val="16"/>
          <w:i w:val="1"/>
          <w:iCs w:val="1"/>
          <w:color w:val="29292B"/>
        </w:rPr>
        <w:t xml:space="preserve">Payment. </w:t>
      </w:r>
      <w:r>
        <w:rPr>
          <w:rFonts w:ascii="Arial" w:cs="Arial" w:eastAsia="Arial" w:hAnsi="Arial"/>
          <w:sz w:val="16"/>
          <w:szCs w:val="16"/>
          <w:color w:val="29292B"/>
        </w:rPr>
        <w:t>Each Performance Share or Performance Unit may be paid in whole Shares, or cash, or a combination of Shares and cash either as</w:t>
      </w:r>
      <w:r>
        <w:rPr>
          <w:rFonts w:ascii="Arial" w:cs="Arial" w:eastAsia="Arial" w:hAnsi="Arial"/>
          <w:sz w:val="16"/>
          <w:szCs w:val="16"/>
          <w:i w:val="1"/>
          <w:iCs w:val="1"/>
          <w:color w:val="29292B"/>
        </w:rPr>
        <w:t xml:space="preserve"> </w:t>
      </w:r>
      <w:r>
        <w:rPr>
          <w:rFonts w:ascii="Arial" w:cs="Arial" w:eastAsia="Arial" w:hAnsi="Arial"/>
          <w:sz w:val="16"/>
          <w:szCs w:val="16"/>
          <w:color w:val="29292B"/>
        </w:rPr>
        <w:t>a lump sum payment or in installments, all as the Committee shall determine, at the time of grant of the Performance Share or Performance Unit or otherwise, commencing as soon as practicable after the end of the relevant Performance Period; provided, that unless specifically provided in the applicable Award Agreement, payment in respect of an Award shall occur no later than the fifteenth day of the third month following the end of the fiscal year in which such Performance Period ends. Each Performance Cash Award shall be paid in cash, commencing as soon as practicable after the end of the relevant Performance Period; provided, that unless specifically provided in the applicable Award Agreement, payment in respect of an Award shall occur no later than the fifteenth day of the third month following the end of the fiscal year in which such Performance Period ends.</w:t>
      </w:r>
    </w:p>
    <w:p>
      <w:pPr>
        <w:spacing w:after="0" w:line="105" w:lineRule="exact"/>
        <w:rPr>
          <w:rFonts w:ascii="Arial" w:cs="Arial" w:eastAsia="Arial" w:hAnsi="Arial"/>
          <w:sz w:val="16"/>
          <w:szCs w:val="16"/>
          <w:color w:val="29292B"/>
        </w:rPr>
      </w:pPr>
    </w:p>
    <w:p>
      <w:pPr>
        <w:ind w:left="500" w:right="340" w:hanging="492"/>
        <w:spacing w:after="0" w:line="310" w:lineRule="auto"/>
        <w:tabs>
          <w:tab w:leader="none" w:pos="509" w:val="left"/>
        </w:tabs>
        <w:numPr>
          <w:ilvl w:val="0"/>
          <w:numId w:val="99"/>
        </w:numPr>
        <w:rPr>
          <w:rFonts w:ascii="Arial" w:cs="Arial" w:eastAsia="Arial" w:hAnsi="Arial"/>
          <w:sz w:val="16"/>
          <w:szCs w:val="16"/>
          <w:color w:val="29292B"/>
        </w:rPr>
      </w:pPr>
      <w:r>
        <w:rPr>
          <w:rFonts w:ascii="Arial" w:cs="Arial" w:eastAsia="Arial" w:hAnsi="Arial"/>
          <w:sz w:val="16"/>
          <w:szCs w:val="16"/>
          <w:i w:val="1"/>
          <w:iCs w:val="1"/>
          <w:color w:val="29292B"/>
        </w:rPr>
        <w:t xml:space="preserve">Dividend Equivalents. </w:t>
      </w:r>
      <w:r>
        <w:rPr>
          <w:rFonts w:ascii="Arial" w:cs="Arial" w:eastAsia="Arial" w:hAnsi="Arial"/>
          <w:sz w:val="16"/>
          <w:szCs w:val="16"/>
          <w:color w:val="29292B"/>
        </w:rPr>
        <w:t>The Committee is authorized to grant Dividend Equivalents to Eligible Persons. The Committee may provide, at the date of</w:t>
      </w:r>
      <w:r>
        <w:rPr>
          <w:rFonts w:ascii="Arial" w:cs="Arial" w:eastAsia="Arial" w:hAnsi="Arial"/>
          <w:sz w:val="16"/>
          <w:szCs w:val="16"/>
          <w:i w:val="1"/>
          <w:iCs w:val="1"/>
          <w:color w:val="29292B"/>
        </w:rPr>
        <w:t xml:space="preserve"> </w:t>
      </w:r>
      <w:r>
        <w:rPr>
          <w:rFonts w:ascii="Arial" w:cs="Arial" w:eastAsia="Arial" w:hAnsi="Arial"/>
          <w:sz w:val="16"/>
          <w:szCs w:val="16"/>
          <w:color w:val="29292B"/>
        </w:rPr>
        <w:t>grant or thereafter, that Dividend Equivalents shall be paid or distributed when accrued or shall be deemed to have been reinvested in additional Shares, or other investment vehicles as the Committee may</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520" w:type="dxa"/>
            <w:vAlign w:val="bottom"/>
          </w:tcPr>
          <w:p>
            <w:pPr>
              <w:jc w:val="right"/>
              <w:ind w:right="2179"/>
              <w:spacing w:after="0"/>
              <w:rPr>
                <w:sz w:val="20"/>
                <w:szCs w:val="20"/>
                <w:color w:val="auto"/>
              </w:rPr>
            </w:pPr>
            <w:r>
              <w:rPr>
                <w:rFonts w:ascii="Arial" w:cs="Arial" w:eastAsia="Arial" w:hAnsi="Arial"/>
                <w:sz w:val="16"/>
                <w:szCs w:val="16"/>
                <w:b w:val="1"/>
                <w:bCs w:val="1"/>
                <w:color w:val="032E5C"/>
                <w:w w:val="89"/>
              </w:rPr>
              <w:t>110</w:t>
            </w:r>
          </w:p>
        </w:tc>
        <w:tc>
          <w:tcPr>
            <w:tcW w:w="3880" w:type="dxa"/>
            <w:vAlign w:val="bottom"/>
            <w:vMerge w:val="restart"/>
          </w:tcPr>
          <w:p>
            <w:pPr>
              <w:ind w:left="226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15" w:name="page116"/>
    <w:bookmarkEnd w:id="115"/>
    <w:tbl>
      <w:tblPr>
        <w:tblLayout w:type="fixed"/>
        <w:tblInd w:w="20"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Arial" w:cs="Arial" w:eastAsia="Arial" w:hAnsi="Arial"/>
                <w:sz w:val="14"/>
                <w:szCs w:val="14"/>
                <w:color w:val="032E5C"/>
              </w:rPr>
              <w:t>Table of Contents</w:t>
            </w:r>
          </w:p>
        </w:tc>
        <w:tc>
          <w:tcPr>
            <w:tcW w:w="5300" w:type="dxa"/>
            <w:vAlign w:val="bottom"/>
            <w:vMerge w:val="restart"/>
          </w:tcPr>
          <w:p>
            <w:pPr>
              <w:ind w:left="4540"/>
              <w:spacing w:after="0"/>
              <w:rPr>
                <w:sz w:val="20"/>
                <w:szCs w:val="20"/>
                <w:color w:val="auto"/>
              </w:rPr>
            </w:pPr>
            <w:r>
              <w:rPr>
                <w:rFonts w:ascii="Arial" w:cs="Arial" w:eastAsia="Arial" w:hAnsi="Arial"/>
                <w:sz w:val="13"/>
                <w:szCs w:val="13"/>
                <w:b w:val="1"/>
                <w:bCs w:val="1"/>
                <w:color w:val="032E5C"/>
                <w:w w:val="93"/>
              </w:rPr>
              <w:t>APPENDIX B</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6525895</wp:posOffset>
            </wp:positionH>
            <wp:positionV relativeFrom="page">
              <wp:posOffset>106045</wp:posOffset>
            </wp:positionV>
            <wp:extent cx="814705" cy="2400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1470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00" w:right="80"/>
        <w:spacing w:after="0" w:line="319" w:lineRule="auto"/>
        <w:rPr>
          <w:sz w:val="20"/>
          <w:szCs w:val="20"/>
          <w:color w:val="auto"/>
        </w:rPr>
      </w:pPr>
      <w:r>
        <w:rPr>
          <w:rFonts w:ascii="Arial" w:cs="Arial" w:eastAsia="Arial" w:hAnsi="Arial"/>
          <w:sz w:val="16"/>
          <w:szCs w:val="16"/>
          <w:color w:val="29292B"/>
        </w:rPr>
        <w:t>specify; provided, however, that Dividend Equivalents (other than freestanding Dividend Equivalents) shall be subject to all conditions and restrictions of the underlying Awards to which they relate; provided, further, that no Dividend Equivalents may be awarded in connection with, or related to, any unvested Award or Awards of Options or SARs.</w:t>
      </w:r>
    </w:p>
    <w:p>
      <w:pPr>
        <w:spacing w:after="0" w:line="90" w:lineRule="exact"/>
        <w:rPr>
          <w:sz w:val="20"/>
          <w:szCs w:val="20"/>
          <w:color w:val="auto"/>
        </w:rPr>
      </w:pPr>
    </w:p>
    <w:p>
      <w:pPr>
        <w:ind w:left="500" w:hanging="492"/>
        <w:spacing w:after="0" w:line="299" w:lineRule="auto"/>
        <w:tabs>
          <w:tab w:leader="none" w:pos="495" w:val="left"/>
        </w:tabs>
        <w:numPr>
          <w:ilvl w:val="0"/>
          <w:numId w:val="100"/>
        </w:numPr>
        <w:rPr>
          <w:rFonts w:ascii="Arial" w:cs="Arial" w:eastAsia="Arial" w:hAnsi="Arial"/>
          <w:sz w:val="16"/>
          <w:szCs w:val="16"/>
          <w:color w:val="29292B"/>
        </w:rPr>
      </w:pPr>
      <w:r>
        <w:rPr>
          <w:rFonts w:ascii="Arial" w:cs="Arial" w:eastAsia="Arial" w:hAnsi="Arial"/>
          <w:sz w:val="16"/>
          <w:szCs w:val="16"/>
          <w:i w:val="1"/>
          <w:iCs w:val="1"/>
          <w:color w:val="29292B"/>
        </w:rPr>
        <w:t xml:space="preserve">Other Share-Based Awards. </w:t>
      </w:r>
      <w:r>
        <w:rPr>
          <w:rFonts w:ascii="Arial" w:cs="Arial" w:eastAsia="Arial" w:hAnsi="Arial"/>
          <w:sz w:val="16"/>
          <w:szCs w:val="16"/>
          <w:color w:val="29292B"/>
        </w:rPr>
        <w:t>The Committee is authorized, subject to limitations under applicable law, to grant to Eligible Persons such other Awards</w:t>
      </w:r>
      <w:r>
        <w:rPr>
          <w:rFonts w:ascii="Arial" w:cs="Arial" w:eastAsia="Arial" w:hAnsi="Arial"/>
          <w:sz w:val="16"/>
          <w:szCs w:val="16"/>
          <w:i w:val="1"/>
          <w:iCs w:val="1"/>
          <w:color w:val="29292B"/>
        </w:rPr>
        <w:t xml:space="preserve"> </w:t>
      </w:r>
      <w:r>
        <w:rPr>
          <w:rFonts w:ascii="Arial" w:cs="Arial" w:eastAsia="Arial" w:hAnsi="Arial"/>
          <w:sz w:val="16"/>
          <w:szCs w:val="16"/>
          <w:color w:val="29292B"/>
        </w:rPr>
        <w:t>that may be denominated or payable in, valued in whole or in part by reference to, or otherwise based on, or related to, Shares, as deemed by the Committee to be consistent with the purposes of the Plan, including, without limitation, subject to Section 6(f), unrestricted shares awarded purely as a “bonus” and not subject to any restrictions or conditions, other rights convertible or exchangeable into Shares, purchase rights for Shares, Awards with value and payment contingent upon performance of the Company or any other factors designated by the Committee, and Awards valued by reference to the performance of specified Subsidiaries or Affiliates. The Committee shall determine the terms and conditions of such Awards at date of grant or thereafter. Shares delivered pursuant to an Award in the nature of a purchase right granted under this Section 5(h) shall be purchased for such consideration, paid for at such times, by such methods, and in such forms, including, without limitation, cash, Shares, notes or other property, as the Committee shall determine. Cash awards, as an element of or supplement to any other Award under the Plan, shall also be authorized pursuant to this Section 5(h).</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6. Certain Provisions Applicable to Awards.</w:t>
      </w:r>
    </w:p>
    <w:p>
      <w:pPr>
        <w:spacing w:after="0" w:line="126" w:lineRule="exact"/>
        <w:rPr>
          <w:sz w:val="20"/>
          <w:szCs w:val="20"/>
          <w:color w:val="auto"/>
        </w:rPr>
      </w:pPr>
    </w:p>
    <w:p>
      <w:pPr>
        <w:ind w:left="500" w:right="40" w:hanging="492"/>
        <w:spacing w:after="0" w:line="299" w:lineRule="auto"/>
        <w:tabs>
          <w:tab w:leader="none" w:pos="509" w:val="left"/>
        </w:tabs>
        <w:numPr>
          <w:ilvl w:val="0"/>
          <w:numId w:val="101"/>
        </w:numPr>
        <w:rPr>
          <w:rFonts w:ascii="Arial" w:cs="Arial" w:eastAsia="Arial" w:hAnsi="Arial"/>
          <w:sz w:val="16"/>
          <w:szCs w:val="16"/>
          <w:color w:val="29292B"/>
        </w:rPr>
      </w:pPr>
      <w:r>
        <w:rPr>
          <w:rFonts w:ascii="Arial" w:cs="Arial" w:eastAsia="Arial" w:hAnsi="Arial"/>
          <w:sz w:val="16"/>
          <w:szCs w:val="16"/>
          <w:i w:val="1"/>
          <w:iCs w:val="1"/>
          <w:color w:val="29292B"/>
        </w:rPr>
        <w:t xml:space="preserve">Stand-Alone, Additional, Tandem, and Substitute Awards. </w:t>
      </w:r>
      <w:r>
        <w:rPr>
          <w:rFonts w:ascii="Arial" w:cs="Arial" w:eastAsia="Arial" w:hAnsi="Arial"/>
          <w:sz w:val="16"/>
          <w:szCs w:val="16"/>
          <w:color w:val="29292B"/>
        </w:rPr>
        <w:t>Awards granted under the Plan may, in the discretion of the Committee, be granted to</w:t>
      </w:r>
      <w:r>
        <w:rPr>
          <w:rFonts w:ascii="Arial" w:cs="Arial" w:eastAsia="Arial" w:hAnsi="Arial"/>
          <w:sz w:val="16"/>
          <w:szCs w:val="16"/>
          <w:i w:val="1"/>
          <w:iCs w:val="1"/>
          <w:color w:val="29292B"/>
        </w:rPr>
        <w:t xml:space="preserve"> </w:t>
      </w:r>
      <w:r>
        <w:rPr>
          <w:rFonts w:ascii="Arial" w:cs="Arial" w:eastAsia="Arial" w:hAnsi="Arial"/>
          <w:sz w:val="16"/>
          <w:szCs w:val="16"/>
          <w:color w:val="29292B"/>
        </w:rPr>
        <w:t>Eligible Persons either alone or in addition to, in tandem with, or in exchange or substitution for, any other Award granted under the Plan or any award granted under any other plan or agreement of the Company, any Subsidiary or Affiliate, or any business entity to be acquired by the Company or a Subsidiary or Affiliate, or any other right of an Eligible Person to receive payment from the Company or any Subsidiary or Affiliate, provided that any such exchange or substitution does not constitute a “repricing” for purposes of the shareholder approval rules of any securities exchange or inter-dealer quotation system on which the securities of the Company are listed or quoted. Awards may be granted in addition to or in tandem with such other Awards or awards, and may be granted either as of the same time as or a different time from the grant of such other Awards or awards. Subject to the provisions of Section 3(d) prohibiting Option and SAR repricing without shareholder approval, the per Share exercise price of any Option, grant price of any SAR, or purchase price of any other Award conferring a right to purchase Shares which is granted, in connection with the substitution of awards granted under any other plan or agreement of the Company or any Subsidiary or Affiliate or any business entity to be acquired by the Company or any Subsidiary or Affiliate, shall be determined by the Committee, in its discretion.</w:t>
      </w:r>
    </w:p>
    <w:p>
      <w:pPr>
        <w:spacing w:after="0" w:line="111" w:lineRule="exact"/>
        <w:rPr>
          <w:rFonts w:ascii="Arial" w:cs="Arial" w:eastAsia="Arial" w:hAnsi="Arial"/>
          <w:sz w:val="16"/>
          <w:szCs w:val="16"/>
          <w:color w:val="29292B"/>
        </w:rPr>
      </w:pPr>
    </w:p>
    <w:p>
      <w:pPr>
        <w:ind w:left="500" w:right="40" w:hanging="492"/>
        <w:spacing w:after="0" w:line="310" w:lineRule="auto"/>
        <w:tabs>
          <w:tab w:leader="none" w:pos="495" w:val="left"/>
        </w:tabs>
        <w:numPr>
          <w:ilvl w:val="0"/>
          <w:numId w:val="101"/>
        </w:numPr>
        <w:rPr>
          <w:rFonts w:ascii="Arial" w:cs="Arial" w:eastAsia="Arial" w:hAnsi="Arial"/>
          <w:sz w:val="16"/>
          <w:szCs w:val="16"/>
          <w:color w:val="29292B"/>
        </w:rPr>
      </w:pPr>
      <w:r>
        <w:rPr>
          <w:rFonts w:ascii="Arial" w:cs="Arial" w:eastAsia="Arial" w:hAnsi="Arial"/>
          <w:sz w:val="16"/>
          <w:szCs w:val="16"/>
          <w:i w:val="1"/>
          <w:iCs w:val="1"/>
          <w:color w:val="29292B"/>
        </w:rPr>
        <w:t xml:space="preserve">Terms of Awards. </w:t>
      </w:r>
      <w:r>
        <w:rPr>
          <w:rFonts w:ascii="Arial" w:cs="Arial" w:eastAsia="Arial" w:hAnsi="Arial"/>
          <w:sz w:val="16"/>
          <w:szCs w:val="16"/>
          <w:color w:val="29292B"/>
        </w:rPr>
        <w:t>The term of each Award granted to an Eligible Person shall be for such period as may be determined by the Committee; provided,</w:t>
      </w:r>
      <w:r>
        <w:rPr>
          <w:rFonts w:ascii="Arial" w:cs="Arial" w:eastAsia="Arial" w:hAnsi="Arial"/>
          <w:sz w:val="16"/>
          <w:szCs w:val="16"/>
          <w:i w:val="1"/>
          <w:iCs w:val="1"/>
          <w:color w:val="29292B"/>
        </w:rPr>
        <w:t xml:space="preserve"> </w:t>
      </w:r>
      <w:r>
        <w:rPr>
          <w:rFonts w:ascii="Arial" w:cs="Arial" w:eastAsia="Arial" w:hAnsi="Arial"/>
          <w:sz w:val="16"/>
          <w:szCs w:val="16"/>
          <w:color w:val="29292B"/>
        </w:rPr>
        <w:t>however, that in no event shall the term of any Option or a SAR granted in tandem therewith exceed a period of ten years from the date of its grant (or such shorter period as may be applicable under Section 422 of the Code).</w:t>
      </w:r>
    </w:p>
    <w:p>
      <w:pPr>
        <w:spacing w:after="0" w:line="97" w:lineRule="exact"/>
        <w:rPr>
          <w:rFonts w:ascii="Arial" w:cs="Arial" w:eastAsia="Arial" w:hAnsi="Arial"/>
          <w:sz w:val="16"/>
          <w:szCs w:val="16"/>
          <w:color w:val="29292B"/>
        </w:rPr>
      </w:pPr>
    </w:p>
    <w:p>
      <w:pPr>
        <w:ind w:left="500" w:hanging="492"/>
        <w:spacing w:after="0" w:line="304" w:lineRule="auto"/>
        <w:tabs>
          <w:tab w:leader="none" w:pos="513" w:val="left"/>
        </w:tabs>
        <w:numPr>
          <w:ilvl w:val="0"/>
          <w:numId w:val="101"/>
        </w:numPr>
        <w:rPr>
          <w:rFonts w:ascii="Arial" w:cs="Arial" w:eastAsia="Arial" w:hAnsi="Arial"/>
          <w:sz w:val="16"/>
          <w:szCs w:val="16"/>
          <w:color w:val="29292B"/>
        </w:rPr>
      </w:pPr>
      <w:r>
        <w:rPr>
          <w:rFonts w:ascii="Arial" w:cs="Arial" w:eastAsia="Arial" w:hAnsi="Arial"/>
          <w:sz w:val="16"/>
          <w:szCs w:val="16"/>
          <w:i w:val="1"/>
          <w:iCs w:val="1"/>
          <w:color w:val="29292B"/>
        </w:rPr>
        <w:t xml:space="preserve">Form of Payment Under Awards. </w:t>
      </w:r>
      <w:r>
        <w:rPr>
          <w:rFonts w:ascii="Arial" w:cs="Arial" w:eastAsia="Arial" w:hAnsi="Arial"/>
          <w:sz w:val="16"/>
          <w:szCs w:val="16"/>
          <w:color w:val="29292B"/>
        </w:rPr>
        <w:t>Subject to the terms of the Plan and any applicable Award Agreement, payments to be made by the Company or a</w:t>
      </w:r>
      <w:r>
        <w:rPr>
          <w:rFonts w:ascii="Arial" w:cs="Arial" w:eastAsia="Arial" w:hAnsi="Arial"/>
          <w:sz w:val="16"/>
          <w:szCs w:val="16"/>
          <w:i w:val="1"/>
          <w:iCs w:val="1"/>
          <w:color w:val="29292B"/>
        </w:rPr>
        <w:t xml:space="preserve"> </w:t>
      </w:r>
      <w:r>
        <w:rPr>
          <w:rFonts w:ascii="Arial" w:cs="Arial" w:eastAsia="Arial" w:hAnsi="Arial"/>
          <w:sz w:val="16"/>
          <w:szCs w:val="16"/>
          <w:color w:val="29292B"/>
        </w:rPr>
        <w:t>Subsidiary or Affiliate upon the grant, maturation, or exercise of an Award may be made in such forms as the Committee shall determine at the date of grant or thereafter, including, without limitation, cash, Shares, or other property, and may be made in a single payment or transfer, in installments, or on a deferred basis. The Committee may make rules relating to installment or deferred payments with respect to Awards, including the rate of interest to be credited with respect to such payments.</w:t>
      </w:r>
    </w:p>
    <w:p>
      <w:pPr>
        <w:spacing w:after="0" w:line="103" w:lineRule="exact"/>
        <w:rPr>
          <w:rFonts w:ascii="Arial" w:cs="Arial" w:eastAsia="Arial" w:hAnsi="Arial"/>
          <w:sz w:val="16"/>
          <w:szCs w:val="16"/>
          <w:color w:val="29292B"/>
        </w:rPr>
      </w:pPr>
    </w:p>
    <w:p>
      <w:pPr>
        <w:ind w:left="500" w:right="20" w:hanging="492"/>
        <w:spacing w:after="0" w:line="304" w:lineRule="auto"/>
        <w:tabs>
          <w:tab w:leader="none" w:pos="495" w:val="left"/>
        </w:tabs>
        <w:numPr>
          <w:ilvl w:val="0"/>
          <w:numId w:val="101"/>
        </w:numPr>
        <w:rPr>
          <w:rFonts w:ascii="Arial" w:cs="Arial" w:eastAsia="Arial" w:hAnsi="Arial"/>
          <w:sz w:val="16"/>
          <w:szCs w:val="16"/>
          <w:color w:val="29292B"/>
        </w:rPr>
      </w:pPr>
      <w:r>
        <w:rPr>
          <w:rFonts w:ascii="Arial" w:cs="Arial" w:eastAsia="Arial" w:hAnsi="Arial"/>
          <w:sz w:val="16"/>
          <w:szCs w:val="16"/>
          <w:i w:val="1"/>
          <w:iCs w:val="1"/>
          <w:color w:val="29292B"/>
        </w:rPr>
        <w:t xml:space="preserve">Non-transferability. </w:t>
      </w:r>
      <w:r>
        <w:rPr>
          <w:rFonts w:ascii="Arial" w:cs="Arial" w:eastAsia="Arial" w:hAnsi="Arial"/>
          <w:sz w:val="16"/>
          <w:szCs w:val="16"/>
          <w:color w:val="29292B"/>
        </w:rPr>
        <w:t>Unless otherwise set forth by the Committee in an Award Agreement, Awards (except for vested shares) shall not be transferable</w:t>
      </w:r>
      <w:r>
        <w:rPr>
          <w:rFonts w:ascii="Arial" w:cs="Arial" w:eastAsia="Arial" w:hAnsi="Arial"/>
          <w:sz w:val="16"/>
          <w:szCs w:val="16"/>
          <w:i w:val="1"/>
          <w:iCs w:val="1"/>
          <w:color w:val="29292B"/>
        </w:rPr>
        <w:t xml:space="preserve"> </w:t>
      </w:r>
      <w:r>
        <w:rPr>
          <w:rFonts w:ascii="Arial" w:cs="Arial" w:eastAsia="Arial" w:hAnsi="Arial"/>
          <w:sz w:val="16"/>
          <w:szCs w:val="16"/>
          <w:color w:val="29292B"/>
        </w:rPr>
        <w:t>by an Eligible Person, except with respect to Awards subject to Section 409A and Incentive Stock Options, the Committee may permit or provide in an Award for the gratuitous transfer of the Award by the Eligible Person to or for the benefit of any immediate family member, family trust or other entity established for the benefit of the Eligible Person and/or an immediate family member thereof if the Company would be eligible to use a Form S-8 under the Securities Act for the registration of the sale of the Common Stock subject to such Award to such proposed transferee.</w:t>
      </w:r>
    </w:p>
    <w:p>
      <w:pPr>
        <w:spacing w:after="0" w:line="103" w:lineRule="exact"/>
        <w:rPr>
          <w:rFonts w:ascii="Arial" w:cs="Arial" w:eastAsia="Arial" w:hAnsi="Arial"/>
          <w:sz w:val="16"/>
          <w:szCs w:val="16"/>
          <w:color w:val="29292B"/>
        </w:rPr>
      </w:pPr>
    </w:p>
    <w:p>
      <w:pPr>
        <w:ind w:left="500" w:right="140" w:hanging="492"/>
        <w:spacing w:after="0" w:line="319" w:lineRule="auto"/>
        <w:tabs>
          <w:tab w:leader="none" w:pos="509" w:val="left"/>
        </w:tabs>
        <w:numPr>
          <w:ilvl w:val="0"/>
          <w:numId w:val="101"/>
        </w:numPr>
        <w:rPr>
          <w:rFonts w:ascii="Arial" w:cs="Arial" w:eastAsia="Arial" w:hAnsi="Arial"/>
          <w:sz w:val="16"/>
          <w:szCs w:val="16"/>
          <w:color w:val="29292B"/>
        </w:rPr>
      </w:pPr>
      <w:r>
        <w:rPr>
          <w:rFonts w:ascii="Arial" w:cs="Arial" w:eastAsia="Arial" w:hAnsi="Arial"/>
          <w:sz w:val="16"/>
          <w:szCs w:val="16"/>
          <w:i w:val="1"/>
          <w:iCs w:val="1"/>
          <w:color w:val="29292B"/>
        </w:rPr>
        <w:t xml:space="preserve">Non-competition. </w:t>
      </w:r>
      <w:r>
        <w:rPr>
          <w:rFonts w:ascii="Arial" w:cs="Arial" w:eastAsia="Arial" w:hAnsi="Arial"/>
          <w:sz w:val="16"/>
          <w:szCs w:val="16"/>
          <w:color w:val="29292B"/>
        </w:rPr>
        <w:t>The Committee may, by way of the Award Agreements or otherwise, establish such other terms, conditions, restrictions and/or</w:t>
      </w:r>
      <w:r>
        <w:rPr>
          <w:rFonts w:ascii="Arial" w:cs="Arial" w:eastAsia="Arial" w:hAnsi="Arial"/>
          <w:sz w:val="16"/>
          <w:szCs w:val="16"/>
          <w:i w:val="1"/>
          <w:iCs w:val="1"/>
          <w:color w:val="29292B"/>
        </w:rPr>
        <w:t xml:space="preserve"> </w:t>
      </w:r>
      <w:r>
        <w:rPr>
          <w:rFonts w:ascii="Arial" w:cs="Arial" w:eastAsia="Arial" w:hAnsi="Arial"/>
          <w:sz w:val="16"/>
          <w:szCs w:val="16"/>
          <w:color w:val="29292B"/>
        </w:rPr>
        <w:t>limitations, if any, of any Award, provided they are not inconsistent with the Plan, including, without limitation, the requirement that the Participant not engage in competition with the Company.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0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40" w:type="dxa"/>
            <w:vAlign w:val="bottom"/>
          </w:tcPr>
          <w:p>
            <w:pPr>
              <w:jc w:val="right"/>
              <w:spacing w:after="0"/>
              <w:rPr>
                <w:sz w:val="20"/>
                <w:szCs w:val="20"/>
                <w:color w:val="auto"/>
              </w:rPr>
            </w:pPr>
            <w:r>
              <w:rPr>
                <w:rFonts w:ascii="Arial" w:cs="Arial" w:eastAsia="Arial" w:hAnsi="Arial"/>
                <w:sz w:val="16"/>
                <w:szCs w:val="16"/>
                <w:b w:val="1"/>
                <w:bCs w:val="1"/>
                <w:color w:val="032E5C"/>
              </w:rPr>
              <w:t>111</w:t>
            </w:r>
          </w:p>
        </w:tc>
        <w:tc>
          <w:tcPr>
            <w:tcW w:w="0" w:type="dxa"/>
            <w:vAlign w:val="bottom"/>
          </w:tcPr>
          <w:p>
            <w:pPr>
              <w:spacing w:after="0"/>
              <w:rPr>
                <w:sz w:val="1"/>
                <w:szCs w:val="1"/>
                <w:color w:val="auto"/>
              </w:rPr>
            </w:pPr>
          </w:p>
        </w:tc>
      </w:tr>
      <w:tr>
        <w:trPr>
          <w:trHeight w:val="60"/>
        </w:trPr>
        <w:tc>
          <w:tcPr>
            <w:tcW w:w="8700" w:type="dxa"/>
            <w:vAlign w:val="bottom"/>
            <w:vMerge w:val="continue"/>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1"/>
        </w:trPr>
        <w:tc>
          <w:tcPr>
            <w:tcW w:w="87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925830" cy="857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0"/>
        </w:trPr>
        <w:tc>
          <w:tcPr>
            <w:tcW w:w="1280" w:type="dxa"/>
            <w:vAlign w:val="bottom"/>
            <w:vMerge w:val="restart"/>
            <w:shd w:val="clear" w:color="auto" w:fill="98BDE2"/>
          </w:tcPr>
          <w:p>
            <w:pPr>
              <w:ind w:left="260"/>
              <w:spacing w:after="0"/>
              <w:rPr>
                <w:sz w:val="20"/>
                <w:szCs w:val="20"/>
                <w:color w:val="auto"/>
              </w:rPr>
            </w:pPr>
            <w:r>
              <w:rPr>
                <w:rFonts w:ascii="Arial" w:cs="Arial" w:eastAsia="Arial" w:hAnsi="Arial"/>
                <w:sz w:val="13"/>
                <w:szCs w:val="13"/>
                <w:b w:val="1"/>
                <w:bCs w:val="1"/>
                <w:color w:val="032E5C"/>
              </w:rPr>
              <w:t>APPENDIX B</w:t>
            </w:r>
          </w:p>
        </w:tc>
        <w:tc>
          <w:tcPr>
            <w:tcW w:w="9940" w:type="dxa"/>
            <w:vAlign w:val="bottom"/>
          </w:tcPr>
          <w:p>
            <w:pPr>
              <w:ind w:left="88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280" w:type="dxa"/>
            <w:vAlign w:val="bottom"/>
            <w:vMerge w:val="continue"/>
            <w:shd w:val="clear" w:color="auto" w:fill="98BDE2"/>
          </w:tcPr>
          <w:p>
            <w:pPr>
              <w:spacing w:after="0"/>
              <w:rPr>
                <w:sz w:val="4"/>
                <w:szCs w:val="4"/>
                <w:color w:val="auto"/>
              </w:rPr>
            </w:pPr>
          </w:p>
        </w:tc>
        <w:tc>
          <w:tcPr>
            <w:tcW w:w="9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280" w:type="dxa"/>
            <w:vAlign w:val="bottom"/>
            <w:shd w:val="clear" w:color="auto" w:fill="98BDE2"/>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right="160" w:hanging="492"/>
        <w:spacing w:after="0" w:line="312" w:lineRule="auto"/>
        <w:tabs>
          <w:tab w:leader="none" w:pos="491" w:val="left"/>
        </w:tabs>
        <w:numPr>
          <w:ilvl w:val="0"/>
          <w:numId w:val="102"/>
        </w:numPr>
        <w:rPr>
          <w:rFonts w:ascii="Arial" w:cs="Arial" w:eastAsia="Arial" w:hAnsi="Arial"/>
          <w:sz w:val="16"/>
          <w:szCs w:val="16"/>
          <w:color w:val="29292B"/>
        </w:rPr>
      </w:pPr>
      <w:r>
        <w:rPr>
          <w:rFonts w:ascii="Arial" w:cs="Arial" w:eastAsia="Arial" w:hAnsi="Arial"/>
          <w:sz w:val="16"/>
          <w:szCs w:val="16"/>
          <w:i w:val="1"/>
          <w:iCs w:val="1"/>
          <w:color w:val="29292B"/>
        </w:rPr>
        <w:t xml:space="preserve">Minimum Vesting Period. </w:t>
      </w:r>
      <w:r>
        <w:rPr>
          <w:rFonts w:ascii="Arial" w:cs="Arial" w:eastAsia="Arial" w:hAnsi="Arial"/>
          <w:sz w:val="16"/>
          <w:szCs w:val="16"/>
          <w:color w:val="29292B"/>
        </w:rPr>
        <w:t>Except with respect to a maximum of five percent of the number of Shares reserved under the Plan pursuant to Section</w:t>
      </w:r>
      <w:r>
        <w:rPr>
          <w:rFonts w:ascii="Arial" w:cs="Arial" w:eastAsia="Arial" w:hAnsi="Arial"/>
          <w:sz w:val="16"/>
          <w:szCs w:val="16"/>
          <w:i w:val="1"/>
          <w:iCs w:val="1"/>
          <w:color w:val="29292B"/>
        </w:rPr>
        <w:t xml:space="preserve"> </w:t>
      </w:r>
      <w:r>
        <w:rPr>
          <w:rFonts w:ascii="Arial" w:cs="Arial" w:eastAsia="Arial" w:hAnsi="Arial"/>
          <w:sz w:val="16"/>
          <w:szCs w:val="16"/>
          <w:color w:val="29292B"/>
        </w:rPr>
        <w:t>4(a), and except as otherwise provided in Section 7, no Award shall provide for vesting which is any more rapid than vesting on the one year anniversary of the date of grant of such Award or, with respect to Awards that vest upon the attainment of performance goals, a Performance Period that is less than 12 months.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7. Effect of Change in Control.</w:t>
      </w:r>
    </w:p>
    <w:p>
      <w:pPr>
        <w:spacing w:after="0" w:line="126" w:lineRule="exact"/>
        <w:rPr>
          <w:sz w:val="20"/>
          <w:szCs w:val="20"/>
          <w:color w:val="auto"/>
        </w:rPr>
      </w:pPr>
    </w:p>
    <w:p>
      <w:pPr>
        <w:ind w:right="420"/>
        <w:spacing w:after="0" w:line="310" w:lineRule="auto"/>
        <w:rPr>
          <w:sz w:val="20"/>
          <w:szCs w:val="20"/>
          <w:color w:val="auto"/>
        </w:rPr>
      </w:pPr>
      <w:r>
        <w:rPr>
          <w:rFonts w:ascii="Arial" w:cs="Arial" w:eastAsia="Arial" w:hAnsi="Arial"/>
          <w:sz w:val="16"/>
          <w:szCs w:val="16"/>
          <w:color w:val="29292B"/>
        </w:rPr>
        <w:t>Except as otherwise provided in the applicable Award Agreement, in an Other Agreement, or as otherwise set forth in writing, upon the occurrence of a Change in Control, and subject to the requirements and limitations of Section 409A (if applicable), in the event of a Change in Control, the following provisions shall apply to outstanding Awards:</w:t>
      </w:r>
    </w:p>
    <w:p>
      <w:pPr>
        <w:spacing w:after="0" w:line="97" w:lineRule="exact"/>
        <w:rPr>
          <w:sz w:val="20"/>
          <w:szCs w:val="20"/>
          <w:color w:val="auto"/>
        </w:rPr>
      </w:pPr>
    </w:p>
    <w:p>
      <w:pPr>
        <w:ind w:left="500" w:right="160" w:hanging="492"/>
        <w:spacing w:after="0" w:line="312" w:lineRule="auto"/>
        <w:tabs>
          <w:tab w:leader="none" w:pos="509" w:val="left"/>
        </w:tabs>
        <w:numPr>
          <w:ilvl w:val="0"/>
          <w:numId w:val="103"/>
        </w:numPr>
        <w:rPr>
          <w:rFonts w:ascii="Arial" w:cs="Arial" w:eastAsia="Arial" w:hAnsi="Arial"/>
          <w:sz w:val="16"/>
          <w:szCs w:val="16"/>
          <w:color w:val="29292B"/>
        </w:rPr>
      </w:pPr>
      <w:r>
        <w:rPr>
          <w:rFonts w:ascii="Arial" w:cs="Arial" w:eastAsia="Arial" w:hAnsi="Arial"/>
          <w:sz w:val="16"/>
          <w:szCs w:val="16"/>
          <w:color w:val="29292B"/>
        </w:rPr>
        <w:t>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and</w:t>
      </w:r>
    </w:p>
    <w:p>
      <w:pPr>
        <w:spacing w:after="0" w:line="82" w:lineRule="exact"/>
        <w:rPr>
          <w:rFonts w:ascii="Arial" w:cs="Arial" w:eastAsia="Arial" w:hAnsi="Arial"/>
          <w:sz w:val="16"/>
          <w:szCs w:val="16"/>
          <w:color w:val="29292B"/>
        </w:rPr>
      </w:pPr>
    </w:p>
    <w:p>
      <w:pPr>
        <w:ind w:left="500" w:right="20" w:hanging="492"/>
        <w:spacing w:after="0" w:line="309" w:lineRule="auto"/>
        <w:tabs>
          <w:tab w:leader="none" w:pos="495" w:val="left"/>
        </w:tabs>
        <w:numPr>
          <w:ilvl w:val="0"/>
          <w:numId w:val="103"/>
        </w:numPr>
        <w:rPr>
          <w:rFonts w:ascii="Arial" w:cs="Arial" w:eastAsia="Arial" w:hAnsi="Arial"/>
          <w:sz w:val="16"/>
          <w:szCs w:val="16"/>
          <w:color w:val="29292B"/>
        </w:rPr>
      </w:pPr>
      <w:r>
        <w:rPr>
          <w:rFonts w:ascii="Arial" w:cs="Arial" w:eastAsia="Arial" w:hAnsi="Arial"/>
          <w:sz w:val="16"/>
          <w:szCs w:val="16"/>
          <w:color w:val="29292B"/>
        </w:rPr>
        <w:t>In the discretion of the Committee, outstanding Awards which are not assumed, substituted for, or otherwise continued by the Acquiror shall accelerate and become fully vested and exercisable (as applicable) effective immediately prior to, but contingent upon, the consummation of the Change in Control; provided, however, that any Award which has its vesting conditions based on performance goals that vests pursuant to this sentence shall only become vested based on (i) 100% of target levels, or (ii) actual results measured against the performance goals as of the Change in Control, and thereafter, all Awards shall terminate to the extent not exercised or settled as of the date of the Change in Control.</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8. Parachute Limitations.</w:t>
      </w:r>
    </w:p>
    <w:p>
      <w:pPr>
        <w:spacing w:after="0" w:line="126" w:lineRule="exact"/>
        <w:rPr>
          <w:sz w:val="20"/>
          <w:szCs w:val="20"/>
          <w:color w:val="auto"/>
        </w:rPr>
      </w:pPr>
    </w:p>
    <w:p>
      <w:pPr>
        <w:ind w:left="500" w:right="60" w:hanging="492"/>
        <w:spacing w:after="0" w:line="319" w:lineRule="auto"/>
        <w:tabs>
          <w:tab w:leader="none" w:pos="509" w:val="left"/>
        </w:tabs>
        <w:numPr>
          <w:ilvl w:val="0"/>
          <w:numId w:val="104"/>
        </w:numPr>
        <w:rPr>
          <w:rFonts w:ascii="Arial" w:cs="Arial" w:eastAsia="Arial" w:hAnsi="Arial"/>
          <w:sz w:val="16"/>
          <w:szCs w:val="16"/>
          <w:color w:val="29292B"/>
        </w:rPr>
      </w:pPr>
      <w:r>
        <w:rPr>
          <w:rFonts w:ascii="Arial" w:cs="Arial" w:eastAsia="Arial" w:hAnsi="Arial"/>
          <w:sz w:val="16"/>
          <w:szCs w:val="16"/>
          <w:color w:val="29292B"/>
        </w:rPr>
        <w:t>If any Participant is a Disqualified Individual, then, notwithstanding any other provision of the Plan or of any Other Agreement to the contrary and notwithstanding any Benefit Arrangement, any right of the Participant to any exercise, vesting, payment, or benefit under the Plan shall be reduced or eliminated:</w:t>
      </w:r>
    </w:p>
    <w:p>
      <w:pPr>
        <w:spacing w:after="0" w:line="89" w:lineRule="exact"/>
        <w:rPr>
          <w:rFonts w:ascii="Arial" w:cs="Arial" w:eastAsia="Arial" w:hAnsi="Arial"/>
          <w:sz w:val="16"/>
          <w:szCs w:val="16"/>
          <w:color w:val="29292B"/>
        </w:rPr>
      </w:pPr>
    </w:p>
    <w:p>
      <w:pPr>
        <w:ind w:left="980" w:right="100" w:hanging="486"/>
        <w:spacing w:after="0" w:line="310" w:lineRule="auto"/>
        <w:tabs>
          <w:tab w:leader="none" w:pos="975" w:val="left"/>
        </w:tabs>
        <w:numPr>
          <w:ilvl w:val="1"/>
          <w:numId w:val="104"/>
        </w:numPr>
        <w:rPr>
          <w:rFonts w:ascii="Arial" w:cs="Arial" w:eastAsia="Arial" w:hAnsi="Arial"/>
          <w:sz w:val="16"/>
          <w:szCs w:val="16"/>
          <w:color w:val="29292B"/>
        </w:rPr>
      </w:pPr>
      <w:r>
        <w:rPr>
          <w:rFonts w:ascii="Arial" w:cs="Arial" w:eastAsia="Arial" w:hAnsi="Arial"/>
          <w:sz w:val="16"/>
          <w:szCs w:val="16"/>
          <w:color w:val="29292B"/>
        </w:rPr>
        <w:t>to the extent that such right to exercise, vesting, payment, or benefit, taking into account all other rights, payments, or benefits to or for the Participant under the Plan, all Other Agreements, and all Benefit Arrangements, would cause any exercise, vesting, payment, or benefit to the Participant under the Plan to be considered a Parachute Payment; and</w:t>
      </w:r>
    </w:p>
    <w:p>
      <w:pPr>
        <w:spacing w:after="0" w:line="97" w:lineRule="exact"/>
        <w:rPr>
          <w:rFonts w:ascii="Arial" w:cs="Arial" w:eastAsia="Arial" w:hAnsi="Arial"/>
          <w:sz w:val="16"/>
          <w:szCs w:val="16"/>
          <w:color w:val="29292B"/>
        </w:rPr>
      </w:pPr>
    </w:p>
    <w:p>
      <w:pPr>
        <w:ind w:left="980" w:right="140" w:hanging="486"/>
        <w:spacing w:after="0" w:line="319" w:lineRule="auto"/>
        <w:tabs>
          <w:tab w:leader="none" w:pos="971" w:val="left"/>
        </w:tabs>
        <w:numPr>
          <w:ilvl w:val="1"/>
          <w:numId w:val="104"/>
        </w:numPr>
        <w:rPr>
          <w:rFonts w:ascii="Arial" w:cs="Arial" w:eastAsia="Arial" w:hAnsi="Arial"/>
          <w:sz w:val="16"/>
          <w:szCs w:val="16"/>
          <w:color w:val="29292B"/>
        </w:rPr>
      </w:pPr>
      <w:r>
        <w:rPr>
          <w:rFonts w:ascii="Arial" w:cs="Arial" w:eastAsia="Arial" w:hAnsi="Arial"/>
          <w:sz w:val="16"/>
          <w:szCs w:val="16"/>
          <w:color w:val="29292B"/>
        </w:rPr>
        <w:t>if, as a result of receiving such Parachute Payment, the aggregate after-tax amounts received by the Participant from the Company under the Plan, all Other Agreements, and all Benefit Arrangements would be less than the maximum after-tax amount that could be received by the Participant without causing any such payment or benefit to be considered a Parachute Payment.</w:t>
      </w:r>
    </w:p>
    <w:p>
      <w:pPr>
        <w:spacing w:after="0" w:line="89" w:lineRule="exact"/>
        <w:rPr>
          <w:rFonts w:ascii="Arial" w:cs="Arial" w:eastAsia="Arial" w:hAnsi="Arial"/>
          <w:sz w:val="16"/>
          <w:szCs w:val="16"/>
          <w:color w:val="29292B"/>
        </w:rPr>
      </w:pPr>
    </w:p>
    <w:p>
      <w:pPr>
        <w:ind w:left="500" w:right="80" w:hanging="492"/>
        <w:spacing w:after="0" w:line="300" w:lineRule="auto"/>
        <w:tabs>
          <w:tab w:leader="none" w:pos="495" w:val="left"/>
        </w:tabs>
        <w:numPr>
          <w:ilvl w:val="0"/>
          <w:numId w:val="104"/>
        </w:numPr>
        <w:rPr>
          <w:rFonts w:ascii="Arial" w:cs="Arial" w:eastAsia="Arial" w:hAnsi="Arial"/>
          <w:sz w:val="16"/>
          <w:szCs w:val="16"/>
          <w:color w:val="29292B"/>
        </w:rPr>
      </w:pPr>
      <w:r>
        <w:rPr>
          <w:rFonts w:ascii="Arial" w:cs="Arial" w:eastAsia="Arial" w:hAnsi="Arial"/>
          <w:sz w:val="16"/>
          <w:szCs w:val="16"/>
          <w:color w:val="29292B"/>
        </w:rPr>
        <w:t>Except as required by Section 409A or to the extent that Section 409A permits discretion, the Committee shall have the right, in the Committee’s sole discretion, to designate those rights, payments, or benefits under the Plan, all Other Agreements, and all Benefit Arrangements that should be reduced or eliminated so as to avoid having such rights, payments, or benefits be considered a Parachute Payment; provided, however, to the extent any payment or benefit constitutes deferred compensation under Section 409A, in order to comply with Section 409A, the Company shall instead accomplish such reduction by first reducing or eliminating any cash payments (with the payments to be made furthest in the future being reduced first), then by reducing or eliminating any accelerated vesting of Performance Shares, Performance Units, or Performance Cash Awards, then by reducing or eliminating any accelerated vesting of Options or SARs, then by reducing or eliminating any accelerated vesting of Restricted Shares, Restricted Share Units, then by reducing or eliminating any other remaining Parachute Payments.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9. General Provisions.</w:t>
      </w:r>
    </w:p>
    <w:p>
      <w:pPr>
        <w:spacing w:after="0" w:line="126" w:lineRule="exact"/>
        <w:rPr>
          <w:sz w:val="20"/>
          <w:szCs w:val="20"/>
          <w:color w:val="auto"/>
        </w:rPr>
      </w:pPr>
    </w:p>
    <w:p>
      <w:pPr>
        <w:ind w:left="500" w:right="220" w:hanging="492"/>
        <w:spacing w:after="0" w:line="312" w:lineRule="auto"/>
        <w:tabs>
          <w:tab w:leader="none" w:pos="509" w:val="left"/>
        </w:tabs>
        <w:numPr>
          <w:ilvl w:val="0"/>
          <w:numId w:val="105"/>
        </w:numPr>
        <w:rPr>
          <w:rFonts w:ascii="Arial" w:cs="Arial" w:eastAsia="Arial" w:hAnsi="Arial"/>
          <w:sz w:val="16"/>
          <w:szCs w:val="16"/>
          <w:color w:val="29292B"/>
        </w:rPr>
      </w:pPr>
      <w:r>
        <w:rPr>
          <w:rFonts w:ascii="Arial" w:cs="Arial" w:eastAsia="Arial" w:hAnsi="Arial"/>
          <w:sz w:val="16"/>
          <w:szCs w:val="16"/>
          <w:i w:val="1"/>
          <w:iCs w:val="1"/>
          <w:color w:val="29292B"/>
        </w:rPr>
        <w:t xml:space="preserve">Compliance with Legal and Trading Requirements. </w:t>
      </w:r>
      <w:r>
        <w:rPr>
          <w:rFonts w:ascii="Arial" w:cs="Arial" w:eastAsia="Arial" w:hAnsi="Arial"/>
          <w:sz w:val="16"/>
          <w:szCs w:val="16"/>
          <w:color w:val="29292B"/>
        </w:rPr>
        <w:t>The Plan, the granting and exercising of Awards thereunder, and the other obligations of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Company under the Plan and any Award Agreement, shall be subject to all applicable federal and state laws, rules and regulations, and to such approvals by any regulatory or governmental agency as may be required. The Company, in its discretion, may postpone the issuance or delivery of Shares under any Award until completion of such stock exchange or market system listing or registration or qualification of such Shares or other</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520" w:type="dxa"/>
            <w:vAlign w:val="bottom"/>
          </w:tcPr>
          <w:p>
            <w:pPr>
              <w:jc w:val="right"/>
              <w:ind w:right="2179"/>
              <w:spacing w:after="0"/>
              <w:rPr>
                <w:sz w:val="20"/>
                <w:szCs w:val="20"/>
                <w:color w:val="auto"/>
              </w:rPr>
            </w:pPr>
            <w:r>
              <w:rPr>
                <w:rFonts w:ascii="Arial" w:cs="Arial" w:eastAsia="Arial" w:hAnsi="Arial"/>
                <w:sz w:val="16"/>
                <w:szCs w:val="16"/>
                <w:b w:val="1"/>
                <w:bCs w:val="1"/>
                <w:color w:val="032E5C"/>
                <w:w w:val="89"/>
              </w:rPr>
              <w:t>112</w:t>
            </w:r>
          </w:p>
        </w:tc>
        <w:tc>
          <w:tcPr>
            <w:tcW w:w="3880" w:type="dxa"/>
            <w:vAlign w:val="bottom"/>
            <w:vMerge w:val="restart"/>
          </w:tcPr>
          <w:p>
            <w:pPr>
              <w:ind w:left="226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17" w:name="page118"/>
    <w:bookmarkEnd w:id="117"/>
    <w:tbl>
      <w:tblPr>
        <w:tblLayout w:type="fixed"/>
        <w:tblInd w:w="20"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Arial" w:cs="Arial" w:eastAsia="Arial" w:hAnsi="Arial"/>
                <w:sz w:val="14"/>
                <w:szCs w:val="14"/>
                <w:color w:val="032E5C"/>
              </w:rPr>
              <w:t>Table of Contents</w:t>
            </w:r>
          </w:p>
        </w:tc>
        <w:tc>
          <w:tcPr>
            <w:tcW w:w="5300" w:type="dxa"/>
            <w:vAlign w:val="bottom"/>
            <w:vMerge w:val="restart"/>
          </w:tcPr>
          <w:p>
            <w:pPr>
              <w:ind w:left="4540"/>
              <w:spacing w:after="0"/>
              <w:rPr>
                <w:sz w:val="20"/>
                <w:szCs w:val="20"/>
                <w:color w:val="auto"/>
              </w:rPr>
            </w:pPr>
            <w:r>
              <w:rPr>
                <w:rFonts w:ascii="Arial" w:cs="Arial" w:eastAsia="Arial" w:hAnsi="Arial"/>
                <w:sz w:val="13"/>
                <w:szCs w:val="13"/>
                <w:b w:val="1"/>
                <w:bCs w:val="1"/>
                <w:color w:val="032E5C"/>
                <w:w w:val="93"/>
              </w:rPr>
              <w:t>APPENDIX B</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6525895</wp:posOffset>
            </wp:positionH>
            <wp:positionV relativeFrom="page">
              <wp:posOffset>106045</wp:posOffset>
            </wp:positionV>
            <wp:extent cx="814705" cy="2400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1470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both"/>
        <w:ind w:left="500" w:right="40"/>
        <w:spacing w:after="0" w:line="312" w:lineRule="auto"/>
        <w:rPr>
          <w:sz w:val="20"/>
          <w:szCs w:val="20"/>
          <w:color w:val="auto"/>
        </w:rPr>
      </w:pPr>
      <w:r>
        <w:rPr>
          <w:rFonts w:ascii="Arial" w:cs="Arial" w:eastAsia="Arial" w:hAnsi="Arial"/>
          <w:sz w:val="16"/>
          <w:szCs w:val="16"/>
          <w:color w:val="29292B"/>
        </w:rPr>
        <w:t>required action under any state or federal law, rule or regulation as the Company may consider appropriate, and may require any Participant to make such representations and furnish such information as it may consider appropriate in connection with the issuance or delivery of Shares in compliance with applicable laws, rules and regulations. No provisions of the Plan shall be interpreted or construed to obligate the Company to register any Shares under federal or state law. The Shares issued under the Plan may be subject to such other restrictions on transfer as determined by the Committee.</w:t>
      </w:r>
    </w:p>
    <w:p>
      <w:pPr>
        <w:spacing w:after="0" w:line="96" w:lineRule="exact"/>
        <w:rPr>
          <w:sz w:val="20"/>
          <w:szCs w:val="20"/>
          <w:color w:val="auto"/>
        </w:rPr>
      </w:pPr>
    </w:p>
    <w:p>
      <w:pPr>
        <w:ind w:left="500" w:right="280" w:hanging="492"/>
        <w:spacing w:after="0" w:line="306" w:lineRule="auto"/>
        <w:tabs>
          <w:tab w:leader="none" w:pos="495" w:val="left"/>
        </w:tabs>
        <w:numPr>
          <w:ilvl w:val="0"/>
          <w:numId w:val="106"/>
        </w:numPr>
        <w:rPr>
          <w:rFonts w:ascii="Arial" w:cs="Arial" w:eastAsia="Arial" w:hAnsi="Arial"/>
          <w:sz w:val="16"/>
          <w:szCs w:val="16"/>
          <w:color w:val="29292B"/>
        </w:rPr>
      </w:pPr>
      <w:r>
        <w:rPr>
          <w:rFonts w:ascii="Arial" w:cs="Arial" w:eastAsia="Arial" w:hAnsi="Arial"/>
          <w:sz w:val="16"/>
          <w:szCs w:val="16"/>
          <w:i w:val="1"/>
          <w:iCs w:val="1"/>
          <w:color w:val="29292B"/>
        </w:rPr>
        <w:t xml:space="preserve">No Right to Continued Employment or Service. </w:t>
      </w:r>
      <w:r>
        <w:rPr>
          <w:rFonts w:ascii="Arial" w:cs="Arial" w:eastAsia="Arial" w:hAnsi="Arial"/>
          <w:sz w:val="16"/>
          <w:szCs w:val="16"/>
          <w:color w:val="29292B"/>
        </w:rPr>
        <w:t>Neither the Plan nor any action taken thereunder shall be construed as giving any employee,</w:t>
      </w:r>
      <w:r>
        <w:rPr>
          <w:rFonts w:ascii="Arial" w:cs="Arial" w:eastAsia="Arial" w:hAnsi="Arial"/>
          <w:sz w:val="16"/>
          <w:szCs w:val="16"/>
          <w:i w:val="1"/>
          <w:iCs w:val="1"/>
          <w:color w:val="29292B"/>
        </w:rPr>
        <w:t xml:space="preserve"> </w:t>
      </w:r>
      <w:r>
        <w:rPr>
          <w:rFonts w:ascii="Arial" w:cs="Arial" w:eastAsia="Arial" w:hAnsi="Arial"/>
          <w:sz w:val="16"/>
          <w:szCs w:val="16"/>
          <w:color w:val="29292B"/>
        </w:rPr>
        <w:t>consultant, or director the right to be retained in the employ or service of the Company or any of its Subsidiaries or Affiliates, nor shall it interfere in any way with the right of the Company or any of its Subsidiaries or Affiliates to terminate any employee’s, consultant’s or director’s employment or service at any time.</w:t>
      </w:r>
    </w:p>
    <w:p>
      <w:pPr>
        <w:spacing w:after="0" w:line="101" w:lineRule="exact"/>
        <w:rPr>
          <w:rFonts w:ascii="Arial" w:cs="Arial" w:eastAsia="Arial" w:hAnsi="Arial"/>
          <w:sz w:val="16"/>
          <w:szCs w:val="16"/>
          <w:color w:val="29292B"/>
        </w:rPr>
      </w:pPr>
    </w:p>
    <w:p>
      <w:pPr>
        <w:ind w:left="500" w:right="40" w:hanging="492"/>
        <w:spacing w:after="0" w:line="299" w:lineRule="auto"/>
        <w:tabs>
          <w:tab w:leader="none" w:pos="513" w:val="left"/>
        </w:tabs>
        <w:numPr>
          <w:ilvl w:val="0"/>
          <w:numId w:val="106"/>
        </w:numPr>
        <w:rPr>
          <w:rFonts w:ascii="Arial" w:cs="Arial" w:eastAsia="Arial" w:hAnsi="Arial"/>
          <w:sz w:val="16"/>
          <w:szCs w:val="16"/>
          <w:color w:val="29292B"/>
        </w:rPr>
      </w:pPr>
      <w:r>
        <w:rPr>
          <w:rFonts w:ascii="Arial" w:cs="Arial" w:eastAsia="Arial" w:hAnsi="Arial"/>
          <w:sz w:val="16"/>
          <w:szCs w:val="16"/>
          <w:i w:val="1"/>
          <w:iCs w:val="1"/>
          <w:color w:val="29292B"/>
        </w:rPr>
        <w:t xml:space="preserve">Taxes. </w:t>
      </w:r>
      <w:r>
        <w:rPr>
          <w:rFonts w:ascii="Arial" w:cs="Arial" w:eastAsia="Arial" w:hAnsi="Arial"/>
          <w:sz w:val="16"/>
          <w:szCs w:val="16"/>
          <w:color w:val="29292B"/>
        </w:rPr>
        <w:t>The Company or any Subsidiary or Affiliate is authorized to withhold from any Award granted, any payment relating to an Award under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Plan, including from a distribution of Shares or any payroll or other payment to an Eligible Person, amounts of withholding and other taxes due in connection with any transaction involving an Award, and to take such other action as the Committee may deem advisable to enable the Company and Eligible Persons to satisfy obligations for the payment of withholding taxes and other tax obligations relating to any Award. This authority shall include authority to withhold or receive Shares or other property and to make cash payments in respect thereof in satisfaction of an Eligible Person’s tax obligations. Notwithstanding the foregoing, the maximum number of Shares that may be withheld from any Award to satisfy any federal, state, or local tax withholding requirements upon the exercise, vesting, or lapse of restrictions applicable to any Award or payment of Shares pursuant to such Award, as applicable, may not exceed such number of Shares having a Fair Market Value equal to the minimum statutory amount required by the Company or the applicable Subsidiary or Affiliate to be withheld and paid to any such federal, state, or local taxing authority with respect to such exercise, vesting, lapse of restrictions, or payment of Shares, or such greater amount as may be permitted under applicable accounting standards.</w:t>
      </w:r>
    </w:p>
    <w:p>
      <w:pPr>
        <w:spacing w:after="0" w:line="110" w:lineRule="exact"/>
        <w:rPr>
          <w:rFonts w:ascii="Arial" w:cs="Arial" w:eastAsia="Arial" w:hAnsi="Arial"/>
          <w:sz w:val="16"/>
          <w:szCs w:val="16"/>
          <w:color w:val="29292B"/>
        </w:rPr>
      </w:pPr>
    </w:p>
    <w:p>
      <w:pPr>
        <w:ind w:left="500" w:hanging="492"/>
        <w:spacing w:after="0" w:line="299" w:lineRule="auto"/>
        <w:tabs>
          <w:tab w:leader="none" w:pos="495" w:val="left"/>
        </w:tabs>
        <w:numPr>
          <w:ilvl w:val="0"/>
          <w:numId w:val="106"/>
        </w:numPr>
        <w:rPr>
          <w:rFonts w:ascii="Arial" w:cs="Arial" w:eastAsia="Arial" w:hAnsi="Arial"/>
          <w:sz w:val="16"/>
          <w:szCs w:val="16"/>
          <w:color w:val="29292B"/>
        </w:rPr>
      </w:pPr>
      <w:r>
        <w:rPr>
          <w:rFonts w:ascii="Arial" w:cs="Arial" w:eastAsia="Arial" w:hAnsi="Arial"/>
          <w:sz w:val="16"/>
          <w:szCs w:val="16"/>
          <w:i w:val="1"/>
          <w:iCs w:val="1"/>
          <w:color w:val="29292B"/>
        </w:rPr>
        <w:t xml:space="preserve">Changes to the Plan and Awards. </w:t>
      </w:r>
      <w:r>
        <w:rPr>
          <w:rFonts w:ascii="Arial" w:cs="Arial" w:eastAsia="Arial" w:hAnsi="Arial"/>
          <w:sz w:val="16"/>
          <w:szCs w:val="16"/>
          <w:color w:val="29292B"/>
        </w:rPr>
        <w:t>The Board may amend, alter, suspend, discontinue, or terminate the Plan, or the Committee’s authority to grant</w:t>
      </w:r>
      <w:r>
        <w:rPr>
          <w:rFonts w:ascii="Arial" w:cs="Arial" w:eastAsia="Arial" w:hAnsi="Arial"/>
          <w:sz w:val="16"/>
          <w:szCs w:val="16"/>
          <w:i w:val="1"/>
          <w:iCs w:val="1"/>
          <w:color w:val="29292B"/>
        </w:rPr>
        <w:t xml:space="preserve"> </w:t>
      </w:r>
      <w:r>
        <w:rPr>
          <w:rFonts w:ascii="Arial" w:cs="Arial" w:eastAsia="Arial" w:hAnsi="Arial"/>
          <w:sz w:val="16"/>
          <w:szCs w:val="16"/>
          <w:color w:val="29292B"/>
        </w:rPr>
        <w:t>Awards under the Plan, without the consent of shareholders of the Company or Participants, except that any such amendment or alteration as it applies to ISOs shall be subject to the approval of the Company’s shareholders to the extent such shareholder approval is required under Section 422 of the Code; provided, however, that, without the consent of an affected Participant, no amendment, alteration, suspension, discontinuation, or termination of the Plan may materially and adversely affect the rights of such Participant under any Award theretofore granted to him or her. Subject to the limitation on repricing in Section 3(d), the Committee may (i) waive any conditions or rights under; (ii) amend, modify or supplement the terms of; or (iii) amend, alter, suspend, discontinue or terminate, any Award theretofore granted, prospectively or retrospectively, which authority shall include the authority, in order to effectuate the purposes of the Plan but without amending the Plan, to make Awards or to modify outstanding Awards made to Eligible Persons who are foreign nationals or who are employed outside the United States to reflect differences in local law, tax policy, or custom; provided, however, that, without the consent of a Participant, no amendment, alteration, suspension, discontinuation or termination of any Award may materially and, adversely affect the rights of such Participant under any Award theretofore granted to him or her.</w:t>
      </w:r>
    </w:p>
    <w:p>
      <w:pPr>
        <w:spacing w:after="0" w:line="97" w:lineRule="exact"/>
        <w:rPr>
          <w:rFonts w:ascii="Arial" w:cs="Arial" w:eastAsia="Arial" w:hAnsi="Arial"/>
          <w:sz w:val="16"/>
          <w:szCs w:val="16"/>
          <w:color w:val="29292B"/>
        </w:rPr>
      </w:pPr>
    </w:p>
    <w:p>
      <w:pPr>
        <w:ind w:left="500" w:right="260" w:hanging="492"/>
        <w:spacing w:after="0" w:line="312" w:lineRule="auto"/>
        <w:tabs>
          <w:tab w:leader="none" w:pos="509" w:val="left"/>
        </w:tabs>
        <w:numPr>
          <w:ilvl w:val="0"/>
          <w:numId w:val="106"/>
        </w:numPr>
        <w:rPr>
          <w:rFonts w:ascii="Arial" w:cs="Arial" w:eastAsia="Arial" w:hAnsi="Arial"/>
          <w:sz w:val="16"/>
          <w:szCs w:val="16"/>
          <w:color w:val="29292B"/>
        </w:rPr>
      </w:pPr>
      <w:r>
        <w:rPr>
          <w:rFonts w:ascii="Arial" w:cs="Arial" w:eastAsia="Arial" w:hAnsi="Arial"/>
          <w:sz w:val="16"/>
          <w:szCs w:val="16"/>
          <w:i w:val="1"/>
          <w:iCs w:val="1"/>
          <w:color w:val="29292B"/>
        </w:rPr>
        <w:t xml:space="preserve">No Rights to Awards; No Shareholder Rights. </w:t>
      </w:r>
      <w:r>
        <w:rPr>
          <w:rFonts w:ascii="Arial" w:cs="Arial" w:eastAsia="Arial" w:hAnsi="Arial"/>
          <w:sz w:val="16"/>
          <w:szCs w:val="16"/>
          <w:color w:val="29292B"/>
        </w:rPr>
        <w:t>No Eligible Person or employee shall have any claim to be granted any Award under the Plan, and</w:t>
      </w:r>
      <w:r>
        <w:rPr>
          <w:rFonts w:ascii="Arial" w:cs="Arial" w:eastAsia="Arial" w:hAnsi="Arial"/>
          <w:sz w:val="16"/>
          <w:szCs w:val="16"/>
          <w:i w:val="1"/>
          <w:iCs w:val="1"/>
          <w:color w:val="29292B"/>
        </w:rPr>
        <w:t xml:space="preserve"> </w:t>
      </w:r>
      <w:r>
        <w:rPr>
          <w:rFonts w:ascii="Arial" w:cs="Arial" w:eastAsia="Arial" w:hAnsi="Arial"/>
          <w:sz w:val="16"/>
          <w:szCs w:val="16"/>
          <w:color w:val="29292B"/>
        </w:rPr>
        <w:t>there is no obligation for uniformity of treatment of Eligible Persons and employees. Other than with respect to vested Restricted Shares, no Award shall confer on any Eligible Person any of the rights of a shareholder of the Company unless and until Shares are duly issued or transferred to the Eligible Person in accordance with the terms of the Award.</w:t>
      </w:r>
    </w:p>
    <w:p>
      <w:pPr>
        <w:spacing w:after="0" w:line="96" w:lineRule="exact"/>
        <w:rPr>
          <w:rFonts w:ascii="Arial" w:cs="Arial" w:eastAsia="Arial" w:hAnsi="Arial"/>
          <w:sz w:val="16"/>
          <w:szCs w:val="16"/>
          <w:color w:val="29292B"/>
        </w:rPr>
      </w:pPr>
    </w:p>
    <w:p>
      <w:pPr>
        <w:ind w:left="500" w:right="160" w:hanging="492"/>
        <w:spacing w:after="0" w:line="303" w:lineRule="auto"/>
        <w:tabs>
          <w:tab w:leader="none" w:pos="491" w:val="left"/>
        </w:tabs>
        <w:numPr>
          <w:ilvl w:val="0"/>
          <w:numId w:val="106"/>
        </w:numPr>
        <w:rPr>
          <w:rFonts w:ascii="Arial" w:cs="Arial" w:eastAsia="Arial" w:hAnsi="Arial"/>
          <w:sz w:val="16"/>
          <w:szCs w:val="16"/>
          <w:color w:val="29292B"/>
        </w:rPr>
      </w:pPr>
      <w:r>
        <w:rPr>
          <w:rFonts w:ascii="Arial" w:cs="Arial" w:eastAsia="Arial" w:hAnsi="Arial"/>
          <w:sz w:val="16"/>
          <w:szCs w:val="16"/>
          <w:i w:val="1"/>
          <w:iCs w:val="1"/>
          <w:color w:val="29292B"/>
        </w:rPr>
        <w:t xml:space="preserve">Unfunded Status of Awards. </w:t>
      </w:r>
      <w:r>
        <w:rPr>
          <w:rFonts w:ascii="Arial" w:cs="Arial" w:eastAsia="Arial" w:hAnsi="Arial"/>
          <w:sz w:val="16"/>
          <w:szCs w:val="16"/>
          <w:color w:val="29292B"/>
        </w:rPr>
        <w:t>The Plan is intended to constitute an “unfunded” plan for incentive compensation. With respect to any payments not yet</w:t>
      </w:r>
      <w:r>
        <w:rPr>
          <w:rFonts w:ascii="Arial" w:cs="Arial" w:eastAsia="Arial" w:hAnsi="Arial"/>
          <w:sz w:val="16"/>
          <w:szCs w:val="16"/>
          <w:i w:val="1"/>
          <w:iCs w:val="1"/>
          <w:color w:val="29292B"/>
        </w:rPr>
        <w:t xml:space="preserve"> </w:t>
      </w:r>
      <w:r>
        <w:rPr>
          <w:rFonts w:ascii="Arial" w:cs="Arial" w:eastAsia="Arial" w:hAnsi="Arial"/>
          <w:sz w:val="16"/>
          <w:szCs w:val="16"/>
          <w:color w:val="29292B"/>
        </w:rPr>
        <w:t>made to a Participant pursuant to an Award, nothing contained in the Plan or any Award shall give any such Participant any rights that are greater than those of a general creditor of the Company; provided, however, that the Committee may authorize the creation of trusts or make other arrangements to meet the Company’s obligations under the Plan to deliver cash, Shares, other Awards, or other property pursuant to any Award, which trusts or other arrangements shall be consistent with the “unfunded” status of the Plan unless the Committee otherwise determines with the consent of each affected Participant.</w:t>
      </w:r>
    </w:p>
    <w:p>
      <w:pPr>
        <w:spacing w:after="0" w:line="91" w:lineRule="exact"/>
        <w:rPr>
          <w:rFonts w:ascii="Arial" w:cs="Arial" w:eastAsia="Arial" w:hAnsi="Arial"/>
          <w:sz w:val="16"/>
          <w:szCs w:val="16"/>
          <w:color w:val="29292B"/>
        </w:rPr>
      </w:pPr>
    </w:p>
    <w:p>
      <w:pPr>
        <w:ind w:left="500" w:right="40" w:hanging="492"/>
        <w:spacing w:after="0" w:line="339" w:lineRule="auto"/>
        <w:tabs>
          <w:tab w:leader="none" w:pos="509" w:val="left"/>
        </w:tabs>
        <w:numPr>
          <w:ilvl w:val="0"/>
          <w:numId w:val="106"/>
        </w:numPr>
        <w:rPr>
          <w:rFonts w:ascii="Arial" w:cs="Arial" w:eastAsia="Arial" w:hAnsi="Arial"/>
          <w:sz w:val="16"/>
          <w:szCs w:val="16"/>
          <w:color w:val="29292B"/>
        </w:rPr>
      </w:pPr>
      <w:r>
        <w:rPr>
          <w:rFonts w:ascii="Arial" w:cs="Arial" w:eastAsia="Arial" w:hAnsi="Arial"/>
          <w:sz w:val="16"/>
          <w:szCs w:val="16"/>
          <w:i w:val="1"/>
          <w:iCs w:val="1"/>
          <w:color w:val="29292B"/>
        </w:rPr>
        <w:t xml:space="preserve">Non-exclusivity of the Plan. </w:t>
      </w:r>
      <w:r>
        <w:rPr>
          <w:rFonts w:ascii="Arial" w:cs="Arial" w:eastAsia="Arial" w:hAnsi="Arial"/>
          <w:sz w:val="16"/>
          <w:szCs w:val="16"/>
          <w:color w:val="29292B"/>
        </w:rPr>
        <w:t>Neither the adoption of the Plan by the Board nor its submission to the shareholders of the Company for approval shall be</w:t>
      </w:r>
      <w:r>
        <w:rPr>
          <w:rFonts w:ascii="Arial" w:cs="Arial" w:eastAsia="Arial" w:hAnsi="Arial"/>
          <w:sz w:val="16"/>
          <w:szCs w:val="16"/>
          <w:i w:val="1"/>
          <w:iCs w:val="1"/>
          <w:color w:val="29292B"/>
        </w:rPr>
        <w:t xml:space="preserve"> </w:t>
      </w:r>
      <w:r>
        <w:rPr>
          <w:rFonts w:ascii="Arial" w:cs="Arial" w:eastAsia="Arial" w:hAnsi="Arial"/>
          <w:sz w:val="16"/>
          <w:szCs w:val="16"/>
          <w:color w:val="29292B"/>
        </w:rPr>
        <w:t>construed as creating any limitations on the power of the Board to adopt such other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032E5C"/>
              </w:rPr>
              <w:t>113</w:t>
            </w:r>
          </w:p>
        </w:tc>
        <w:tc>
          <w:tcPr>
            <w:tcW w:w="0" w:type="dxa"/>
            <w:vAlign w:val="bottom"/>
          </w:tcPr>
          <w:p>
            <w:pPr>
              <w:spacing w:after="0"/>
              <w:rPr>
                <w:sz w:val="1"/>
                <w:szCs w:val="1"/>
                <w:color w:val="auto"/>
              </w:rPr>
            </w:pPr>
          </w:p>
        </w:tc>
      </w:tr>
      <w:tr>
        <w:trPr>
          <w:trHeight w:val="60"/>
        </w:trPr>
        <w:tc>
          <w:tcPr>
            <w:tcW w:w="868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86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0"/>
        </w:trPr>
        <w:tc>
          <w:tcPr>
            <w:tcW w:w="1280" w:type="dxa"/>
            <w:vAlign w:val="bottom"/>
            <w:vMerge w:val="restart"/>
            <w:shd w:val="clear" w:color="auto" w:fill="98BDE2"/>
          </w:tcPr>
          <w:p>
            <w:pPr>
              <w:ind w:left="260"/>
              <w:spacing w:after="0"/>
              <w:rPr>
                <w:sz w:val="20"/>
                <w:szCs w:val="20"/>
                <w:color w:val="auto"/>
              </w:rPr>
            </w:pPr>
            <w:r>
              <w:rPr>
                <w:rFonts w:ascii="Arial" w:cs="Arial" w:eastAsia="Arial" w:hAnsi="Arial"/>
                <w:sz w:val="13"/>
                <w:szCs w:val="13"/>
                <w:b w:val="1"/>
                <w:bCs w:val="1"/>
                <w:color w:val="032E5C"/>
              </w:rPr>
              <w:t>APPENDIX B</w:t>
            </w:r>
          </w:p>
        </w:tc>
        <w:tc>
          <w:tcPr>
            <w:tcW w:w="9940" w:type="dxa"/>
            <w:vAlign w:val="bottom"/>
          </w:tcPr>
          <w:p>
            <w:pPr>
              <w:ind w:left="8820"/>
              <w:spacing w:after="0"/>
              <w:rPr>
                <w:sz w:val="20"/>
                <w:szCs w:val="20"/>
                <w:color w:val="auto"/>
              </w:rPr>
            </w:pPr>
            <w:r>
              <w:rPr>
                <w:rFonts w:ascii="Arial" w:cs="Arial" w:eastAsia="Arial" w:hAnsi="Arial"/>
                <w:sz w:val="14"/>
                <w:szCs w:val="14"/>
                <w:color w:val="032E5C"/>
                <w:w w:val="99"/>
              </w:rPr>
              <w:t>Table of Contents</w:t>
            </w:r>
          </w:p>
        </w:tc>
        <w:tc>
          <w:tcPr>
            <w:tcW w:w="0" w:type="dxa"/>
            <w:vAlign w:val="bottom"/>
          </w:tcPr>
          <w:p>
            <w:pPr>
              <w:spacing w:after="0"/>
              <w:rPr>
                <w:sz w:val="1"/>
                <w:szCs w:val="1"/>
                <w:color w:val="auto"/>
              </w:rPr>
            </w:pPr>
          </w:p>
        </w:tc>
      </w:tr>
      <w:tr>
        <w:trPr>
          <w:trHeight w:val="52"/>
        </w:trPr>
        <w:tc>
          <w:tcPr>
            <w:tcW w:w="1280" w:type="dxa"/>
            <w:vAlign w:val="bottom"/>
            <w:vMerge w:val="continue"/>
            <w:shd w:val="clear" w:color="auto" w:fill="98BDE2"/>
          </w:tcPr>
          <w:p>
            <w:pPr>
              <w:spacing w:after="0"/>
              <w:rPr>
                <w:sz w:val="4"/>
                <w:szCs w:val="4"/>
                <w:color w:val="auto"/>
              </w:rPr>
            </w:pPr>
          </w:p>
        </w:tc>
        <w:tc>
          <w:tcPr>
            <w:tcW w:w="9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280" w:type="dxa"/>
            <w:vAlign w:val="bottom"/>
            <w:shd w:val="clear" w:color="auto" w:fill="98BDE2"/>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right="360"/>
        <w:spacing w:after="0" w:line="339" w:lineRule="auto"/>
        <w:rPr>
          <w:sz w:val="20"/>
          <w:szCs w:val="20"/>
          <w:color w:val="auto"/>
        </w:rPr>
      </w:pPr>
      <w:r>
        <w:rPr>
          <w:rFonts w:ascii="Arial" w:cs="Arial" w:eastAsia="Arial" w:hAnsi="Arial"/>
          <w:sz w:val="16"/>
          <w:szCs w:val="16"/>
          <w:color w:val="29292B"/>
        </w:rPr>
        <w:t>incentive arrangements as it may deem desirable, including, without limitation, the granting of options and other awards otherwise than under the Plan, and such arrangements may be either applicable generally or only in specific cases.</w:t>
      </w:r>
    </w:p>
    <w:p>
      <w:pPr>
        <w:spacing w:after="0" w:line="74" w:lineRule="exact"/>
        <w:rPr>
          <w:sz w:val="20"/>
          <w:szCs w:val="20"/>
          <w:color w:val="auto"/>
        </w:rPr>
      </w:pPr>
    </w:p>
    <w:p>
      <w:pPr>
        <w:ind w:left="500" w:right="180" w:hanging="492"/>
        <w:spacing w:after="0" w:line="319" w:lineRule="auto"/>
        <w:tabs>
          <w:tab w:leader="none" w:pos="495" w:val="left"/>
        </w:tabs>
        <w:numPr>
          <w:ilvl w:val="0"/>
          <w:numId w:val="107"/>
        </w:numPr>
        <w:rPr>
          <w:rFonts w:ascii="Arial" w:cs="Arial" w:eastAsia="Arial" w:hAnsi="Arial"/>
          <w:sz w:val="16"/>
          <w:szCs w:val="16"/>
          <w:color w:val="29292B"/>
        </w:rPr>
      </w:pPr>
      <w:r>
        <w:rPr>
          <w:rFonts w:ascii="Arial" w:cs="Arial" w:eastAsia="Arial" w:hAnsi="Arial"/>
          <w:sz w:val="16"/>
          <w:szCs w:val="16"/>
          <w:i w:val="1"/>
          <w:iCs w:val="1"/>
          <w:color w:val="29292B"/>
        </w:rPr>
        <w:t xml:space="preserve">Not Compensation for Benefit Plans. </w:t>
      </w:r>
      <w:r>
        <w:rPr>
          <w:rFonts w:ascii="Arial" w:cs="Arial" w:eastAsia="Arial" w:hAnsi="Arial"/>
          <w:sz w:val="16"/>
          <w:szCs w:val="16"/>
          <w:color w:val="29292B"/>
        </w:rPr>
        <w:t>No Award payable under this Plan shall be deemed salary or compensation for the purpose of computing</w:t>
      </w:r>
      <w:r>
        <w:rPr>
          <w:rFonts w:ascii="Arial" w:cs="Arial" w:eastAsia="Arial" w:hAnsi="Arial"/>
          <w:sz w:val="16"/>
          <w:szCs w:val="16"/>
          <w:i w:val="1"/>
          <w:iCs w:val="1"/>
          <w:color w:val="29292B"/>
        </w:rPr>
        <w:t xml:space="preserve"> </w:t>
      </w:r>
      <w:r>
        <w:rPr>
          <w:rFonts w:ascii="Arial" w:cs="Arial" w:eastAsia="Arial" w:hAnsi="Arial"/>
          <w:sz w:val="16"/>
          <w:szCs w:val="16"/>
          <w:color w:val="29292B"/>
        </w:rPr>
        <w:t>benefits under any benefit plan or other arrangement of the Company for the benefit of its employees, consultants, or directors unless the Company shall determine otherwise.</w:t>
      </w:r>
    </w:p>
    <w:p>
      <w:pPr>
        <w:spacing w:after="0" w:line="76" w:lineRule="exact"/>
        <w:rPr>
          <w:rFonts w:ascii="Arial" w:cs="Arial" w:eastAsia="Arial" w:hAnsi="Arial"/>
          <w:sz w:val="16"/>
          <w:szCs w:val="16"/>
          <w:color w:val="29292B"/>
        </w:rPr>
      </w:pPr>
    </w:p>
    <w:p>
      <w:pPr>
        <w:jc w:val="both"/>
        <w:ind w:left="500" w:right="160" w:hanging="492"/>
        <w:spacing w:after="0" w:line="319" w:lineRule="auto"/>
        <w:tabs>
          <w:tab w:leader="none" w:pos="495" w:val="left"/>
        </w:tabs>
        <w:numPr>
          <w:ilvl w:val="0"/>
          <w:numId w:val="107"/>
        </w:numPr>
        <w:rPr>
          <w:rFonts w:ascii="Arial" w:cs="Arial" w:eastAsia="Arial" w:hAnsi="Arial"/>
          <w:sz w:val="16"/>
          <w:szCs w:val="16"/>
          <w:color w:val="29292B"/>
        </w:rPr>
      </w:pPr>
      <w:r>
        <w:rPr>
          <w:rFonts w:ascii="Arial" w:cs="Arial" w:eastAsia="Arial" w:hAnsi="Arial"/>
          <w:sz w:val="16"/>
          <w:szCs w:val="16"/>
          <w:i w:val="1"/>
          <w:iCs w:val="1"/>
          <w:color w:val="29292B"/>
        </w:rPr>
        <w:t xml:space="preserve">No Fractional Shares. </w:t>
      </w:r>
      <w:r>
        <w:rPr>
          <w:rFonts w:ascii="Arial" w:cs="Arial" w:eastAsia="Arial" w:hAnsi="Arial"/>
          <w:sz w:val="16"/>
          <w:szCs w:val="16"/>
          <w:color w:val="29292B"/>
        </w:rPr>
        <w:t>No fractional Shares shall be issued or delivered pursuant to the Plan or any Award. The Committee shall determine whether</w:t>
      </w:r>
      <w:r>
        <w:rPr>
          <w:rFonts w:ascii="Arial" w:cs="Arial" w:eastAsia="Arial" w:hAnsi="Arial"/>
          <w:sz w:val="16"/>
          <w:szCs w:val="16"/>
          <w:i w:val="1"/>
          <w:iCs w:val="1"/>
          <w:color w:val="29292B"/>
        </w:rPr>
        <w:t xml:space="preserve"> </w:t>
      </w:r>
      <w:r>
        <w:rPr>
          <w:rFonts w:ascii="Arial" w:cs="Arial" w:eastAsia="Arial" w:hAnsi="Arial"/>
          <w:sz w:val="16"/>
          <w:szCs w:val="16"/>
          <w:color w:val="29292B"/>
        </w:rPr>
        <w:t>cash, other Awards, or other property shall be issued or paid in lieu of such fractional Shares or whether such fractional Shares or any rights thereto shall be forfeited or otherwise eliminated.</w:t>
      </w:r>
    </w:p>
    <w:p>
      <w:pPr>
        <w:spacing w:after="0" w:line="89" w:lineRule="exact"/>
        <w:rPr>
          <w:rFonts w:ascii="Arial" w:cs="Arial" w:eastAsia="Arial" w:hAnsi="Arial"/>
          <w:sz w:val="16"/>
          <w:szCs w:val="16"/>
          <w:color w:val="29292B"/>
        </w:rPr>
      </w:pPr>
    </w:p>
    <w:p>
      <w:pPr>
        <w:ind w:left="500" w:hanging="492"/>
        <w:spacing w:after="0" w:line="297" w:lineRule="auto"/>
        <w:tabs>
          <w:tab w:leader="none" w:pos="495" w:val="left"/>
        </w:tabs>
        <w:numPr>
          <w:ilvl w:val="0"/>
          <w:numId w:val="107"/>
        </w:numPr>
        <w:rPr>
          <w:rFonts w:ascii="Arial" w:cs="Arial" w:eastAsia="Arial" w:hAnsi="Arial"/>
          <w:sz w:val="16"/>
          <w:szCs w:val="16"/>
          <w:color w:val="29292B"/>
        </w:rPr>
      </w:pPr>
      <w:r>
        <w:rPr>
          <w:rFonts w:ascii="Arial" w:cs="Arial" w:eastAsia="Arial" w:hAnsi="Arial"/>
          <w:sz w:val="16"/>
          <w:szCs w:val="16"/>
          <w:i w:val="1"/>
          <w:iCs w:val="1"/>
          <w:color w:val="29292B"/>
        </w:rPr>
        <w:t xml:space="preserve">Section 409A. </w:t>
      </w:r>
      <w:r>
        <w:rPr>
          <w:rFonts w:ascii="Arial" w:cs="Arial" w:eastAsia="Arial" w:hAnsi="Arial"/>
          <w:sz w:val="16"/>
          <w:szCs w:val="16"/>
          <w:color w:val="29292B"/>
        </w:rPr>
        <w:t>The Plan is intended to comply with Section 409A to the extent subject thereto, and, accordingly, to the maximum extent permitted,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Plan will be interpreted and administered to be in compliance with Section 409A. Any payments described in the Plan that are due within the Short-Term Deferral Period will not be treated as deferred compensation unless applicable laws require otherwise. Notwithstanding any provision of the Plan to the contrary, to the extent required to avoid accelerated taxation and tax penalties under Section 409A, amounts that would otherwise be payable and benefits that would otherwise be provided pursuant to the Plan during the six-month period immediately following the Participant’s Separation from Service will instead be paid on the first payroll date after the six-month anniversary of the Participant’s Separation from Service (or the Participant’s death, if earlier). Furthermore, notwithstanding anything in the Plan to the contrary, in the case of an Award that is characterized as deferred compensation under Section 409A, and pursuant to which settlement and delivery of the cash or Shares subject to the Award is triggered based on a Change in Control, in no event will a Change in Control be deemed to have occurred for purposes of such settlement and delivery of cash or Shares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characterized as deferred compensation under Section 409A is not settled and delivered on account of the provision of the preceding sentence, the settlement and delivery shall occur on the next succeeding settlement and delivery triggering event that is a permissible triggering event under Section 409A. No provision of this Section 9(j) shall in any way affect the determination of a Change in Control for purposes of vesting in an Award that is characterized as deferred compensation under Section 409A. Notwithstanding the foregoing, neither the Company nor the Committee will have any obligation to take any action to prevent the assessment of any excise tax or penalty on any Participant under Section 409A, and neither the Company or an Affiliate nor the Board or the Committee will have any liability to any Participant for such tax or penalty.</w:t>
      </w:r>
    </w:p>
    <w:p>
      <w:pPr>
        <w:spacing w:after="0" w:line="111" w:lineRule="exact"/>
        <w:rPr>
          <w:rFonts w:ascii="Arial" w:cs="Arial" w:eastAsia="Arial" w:hAnsi="Arial"/>
          <w:sz w:val="16"/>
          <w:szCs w:val="16"/>
          <w:color w:val="29292B"/>
        </w:rPr>
      </w:pPr>
    </w:p>
    <w:p>
      <w:pPr>
        <w:ind w:left="500" w:right="260" w:hanging="492"/>
        <w:spacing w:after="0" w:line="339" w:lineRule="auto"/>
        <w:tabs>
          <w:tab w:leader="none" w:pos="500" w:val="left"/>
        </w:tabs>
        <w:numPr>
          <w:ilvl w:val="0"/>
          <w:numId w:val="107"/>
        </w:numPr>
        <w:rPr>
          <w:rFonts w:ascii="Arial" w:cs="Arial" w:eastAsia="Arial" w:hAnsi="Arial"/>
          <w:sz w:val="16"/>
          <w:szCs w:val="16"/>
          <w:color w:val="29292B"/>
        </w:rPr>
      </w:pPr>
      <w:r>
        <w:rPr>
          <w:rFonts w:ascii="Arial" w:cs="Arial" w:eastAsia="Arial" w:hAnsi="Arial"/>
          <w:sz w:val="16"/>
          <w:szCs w:val="16"/>
          <w:i w:val="1"/>
          <w:iCs w:val="1"/>
          <w:color w:val="29292B"/>
        </w:rPr>
        <w:t xml:space="preserve">Governing Law. </w:t>
      </w:r>
      <w:r>
        <w:rPr>
          <w:rFonts w:ascii="Arial" w:cs="Arial" w:eastAsia="Arial" w:hAnsi="Arial"/>
          <w:sz w:val="16"/>
          <w:szCs w:val="16"/>
          <w:color w:val="29292B"/>
        </w:rPr>
        <w:t>The validity, construction, and effect of the Plan, any rules and regulations relating to the Plan, and any Award Agreement shall be</w:t>
      </w:r>
      <w:r>
        <w:rPr>
          <w:rFonts w:ascii="Arial" w:cs="Arial" w:eastAsia="Arial" w:hAnsi="Arial"/>
          <w:sz w:val="16"/>
          <w:szCs w:val="16"/>
          <w:i w:val="1"/>
          <w:iCs w:val="1"/>
          <w:color w:val="29292B"/>
        </w:rPr>
        <w:t xml:space="preserve"> </w:t>
      </w:r>
      <w:r>
        <w:rPr>
          <w:rFonts w:ascii="Arial" w:cs="Arial" w:eastAsia="Arial" w:hAnsi="Arial"/>
          <w:sz w:val="16"/>
          <w:szCs w:val="16"/>
          <w:color w:val="29292B"/>
        </w:rPr>
        <w:t>determined in accordance with the laws of the State of Delaware without giving effect to principles of conflict of laws.</w:t>
      </w:r>
    </w:p>
    <w:p>
      <w:pPr>
        <w:spacing w:after="0" w:line="74" w:lineRule="exact"/>
        <w:rPr>
          <w:rFonts w:ascii="Arial" w:cs="Arial" w:eastAsia="Arial" w:hAnsi="Arial"/>
          <w:sz w:val="16"/>
          <w:szCs w:val="16"/>
          <w:color w:val="29292B"/>
        </w:rPr>
      </w:pPr>
    </w:p>
    <w:p>
      <w:pPr>
        <w:ind w:left="500" w:right="80" w:hanging="492"/>
        <w:spacing w:after="0" w:line="310" w:lineRule="auto"/>
        <w:tabs>
          <w:tab w:leader="none" w:pos="495" w:val="left"/>
        </w:tabs>
        <w:numPr>
          <w:ilvl w:val="0"/>
          <w:numId w:val="107"/>
        </w:numPr>
        <w:rPr>
          <w:rFonts w:ascii="Arial" w:cs="Arial" w:eastAsia="Arial" w:hAnsi="Arial"/>
          <w:sz w:val="16"/>
          <w:szCs w:val="16"/>
          <w:color w:val="29292B"/>
        </w:rPr>
      </w:pPr>
      <w:r>
        <w:rPr>
          <w:rFonts w:ascii="Arial" w:cs="Arial" w:eastAsia="Arial" w:hAnsi="Arial"/>
          <w:sz w:val="16"/>
          <w:szCs w:val="16"/>
          <w:i w:val="1"/>
          <w:iCs w:val="1"/>
          <w:color w:val="29292B"/>
        </w:rPr>
        <w:t xml:space="preserve">Effective Date; Plan Termination. </w:t>
      </w:r>
      <w:r>
        <w:rPr>
          <w:rFonts w:ascii="Arial" w:cs="Arial" w:eastAsia="Arial" w:hAnsi="Arial"/>
          <w:sz w:val="16"/>
          <w:szCs w:val="16"/>
          <w:color w:val="29292B"/>
        </w:rPr>
        <w:t>The Plan was approved by the Board on September 25, 2024, subject to approval by stockholders of the Company.</w:t>
      </w:r>
      <w:r>
        <w:rPr>
          <w:rFonts w:ascii="Arial" w:cs="Arial" w:eastAsia="Arial" w:hAnsi="Arial"/>
          <w:sz w:val="16"/>
          <w:szCs w:val="16"/>
          <w:i w:val="1"/>
          <w:iCs w:val="1"/>
          <w:color w:val="29292B"/>
        </w:rPr>
        <w:t xml:space="preserve"> </w:t>
      </w:r>
      <w:r>
        <w:rPr>
          <w:rFonts w:ascii="Arial" w:cs="Arial" w:eastAsia="Arial" w:hAnsi="Arial"/>
          <w:sz w:val="16"/>
          <w:szCs w:val="16"/>
          <w:color w:val="29292B"/>
        </w:rPr>
        <w:t>The Plan shall become effective as of the Effective Date. The Plan shall terminate as to future awards on the date which is ten years after the Effective Date. Upon the Effective Date, no further Awards may be made under the 2024 Plan.</w:t>
      </w:r>
    </w:p>
    <w:p>
      <w:pPr>
        <w:spacing w:after="0" w:line="97" w:lineRule="exact"/>
        <w:rPr>
          <w:rFonts w:ascii="Arial" w:cs="Arial" w:eastAsia="Arial" w:hAnsi="Arial"/>
          <w:sz w:val="16"/>
          <w:szCs w:val="16"/>
          <w:color w:val="29292B"/>
        </w:rPr>
      </w:pPr>
    </w:p>
    <w:p>
      <w:pPr>
        <w:ind w:left="500" w:right="60" w:hanging="492"/>
        <w:spacing w:after="0" w:line="339" w:lineRule="auto"/>
        <w:tabs>
          <w:tab w:leader="none" w:pos="486" w:val="left"/>
        </w:tabs>
        <w:numPr>
          <w:ilvl w:val="0"/>
          <w:numId w:val="107"/>
        </w:numPr>
        <w:rPr>
          <w:rFonts w:ascii="Arial" w:cs="Arial" w:eastAsia="Arial" w:hAnsi="Arial"/>
          <w:sz w:val="16"/>
          <w:szCs w:val="16"/>
          <w:color w:val="29292B"/>
        </w:rPr>
      </w:pPr>
      <w:r>
        <w:rPr>
          <w:rFonts w:ascii="Arial" w:cs="Arial" w:eastAsia="Arial" w:hAnsi="Arial"/>
          <w:sz w:val="16"/>
          <w:szCs w:val="16"/>
          <w:i w:val="1"/>
          <w:iCs w:val="1"/>
          <w:color w:val="29292B"/>
        </w:rPr>
        <w:t xml:space="preserve">Titles and Headings. </w:t>
      </w:r>
      <w:r>
        <w:rPr>
          <w:rFonts w:ascii="Arial" w:cs="Arial" w:eastAsia="Arial" w:hAnsi="Arial"/>
          <w:sz w:val="16"/>
          <w:szCs w:val="16"/>
          <w:color w:val="29292B"/>
        </w:rPr>
        <w:t>The titles and headings of the sections the Plan are for convenience of reference only. In the event of any conflict, the text of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Plan, rather than such titles or headings, shall control.</w:t>
      </w:r>
    </w:p>
    <w:p>
      <w:pPr>
        <w:spacing w:after="0" w:line="74" w:lineRule="exact"/>
        <w:rPr>
          <w:rFonts w:ascii="Arial" w:cs="Arial" w:eastAsia="Arial" w:hAnsi="Arial"/>
          <w:sz w:val="16"/>
          <w:szCs w:val="16"/>
          <w:color w:val="29292B"/>
        </w:rPr>
      </w:pPr>
    </w:p>
    <w:p>
      <w:pPr>
        <w:ind w:left="500" w:hanging="492"/>
        <w:spacing w:after="0" w:line="304" w:lineRule="auto"/>
        <w:tabs>
          <w:tab w:leader="none" w:pos="495" w:val="left"/>
        </w:tabs>
        <w:numPr>
          <w:ilvl w:val="0"/>
          <w:numId w:val="107"/>
        </w:numPr>
        <w:rPr>
          <w:rFonts w:ascii="Arial" w:cs="Arial" w:eastAsia="Arial" w:hAnsi="Arial"/>
          <w:sz w:val="16"/>
          <w:szCs w:val="16"/>
          <w:color w:val="29292B"/>
        </w:rPr>
      </w:pPr>
      <w:r>
        <w:rPr>
          <w:rFonts w:ascii="Arial" w:cs="Arial" w:eastAsia="Arial" w:hAnsi="Arial"/>
          <w:sz w:val="16"/>
          <w:szCs w:val="16"/>
          <w:i w:val="1"/>
          <w:iCs w:val="1"/>
          <w:color w:val="29292B"/>
        </w:rPr>
        <w:t xml:space="preserve">Data Protection. </w:t>
      </w:r>
      <w:r>
        <w:rPr>
          <w:rFonts w:ascii="Arial" w:cs="Arial" w:eastAsia="Arial" w:hAnsi="Arial"/>
          <w:sz w:val="16"/>
          <w:szCs w:val="16"/>
          <w:color w:val="29292B"/>
        </w:rPr>
        <w:t>By participating in the Plan or accepting any rights granted under it, each Eligible Person consents to the collection and processing of</w:t>
      </w:r>
      <w:r>
        <w:rPr>
          <w:rFonts w:ascii="Arial" w:cs="Arial" w:eastAsia="Arial" w:hAnsi="Arial"/>
          <w:sz w:val="16"/>
          <w:szCs w:val="16"/>
          <w:i w:val="1"/>
          <w:iCs w:val="1"/>
          <w:color w:val="29292B"/>
        </w:rPr>
        <w:t xml:space="preserve"> </w:t>
      </w:r>
      <w:r>
        <w:rPr>
          <w:rFonts w:ascii="Arial" w:cs="Arial" w:eastAsia="Arial" w:hAnsi="Arial"/>
          <w:sz w:val="16"/>
          <w:szCs w:val="16"/>
          <w:color w:val="29292B"/>
        </w:rPr>
        <w:t>personal data relating to such participant so that the Company can fulfill their obligations and exercise its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such participant and his or her participation in the Plan.</w:t>
      </w:r>
    </w:p>
    <w:p>
      <w:pPr>
        <w:spacing w:after="0" w:line="103" w:lineRule="exact"/>
        <w:rPr>
          <w:rFonts w:ascii="Arial" w:cs="Arial" w:eastAsia="Arial" w:hAnsi="Arial"/>
          <w:sz w:val="16"/>
          <w:szCs w:val="16"/>
          <w:color w:val="29292B"/>
        </w:rPr>
      </w:pPr>
    </w:p>
    <w:p>
      <w:pPr>
        <w:ind w:left="500" w:right="240" w:hanging="492"/>
        <w:spacing w:after="0" w:line="306" w:lineRule="auto"/>
        <w:tabs>
          <w:tab w:leader="none" w:pos="495" w:val="left"/>
        </w:tabs>
        <w:numPr>
          <w:ilvl w:val="0"/>
          <w:numId w:val="107"/>
        </w:numPr>
        <w:rPr>
          <w:rFonts w:ascii="Arial" w:cs="Arial" w:eastAsia="Arial" w:hAnsi="Arial"/>
          <w:sz w:val="16"/>
          <w:szCs w:val="16"/>
          <w:color w:val="29292B"/>
        </w:rPr>
      </w:pPr>
      <w:r>
        <w:rPr>
          <w:rFonts w:ascii="Arial" w:cs="Arial" w:eastAsia="Arial" w:hAnsi="Arial"/>
          <w:sz w:val="16"/>
          <w:szCs w:val="16"/>
          <w:i w:val="1"/>
          <w:iCs w:val="1"/>
          <w:color w:val="29292B"/>
        </w:rPr>
        <w:t xml:space="preserve">Clawback/Forfeiture. </w:t>
      </w:r>
      <w:r>
        <w:rPr>
          <w:rFonts w:ascii="Arial" w:cs="Arial" w:eastAsia="Arial" w:hAnsi="Arial"/>
          <w:sz w:val="16"/>
          <w:szCs w:val="16"/>
          <w:color w:val="29292B"/>
        </w:rPr>
        <w:t>All incentive-based Awards shall be subject to reduction, cancellation, forfeiture or recoupment (i) to the extent necessary to</w:t>
      </w:r>
      <w:r>
        <w:rPr>
          <w:rFonts w:ascii="Arial" w:cs="Arial" w:eastAsia="Arial" w:hAnsi="Arial"/>
          <w:sz w:val="16"/>
          <w:szCs w:val="16"/>
          <w:i w:val="1"/>
          <w:iCs w:val="1"/>
          <w:color w:val="29292B"/>
        </w:rPr>
        <w:t xml:space="preserve"> </w:t>
      </w:r>
      <w:r>
        <w:rPr>
          <w:rFonts w:ascii="Arial" w:cs="Arial" w:eastAsia="Arial" w:hAnsi="Arial"/>
          <w:sz w:val="16"/>
          <w:szCs w:val="16"/>
          <w:color w:val="29292B"/>
        </w:rPr>
        <w:t>comply with (A) any clawback, forfeiture or other similar policy adopted by the Board or Committee, and as in effect from time to time (including the Company’s Executive Compensation Clawback Policy, as amended from time to time), and (B) applicable law, including, but not limited to, the applicable rules and regulations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520" w:type="dxa"/>
            <w:vAlign w:val="bottom"/>
          </w:tcPr>
          <w:p>
            <w:pPr>
              <w:jc w:val="right"/>
              <w:ind w:right="2179"/>
              <w:spacing w:after="0"/>
              <w:rPr>
                <w:sz w:val="20"/>
                <w:szCs w:val="20"/>
                <w:color w:val="auto"/>
              </w:rPr>
            </w:pPr>
            <w:r>
              <w:rPr>
                <w:rFonts w:ascii="Arial" w:cs="Arial" w:eastAsia="Arial" w:hAnsi="Arial"/>
                <w:sz w:val="16"/>
                <w:szCs w:val="16"/>
                <w:b w:val="1"/>
                <w:bCs w:val="1"/>
                <w:color w:val="032E5C"/>
                <w:w w:val="89"/>
              </w:rPr>
              <w:t>114</w:t>
            </w:r>
          </w:p>
        </w:tc>
        <w:tc>
          <w:tcPr>
            <w:tcW w:w="3880" w:type="dxa"/>
            <w:vAlign w:val="bottom"/>
            <w:vMerge w:val="restart"/>
          </w:tcPr>
          <w:p>
            <w:pPr>
              <w:ind w:left="2260"/>
              <w:spacing w:after="0"/>
              <w:rPr>
                <w:sz w:val="20"/>
                <w:szCs w:val="20"/>
                <w:color w:val="auto"/>
              </w:rPr>
            </w:pPr>
            <w:r>
              <w:rPr>
                <w:rFonts w:ascii="Arial" w:cs="Arial" w:eastAsia="Arial" w:hAnsi="Arial"/>
                <w:sz w:val="16"/>
                <w:szCs w:val="16"/>
                <w:color w:val="98BDE2"/>
              </w:rPr>
              <w:t>2024 Proxy Statement</w:t>
            </w: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-144145</wp:posOffset>
            </wp:positionV>
            <wp:extent cx="925830" cy="8572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19" w:name="page120"/>
    <w:bookmarkEnd w:id="119"/>
    <w:tbl>
      <w:tblPr>
        <w:tblLayout w:type="fixed"/>
        <w:tblInd w:w="20"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Arial" w:cs="Arial" w:eastAsia="Arial" w:hAnsi="Arial"/>
                <w:sz w:val="14"/>
                <w:szCs w:val="14"/>
                <w:color w:val="032E5C"/>
              </w:rPr>
              <w:t>Table of Contents</w:t>
            </w:r>
          </w:p>
        </w:tc>
        <w:tc>
          <w:tcPr>
            <w:tcW w:w="5300" w:type="dxa"/>
            <w:vAlign w:val="bottom"/>
            <w:vMerge w:val="restart"/>
          </w:tcPr>
          <w:p>
            <w:pPr>
              <w:ind w:left="4540"/>
              <w:spacing w:after="0"/>
              <w:rPr>
                <w:sz w:val="20"/>
                <w:szCs w:val="20"/>
                <w:color w:val="auto"/>
              </w:rPr>
            </w:pPr>
            <w:r>
              <w:rPr>
                <w:rFonts w:ascii="Arial" w:cs="Arial" w:eastAsia="Arial" w:hAnsi="Arial"/>
                <w:sz w:val="13"/>
                <w:szCs w:val="13"/>
                <w:b w:val="1"/>
                <w:bCs w:val="1"/>
                <w:color w:val="032E5C"/>
                <w:w w:val="93"/>
              </w:rPr>
              <w:t>APPENDIX B</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5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6525895</wp:posOffset>
            </wp:positionH>
            <wp:positionV relativeFrom="page">
              <wp:posOffset>106045</wp:posOffset>
            </wp:positionV>
            <wp:extent cx="814705" cy="2400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14705" cy="2400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00" w:right="40"/>
        <w:spacing w:after="0" w:line="303" w:lineRule="auto"/>
        <w:rPr>
          <w:sz w:val="20"/>
          <w:szCs w:val="20"/>
          <w:color w:val="auto"/>
        </w:rPr>
      </w:pPr>
      <w:r>
        <w:rPr>
          <w:rFonts w:ascii="Arial" w:cs="Arial" w:eastAsia="Arial" w:hAnsi="Arial"/>
          <w:sz w:val="16"/>
          <w:szCs w:val="16"/>
          <w:color w:val="29292B"/>
        </w:rPr>
        <w:t>of the Securities and Exchange Commission and any securities exchange or inter-dealer quotation system on which the Common Stock is listed or quoted; and (ii) as the Committee may specify in an Award Agreement, upon the occurrence of other specified events, including, without limitation, failure to remit the amounts necessary to satisfy the Eligible Person’s tax withholding obligations, termination for Cause, termination of the Eligible Person’s provision of services to the Company or any Subsidiary or Affiliate, violation of material policies of the Company, breach of noncompetition, confidentiality, or other restrictive covenants that may apply to the Participant, or other conduct by the Participant that is detrimental to the business or reputation of the Company.</w:t>
      </w:r>
    </w:p>
    <w:p>
      <w:pPr>
        <w:spacing w:after="0" w:line="10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If the Company is required to prepare an accounting restatement due to the material noncompliance of the Company, as a result of misconduct, with any financial reporting requirement under the securities laws, if the Eligible Person knowingly or grossly negligently engaged in the misconduct, or knowingly or grossly negligently failed to prevent the misconduct, or if the Eligible Person is one of the individuals subject to automatic forfeiture under Section 304 of the Sarbanes-Oxley Act of 2002, the Eligible Person shall, to the extent required by Section 304 of the Sarbanes-Oxley Act of 2002, reimburse the Company the amount of any payment in settlement of an incentive-based Award earned or accrued during the 12 month period following the first public issuance or filing with the Securities and Exchange Commission (whichever just occurred) of the financial document embodying such financial reporting requirement.</w:t>
      </w:r>
    </w:p>
    <w:p>
      <w:pPr>
        <w:spacing w:after="0" w:line="10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29292B"/>
        </w:rPr>
        <w:t>To the extent that any policy adopted by the Company in order to comply with regulations issued pursuant to Section 10D of the Exchange Act, as required by Section 954 of the Dodd-Frank Wall Street Reform and Consumer Protection Act, requires any Eligible Person to forfeit any incentive-based Award, or repay any amount paid with respect to any incentive-based Award, such policy shall be deemed incorporated into all outstanding incentive-based Awards to the extent required by such regulations, and all Eligible Persons subject to such regulations, by accepting any incentive-based Award, shall be deemed to have consented to the inclusion of provisions in their Award Agreement as determined by the Committee to be necessary or appropriate to comply with such regulations.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vMerge w:val="restart"/>
          </w:tcPr>
          <w:p>
            <w:pPr>
              <w:ind w:left="4820"/>
              <w:spacing w:after="0"/>
              <w:rPr>
                <w:sz w:val="20"/>
                <w:szCs w:val="20"/>
                <w:color w:val="auto"/>
              </w:rPr>
            </w:pPr>
            <w:r>
              <w:rPr>
                <w:rFonts w:ascii="Arial" w:cs="Arial" w:eastAsia="Arial" w:hAnsi="Arial"/>
                <w:sz w:val="16"/>
                <w:szCs w:val="16"/>
                <w:color w:val="98BDE2"/>
              </w:rPr>
              <w:t>2024 Proxy Statement</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032E5C"/>
              </w:rPr>
              <w:t>115</w:t>
            </w:r>
          </w:p>
        </w:tc>
        <w:tc>
          <w:tcPr>
            <w:tcW w:w="0" w:type="dxa"/>
            <w:vAlign w:val="bottom"/>
          </w:tcPr>
          <w:p>
            <w:pPr>
              <w:spacing w:after="0"/>
              <w:rPr>
                <w:sz w:val="1"/>
                <w:szCs w:val="1"/>
                <w:color w:val="auto"/>
              </w:rPr>
            </w:pPr>
          </w:p>
        </w:tc>
      </w:tr>
      <w:tr>
        <w:trPr>
          <w:trHeight w:val="59"/>
        </w:trPr>
        <w:tc>
          <w:tcPr>
            <w:tcW w:w="868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86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925830" cy="857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925830" cy="8572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3"/>
      <w:numFmt w:val="bullet"/>
      <w:start w:val="1"/>
    </w:lvl>
  </w:abstractNum>
  <w:abstractNum w:abstractNumId="6">
    <w:nsid w:val="1CF10FD8"/>
    <w:multiLevelType w:val="hybridMultilevel"/>
    <w:lvl w:ilvl="0">
      <w:lvlJc w:val="left"/>
      <w:lvlText w:val="4"/>
      <w:numFmt w:val="bullet"/>
      <w:start w:val="1"/>
    </w:lvl>
  </w:abstractNum>
  <w:abstractNum w:abstractNumId="7">
    <w:nsid w:val="180115BE"/>
    <w:multiLevelType w:val="hybridMultilevel"/>
    <w:lvl w:ilvl="0">
      <w:lvlJc w:val="left"/>
      <w:lvlText w:val="à"/>
      <w:numFmt w:val="bullet"/>
      <w:start w:val="1"/>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ü"/>
      <w:numFmt w:val="bullet"/>
      <w:start w:val="1"/>
    </w:lvl>
  </w:abstractNum>
  <w:abstractNum w:abstractNumId="10">
    <w:nsid w:val="354FE9F9"/>
    <w:multiLevelType w:val="hybridMultilevel"/>
    <w:lvl w:ilvl="0">
      <w:lvlJc w:val="left"/>
      <w:lvlText w:val="û"/>
      <w:numFmt w:val="bullet"/>
      <w:start w:val="1"/>
    </w:lvl>
  </w:abstractNum>
  <w:abstractNum w:abstractNumId="11">
    <w:nsid w:val="15B5AF5C"/>
    <w:multiLevelType w:val="hybridMultilevel"/>
    <w:lvl w:ilvl="0">
      <w:lvlJc w:val="left"/>
      <w:lvlText w:val="à"/>
      <w:numFmt w:val="bullet"/>
      <w:start w:val="1"/>
    </w:lvl>
  </w:abstractNum>
  <w:abstractNum w:abstractNumId="12">
    <w:nsid w:val="741226BB"/>
    <w:multiLevelType w:val="hybridMultilevel"/>
    <w:lvl w:ilvl="0">
      <w:lvlJc w:val="left"/>
      <w:lvlText w:val="à"/>
      <w:numFmt w:val="bullet"/>
      <w:start w:val="1"/>
    </w:lvl>
  </w:abstractNum>
  <w:abstractNum w:abstractNumId="13">
    <w:nsid w:val="D34B6A8"/>
    <w:multiLevelType w:val="hybridMultilevel"/>
    <w:lvl w:ilvl="0">
      <w:lvlJc w:val="left"/>
      <w:lvlText w:val="à"/>
      <w:numFmt w:val="bullet"/>
      <w:start w:val="1"/>
    </w:lvl>
  </w:abstractNum>
  <w:abstractNum w:abstractNumId="14">
    <w:nsid w:val="10233C99"/>
    <w:multiLevelType w:val="hybridMultilevel"/>
    <w:lvl w:ilvl="0">
      <w:lvlJc w:val="left"/>
      <w:lvlText w:val="à"/>
      <w:numFmt w:val="bullet"/>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2"/>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à"/>
      <w:numFmt w:val="bullet"/>
      <w:start w:val="1"/>
    </w:lvl>
  </w:abstractNum>
  <w:abstractNum w:abstractNumId="19">
    <w:nsid w:val="579BE4F1"/>
    <w:multiLevelType w:val="hybridMultilevel"/>
    <w:lvl w:ilvl="0">
      <w:lvlJc w:val="left"/>
      <w:lvlText w:val="à"/>
      <w:numFmt w:val="bullet"/>
      <w:start w:val="1"/>
    </w:lvl>
  </w:abstractNum>
  <w:abstractNum w:abstractNumId="20">
    <w:nsid w:val="310C50B3"/>
    <w:multiLevelType w:val="hybridMultilevel"/>
    <w:lvl w:ilvl="0">
      <w:lvlJc w:val="left"/>
      <w:lvlText w:val="à"/>
      <w:numFmt w:val="bullet"/>
      <w:start w:val="1"/>
    </w:lvl>
  </w:abstractNum>
  <w:abstractNum w:abstractNumId="21">
    <w:nsid w:val="5FF87E05"/>
    <w:multiLevelType w:val="hybridMultilevel"/>
    <w:lvl w:ilvl="0">
      <w:lvlJc w:val="left"/>
      <w:lvlText w:val="à"/>
      <w:numFmt w:val="bullet"/>
      <w:start w:val="1"/>
    </w:lvl>
  </w:abstractNum>
  <w:abstractNum w:abstractNumId="22">
    <w:nsid w:val="2F305DEF"/>
    <w:multiLevelType w:val="hybridMultilevel"/>
    <w:lvl w:ilvl="0">
      <w:lvlJc w:val="left"/>
      <w:lvlText w:val="à"/>
      <w:numFmt w:val="bullet"/>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1)"/>
      <w:numFmt w:val="decimal"/>
      <w:start w:val="3"/>
    </w:lvl>
  </w:abstractNum>
  <w:abstractNum w:abstractNumId="25">
    <w:nsid w:val="4AD084E9"/>
    <w:multiLevelType w:val="hybridMultilevel"/>
    <w:lvl w:ilvl="0">
      <w:lvlJc w:val="left"/>
      <w:lvlText w:val="%1"/>
      <w:numFmt w:val="decimal"/>
      <w:start w:val="1"/>
    </w:lvl>
    <w:lvl w:ilvl="1">
      <w:lvlJc w:val="left"/>
      <w:lvlText w:val="(%2)"/>
      <w:numFmt w:val="lowerLetter"/>
      <w:start w:val="1"/>
    </w:lvl>
  </w:abstractNum>
  <w:abstractNum w:abstractNumId="26">
    <w:nsid w:val="1F48EAA1"/>
    <w:multiLevelType w:val="hybridMultilevel"/>
    <w:lvl w:ilvl="0">
      <w:lvlJc w:val="left"/>
      <w:lvlText w:val="(%1)"/>
      <w:numFmt w:val="decimal"/>
      <w:start w:val="5"/>
    </w:lvl>
    <w:lvl w:ilvl="1">
      <w:lvlJc w:val="left"/>
      <w:lvlText w:val="%2"/>
      <w:numFmt w:val="lowerLetter"/>
      <w:start w:val="1"/>
    </w:lvl>
  </w:abstractNum>
  <w:abstractNum w:abstractNumId="27">
    <w:nsid w:val="1381823A"/>
    <w:multiLevelType w:val="hybridMultilevel"/>
    <w:lvl w:ilvl="0">
      <w:lvlJc w:val="left"/>
      <w:lvlText w:val="(%1)"/>
      <w:numFmt w:val="decimal"/>
    </w:lvl>
    <w:lvl w:ilvl="1">
      <w:lvlJc w:val="left"/>
      <w:lvlText w:val="à"/>
      <w:numFmt w:val="bullet"/>
      <w:start w:val="1"/>
    </w:lvl>
  </w:abstractNum>
  <w:abstractNum w:abstractNumId="28">
    <w:nsid w:val="5DB70AE5"/>
    <w:multiLevelType w:val="hybridMultilevel"/>
    <w:lvl w:ilvl="0">
      <w:lvlJc w:val="left"/>
      <w:lvlText w:val="à"/>
      <w:numFmt w:val="bullet"/>
      <w:start w:val="1"/>
    </w:lvl>
    <w:lvl w:ilvl="1">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à"/>
      <w:numFmt w:val="bullet"/>
      <w:start w:val="1"/>
    </w:lvl>
  </w:abstractNum>
  <w:abstractNum w:abstractNumId="31">
    <w:nsid w:val="15014ACB"/>
    <w:multiLevelType w:val="hybridMultilevel"/>
    <w:lvl w:ilvl="0">
      <w:lvlJc w:val="left"/>
      <w:lvlText w:val="(%1)"/>
      <w:numFmt w:val="decimal"/>
      <w:start w:val="1"/>
    </w:lvl>
  </w:abstractNum>
  <w:abstractNum w:abstractNumId="32">
    <w:nsid w:val="5F5E7FD0"/>
    <w:multiLevelType w:val="hybridMultilevel"/>
    <w:lvl w:ilvl="0">
      <w:lvlJc w:val="left"/>
      <w:lvlText w:val="ü"/>
      <w:numFmt w:val="bullet"/>
      <w:start w:val="1"/>
    </w:lvl>
  </w:abstractNum>
  <w:abstractNum w:abstractNumId="33">
    <w:nsid w:val="98A3148"/>
    <w:multiLevelType w:val="hybridMultilevel"/>
    <w:lvl w:ilvl="0">
      <w:lvlJc w:val="left"/>
      <w:lvlText w:val="û"/>
      <w:numFmt w:val="bullet"/>
      <w:start w:val="1"/>
    </w:lvl>
  </w:abstractNum>
  <w:abstractNum w:abstractNumId="34">
    <w:nsid w:val="799D0247"/>
    <w:multiLevelType w:val="hybridMultilevel"/>
    <w:lvl w:ilvl="0">
      <w:lvlJc w:val="left"/>
      <w:lvlText w:val="ü"/>
      <w:numFmt w:val="bullet"/>
      <w:start w:val="1"/>
    </w:lvl>
  </w:abstractNum>
  <w:abstractNum w:abstractNumId="35">
    <w:nsid w:val="6B94764"/>
    <w:multiLevelType w:val="hybridMultilevel"/>
    <w:lvl w:ilvl="0">
      <w:lvlJc w:val="left"/>
      <w:lvlText w:val="û"/>
      <w:numFmt w:val="bullet"/>
      <w:start w:val="1"/>
    </w:lvl>
  </w:abstractNum>
  <w:abstractNum w:abstractNumId="36">
    <w:nsid w:val="42C296BD"/>
    <w:multiLevelType w:val="hybridMultilevel"/>
    <w:lvl w:ilvl="0">
      <w:lvlJc w:val="left"/>
      <w:lvlText w:val="à"/>
      <w:numFmt w:val="bullet"/>
      <w:start w:val="1"/>
    </w:lvl>
  </w:abstractNum>
  <w:abstractNum w:abstractNumId="37">
    <w:nsid w:val="168E121F"/>
    <w:multiLevelType w:val="hybridMultilevel"/>
    <w:lvl w:ilvl="0">
      <w:lvlJc w:val="left"/>
      <w:lvlText w:val="à"/>
      <w:numFmt w:val="bullet"/>
      <w:start w:val="1"/>
    </w:lvl>
  </w:abstractNum>
  <w:abstractNum w:abstractNumId="38">
    <w:nsid w:val="1EBA5D23"/>
    <w:multiLevelType w:val="hybridMultilevel"/>
    <w:lvl w:ilvl="0">
      <w:lvlJc w:val="left"/>
      <w:lvlText w:val="à"/>
      <w:numFmt w:val="bullet"/>
      <w:start w:val="1"/>
    </w:lvl>
  </w:abstractNum>
  <w:abstractNum w:abstractNumId="39">
    <w:nsid w:val="661E3F1E"/>
    <w:multiLevelType w:val="hybridMultilevel"/>
    <w:lvl w:ilvl="0">
      <w:lvlJc w:val="left"/>
      <w:lvlText w:val="à"/>
      <w:numFmt w:val="bullet"/>
      <w:start w:val="1"/>
    </w:lvl>
  </w:abstractNum>
  <w:abstractNum w:abstractNumId="40">
    <w:nsid w:val="5DC79EA8"/>
    <w:multiLevelType w:val="hybridMultilevel"/>
    <w:lvl w:ilvl="0">
      <w:lvlJc w:val="left"/>
      <w:lvlText w:val="à"/>
      <w:numFmt w:val="bullet"/>
      <w:start w:val="1"/>
    </w:lvl>
  </w:abstractNum>
  <w:abstractNum w:abstractNumId="41">
    <w:nsid w:val="540A471C"/>
    <w:multiLevelType w:val="hybridMultilevel"/>
    <w:lvl w:ilvl="0">
      <w:lvlJc w:val="left"/>
      <w:lvlText w:val="à"/>
      <w:numFmt w:val="bullet"/>
      <w:start w:val="1"/>
    </w:lvl>
  </w:abstractNum>
  <w:abstractNum w:abstractNumId="42">
    <w:nsid w:val="7BD3EE7B"/>
    <w:multiLevelType w:val="hybridMultilevel"/>
    <w:lvl w:ilvl="0">
      <w:lvlJc w:val="left"/>
      <w:lvlText w:val="à"/>
      <w:numFmt w:val="bullet"/>
      <w:start w:val="1"/>
    </w:lvl>
  </w:abstractNum>
  <w:abstractNum w:abstractNumId="43">
    <w:nsid w:val="51D9C564"/>
    <w:multiLevelType w:val="hybridMultilevel"/>
    <w:lvl w:ilvl="0">
      <w:lvlJc w:val="left"/>
      <w:lvlText w:val="à"/>
      <w:numFmt w:val="bullet"/>
      <w:start w:val="1"/>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decimal"/>
      <w:start w:val="5"/>
    </w:lvl>
  </w:abstractNum>
  <w:abstractNum w:abstractNumId="51">
    <w:nsid w:val="3B0FD379"/>
    <w:multiLevelType w:val="hybridMultilevel"/>
    <w:lvl w:ilvl="0">
      <w:lvlJc w:val="left"/>
      <w:lvlText w:val="(%1)"/>
      <w:numFmt w:val="lowerLetter"/>
      <w:start w:val="1"/>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decimal"/>
      <w:start w:val="6"/>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1)"/>
      <w:numFmt w:val="decimal"/>
      <w:start w:val="2"/>
    </w:lvl>
  </w:abstractNum>
  <w:abstractNum w:abstractNumId="56">
    <w:nsid w:val="14330624"/>
    <w:multiLevelType w:val="hybridMultilevel"/>
    <w:lvl w:ilvl="0">
      <w:lvlJc w:val="left"/>
      <w:lvlText w:val="(%1)"/>
      <w:numFmt w:val="decimal"/>
      <w:start w:val="3"/>
    </w:lvl>
  </w:abstractNum>
  <w:abstractNum w:abstractNumId="57">
    <w:nsid w:val="7FFFCA11"/>
    <w:multiLevelType w:val="hybridMultilevel"/>
    <w:lvl w:ilvl="0">
      <w:lvlJc w:val="left"/>
      <w:lvlText w:val="(%1)"/>
      <w:numFmt w:val="decimal"/>
      <w:start w:val="5"/>
    </w:lvl>
  </w:abstractNum>
  <w:abstractNum w:abstractNumId="58">
    <w:nsid w:val="1A27709E"/>
    <w:multiLevelType w:val="hybridMultilevel"/>
    <w:lvl w:ilvl="0">
      <w:lvlJc w:val="left"/>
      <w:lvlText w:val="(%1)"/>
      <w:numFmt w:val="lowerLetter"/>
      <w:start w:val="1"/>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upperLetter"/>
      <w:start w:val="3"/>
    </w:lvl>
  </w:abstractNum>
  <w:abstractNum w:abstractNumId="61">
    <w:nsid w:val="7FB7E0AA"/>
    <w:multiLevelType w:val="hybridMultilevel"/>
    <w:lvl w:ilvl="0">
      <w:lvlJc w:val="left"/>
      <w:lvlText w:val="(%1)"/>
      <w:numFmt w:val="decimal"/>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1"/>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decimal"/>
      <w:start w:val="2"/>
    </w:lvl>
  </w:abstractNum>
  <w:abstractNum w:abstractNumId="70">
    <w:nsid w:val="3222E7CD"/>
    <w:multiLevelType w:val="hybridMultilevel"/>
    <w:lvl w:ilvl="0">
      <w:lvlJc w:val="left"/>
      <w:lvlText w:val="(%1)"/>
      <w:numFmt w:val="decimal"/>
      <w:start w:val="4"/>
    </w:lvl>
  </w:abstractNum>
  <w:abstractNum w:abstractNumId="71">
    <w:nsid w:val="74DE0EE3"/>
    <w:multiLevelType w:val="hybridMultilevel"/>
    <w:lvl w:ilvl="0">
      <w:lvlJc w:val="left"/>
      <w:lvlText w:val="à"/>
      <w:numFmt w:val="bullet"/>
      <w:start w:val="1"/>
    </w:lvl>
  </w:abstractNum>
  <w:abstractNum w:abstractNumId="72">
    <w:nsid w:val="68EBC550"/>
    <w:multiLevelType w:val="hybridMultilevel"/>
    <w:lvl w:ilvl="0">
      <w:lvlJc w:val="left"/>
      <w:lvlText w:val="à"/>
      <w:numFmt w:val="bullet"/>
      <w:start w:val="1"/>
    </w:lvl>
  </w:abstractNum>
  <w:abstractNum w:abstractNumId="73">
    <w:nsid w:val="2DF6D648"/>
    <w:multiLevelType w:val="hybridMultilevel"/>
    <w:lvl w:ilvl="0">
      <w:lvlJc w:val="left"/>
      <w:lvlText w:val="à"/>
      <w:numFmt w:val="bullet"/>
      <w:start w:val="1"/>
    </w:lvl>
  </w:abstractNum>
  <w:abstractNum w:abstractNumId="74">
    <w:nsid w:val="46B7D447"/>
    <w:multiLevelType w:val="hybridMultilevel"/>
    <w:lvl w:ilvl="0">
      <w:lvlJc w:val="left"/>
      <w:lvlText w:val="à"/>
      <w:numFmt w:val="bullet"/>
      <w:start w:val="1"/>
    </w:lvl>
  </w:abstractNum>
  <w:abstractNum w:abstractNumId="75">
    <w:nsid w:val="4A2AC315"/>
    <w:multiLevelType w:val="hybridMultilevel"/>
    <w:lvl w:ilvl="0">
      <w:lvlJc w:val="left"/>
      <w:lvlText w:val="(%1)"/>
      <w:numFmt w:val="lowerRoman"/>
      <w:start w:val="1"/>
    </w:lvl>
  </w:abstractNum>
  <w:abstractNum w:abstractNumId="76">
    <w:nsid w:val="39EE015C"/>
    <w:multiLevelType w:val="hybridMultilevel"/>
    <w:lvl w:ilvl="0">
      <w:lvlJc w:val="left"/>
      <w:lvlText w:val="à"/>
      <w:numFmt w:val="bullet"/>
      <w:start w:val="1"/>
    </w:lvl>
  </w:abstractNum>
  <w:abstractNum w:abstractNumId="77">
    <w:nsid w:val="57FC4FBB"/>
    <w:multiLevelType w:val="hybridMultilevel"/>
    <w:lvl w:ilvl="0">
      <w:lvlJc w:val="left"/>
      <w:lvlText w:val="à"/>
      <w:numFmt w:val="bullet"/>
      <w:start w:val="1"/>
    </w:lvl>
  </w:abstractNum>
  <w:abstractNum w:abstractNumId="78">
    <w:nsid w:val="CC1016F"/>
    <w:multiLevelType w:val="hybridMultilevel"/>
    <w:lvl w:ilvl="0">
      <w:lvlJc w:val="left"/>
      <w:lvlText w:val="à"/>
      <w:numFmt w:val="bullet"/>
      <w:start w:val="1"/>
    </w:lvl>
  </w:abstractNum>
  <w:abstractNum w:abstractNumId="79">
    <w:nsid w:val="43F18422"/>
    <w:multiLevelType w:val="hybridMultilevel"/>
    <w:lvl w:ilvl="0">
      <w:lvlJc w:val="left"/>
      <w:lvlText w:val="à"/>
      <w:numFmt w:val="bullet"/>
      <w:start w:val="1"/>
    </w:lvl>
  </w:abstractNum>
  <w:abstractNum w:abstractNumId="80">
    <w:nsid w:val="60EF0119"/>
    <w:multiLevelType w:val="hybridMultilevel"/>
    <w:lvl w:ilvl="0">
      <w:lvlJc w:val="left"/>
      <w:lvlText w:val="(%1)"/>
      <w:numFmt w:val="lowerLetter"/>
      <w:start w:val="1"/>
    </w:lvl>
  </w:abstractNum>
  <w:abstractNum w:abstractNumId="81">
    <w:nsid w:val="26F324BA"/>
    <w:multiLevelType w:val="hybridMultilevel"/>
    <w:lvl w:ilvl="0">
      <w:lvlJc w:val="left"/>
      <w:lvlText w:val="(%1)"/>
      <w:numFmt w:val="lowerLetter"/>
      <w:start w:val="8"/>
    </w:lvl>
    <w:lvl w:ilvl="1">
      <w:lvlJc w:val="left"/>
      <w:lvlText w:val="(%2)"/>
      <w:numFmt w:val="lowerRoman"/>
      <w:start w:val="1"/>
    </w:lvl>
  </w:abstractNum>
  <w:abstractNum w:abstractNumId="82">
    <w:nsid w:val="7F01579B"/>
    <w:multiLevelType w:val="hybridMultilevel"/>
    <w:lvl w:ilvl="0">
      <w:lvlJc w:val="left"/>
      <w:lvlText w:val="(%1)"/>
      <w:numFmt w:val="lowerRoman"/>
      <w:start w:val="5"/>
    </w:lvl>
  </w:abstractNum>
  <w:abstractNum w:abstractNumId="83">
    <w:nsid w:val="49DA307D"/>
    <w:multiLevelType w:val="hybridMultilevel"/>
    <w:lvl w:ilvl="0">
      <w:lvlJc w:val="left"/>
      <w:lvlText w:val="(%1)"/>
      <w:numFmt w:val="lowerLetter"/>
      <w:start w:val="9"/>
    </w:lvl>
  </w:abstractNum>
  <w:abstractNum w:abstractNumId="84">
    <w:nsid w:val="7055A5F5"/>
    <w:multiLevelType w:val="hybridMultilevel"/>
    <w:lvl w:ilvl="0">
      <w:lvlJc w:val="left"/>
      <w:lvlText w:val="(%1)"/>
      <w:numFmt w:val="lowerLetter"/>
      <w:start w:val="20"/>
    </w:lvl>
  </w:abstractNum>
  <w:abstractNum w:abstractNumId="85">
    <w:nsid w:val="5FB8370B"/>
    <w:multiLevelType w:val="hybridMultilevel"/>
    <w:lvl w:ilvl="0">
      <w:lvlJc w:val="left"/>
      <w:lvlText w:val="(%1)"/>
      <w:numFmt w:val="lowerLetter"/>
      <w:start w:val="27"/>
    </w:lvl>
  </w:abstractNum>
  <w:abstractNum w:abstractNumId="86">
    <w:nsid w:val="50801EE1"/>
    <w:multiLevelType w:val="hybridMultilevel"/>
    <w:lvl w:ilvl="0">
      <w:lvlJc w:val="left"/>
      <w:lvlText w:val="(%1)"/>
      <w:numFmt w:val="lowerLetter"/>
      <w:start w:val="40"/>
    </w:lvl>
  </w:abstractNum>
  <w:abstractNum w:abstractNumId="87">
    <w:nsid w:val="488AC1A"/>
    <w:multiLevelType w:val="hybridMultilevel"/>
    <w:lvl w:ilvl="0">
      <w:lvlJc w:val="left"/>
      <w:lvlText w:val="(%1)"/>
      <w:numFmt w:val="lowerLetter"/>
      <w:start w:val="1"/>
    </w:lvl>
    <w:lvl w:ilvl="1">
      <w:lvlJc w:val="left"/>
      <w:lvlText w:val="(%2)"/>
      <w:numFmt w:val="lowerRoman"/>
      <w:start w:val="1"/>
    </w:lvl>
  </w:abstractNum>
  <w:abstractNum w:abstractNumId="88">
    <w:nsid w:val="5FB8011C"/>
    <w:multiLevelType w:val="hybridMultilevel"/>
    <w:lvl w:ilvl="0">
      <w:lvlJc w:val="left"/>
      <w:lvlText w:val="(%1)"/>
      <w:numFmt w:val="lowerLetter"/>
      <w:start w:val="3"/>
    </w:lvl>
  </w:abstractNum>
  <w:abstractNum w:abstractNumId="89">
    <w:nsid w:val="6AA78F7F"/>
    <w:multiLevelType w:val="hybridMultilevel"/>
    <w:lvl w:ilvl="0">
      <w:lvlJc w:val="left"/>
      <w:lvlText w:val="(%1)"/>
      <w:numFmt w:val="lowerLetter"/>
      <w:start w:val="1"/>
    </w:lvl>
  </w:abstractNum>
  <w:abstractNum w:abstractNumId="90">
    <w:nsid w:val="7672BD23"/>
    <w:multiLevelType w:val="hybridMultilevel"/>
    <w:lvl w:ilvl="0">
      <w:lvlJc w:val="left"/>
      <w:lvlText w:val="(%1)"/>
      <w:numFmt w:val="lowerLetter"/>
      <w:start w:val="3"/>
    </w:lvl>
  </w:abstractNum>
  <w:abstractNum w:abstractNumId="91">
    <w:nsid w:val="6FC75AF8"/>
    <w:multiLevelType w:val="hybridMultilevel"/>
    <w:lvl w:ilvl="0">
      <w:lvlJc w:val="left"/>
      <w:lvlText w:val="(%1)"/>
      <w:numFmt w:val="lowerLetter"/>
      <w:start w:val="1"/>
    </w:lvl>
    <w:lvl w:ilvl="1">
      <w:lvlJc w:val="left"/>
      <w:lvlText w:val="(%2)"/>
      <w:numFmt w:val="lowerRoman"/>
      <w:start w:val="1"/>
    </w:lvl>
  </w:abstractNum>
  <w:abstractNum w:abstractNumId="92">
    <w:nsid w:val="6A5F702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2"/>
    </w:lvl>
  </w:abstractNum>
  <w:abstractNum w:abstractNumId="93">
    <w:nsid w:val="7D5E18F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94">
    <w:nsid w:val="5F3534A4"/>
    <w:multiLevelType w:val="hybridMultilevel"/>
    <w:lvl w:ilvl="0">
      <w:lvlJc w:val="left"/>
      <w:lvlText w:val="%1"/>
      <w:numFmt w:val="lowerLetter"/>
      <w:start w:val="1"/>
    </w:lvl>
    <w:lvl w:ilvl="1">
      <w:lvlJc w:val="left"/>
      <w:lvlText w:val="(%2)"/>
      <w:numFmt w:val="lowerRoman"/>
      <w:start w:val="2"/>
    </w:lvl>
  </w:abstractNum>
  <w:abstractNum w:abstractNumId="95">
    <w:nsid w:val="73A1821B"/>
    <w:multiLevelType w:val="hybridMultilevel"/>
    <w:lvl w:ilvl="0">
      <w:lvlJc w:val="left"/>
      <w:lvlText w:val="(%1)"/>
      <w:numFmt w:val="lowerLetter"/>
      <w:start w:val="5"/>
    </w:lvl>
    <w:lvl w:ilvl="1">
      <w:lvlJc w:val="left"/>
      <w:lvlText w:val="(%2)"/>
      <w:numFmt w:val="lowerRoman"/>
      <w:start w:val="1"/>
    </w:lvl>
  </w:abstractNum>
  <w:abstractNum w:abstractNumId="96">
    <w:nsid w:val="7DE67713"/>
    <w:multiLevelType w:val="hybridMultilevel"/>
    <w:lvl w:ilvl="0">
      <w:lvlJc w:val="left"/>
      <w:lvlText w:val="(%1)"/>
      <w:numFmt w:val="lowerRoman"/>
      <w:start w:val="2"/>
    </w:lvl>
    <w:lvl w:ilvl="1">
      <w:lvlJc w:val="left"/>
      <w:lvlText w:val="(%2)"/>
      <w:numFmt w:val="upperLetter"/>
      <w:start w:val="1"/>
    </w:lvl>
  </w:abstractNum>
  <w:abstractNum w:abstractNumId="97">
    <w:nsid w:val="555C55B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2"/>
    </w:lvl>
  </w:abstractNum>
  <w:abstractNum w:abstractNumId="98">
    <w:nsid w:val="3FA62ACA"/>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99">
    <w:nsid w:val="14FCE74E"/>
    <w:multiLevelType w:val="hybridMultilevel"/>
    <w:lvl w:ilvl="0">
      <w:lvlJc w:val="left"/>
      <w:lvlText w:val="(%1)"/>
      <w:numFmt w:val="lowerLetter"/>
      <w:start w:val="8"/>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lowerLetter"/>
      <w:start w:val="6"/>
    </w:lvl>
  </w:abstractNum>
  <w:abstractNum w:abstractNumId="102">
    <w:nsid w:val="9DAF632"/>
    <w:multiLevelType w:val="hybridMultilevel"/>
    <w:lvl w:ilvl="0">
      <w:lvlJc w:val="left"/>
      <w:lvlText w:val="(%1)"/>
      <w:numFmt w:val="lowerLetter"/>
      <w:start w:val="1"/>
    </w:lvl>
  </w:abstractNum>
  <w:abstractNum w:abstractNumId="103">
    <w:nsid w:val="53299938"/>
    <w:multiLevelType w:val="hybridMultilevel"/>
    <w:lvl w:ilvl="0">
      <w:lvlJc w:val="left"/>
      <w:lvlText w:val="(%1)"/>
      <w:numFmt w:val="lowerLetter"/>
      <w:start w:val="1"/>
    </w:lvl>
    <w:lvl w:ilvl="1">
      <w:lvlJc w:val="left"/>
      <w:lvlText w:val="(%2)"/>
      <w:numFmt w:val="lowerRoman"/>
      <w:start w:val="1"/>
    </w:lvl>
  </w:abstractNum>
  <w:abstractNum w:abstractNumId="104">
    <w:nsid w:val="1FBFE8E0"/>
    <w:multiLevelType w:val="hybridMultilevel"/>
    <w:lvl w:ilvl="0">
      <w:lvlJc w:val="left"/>
      <w:lvlText w:val="(%1)"/>
      <w:numFmt w:val="lowerLetter"/>
      <w:start w:val="1"/>
    </w:lvl>
  </w:abstractNum>
  <w:abstractNum w:abstractNumId="105">
    <w:nsid w:val="5092CA79"/>
    <w:multiLevelType w:val="hybridMultilevel"/>
    <w:lvl w:ilvl="0">
      <w:lvlJc w:val="left"/>
      <w:lvlText w:val="(%1)"/>
      <w:numFmt w:val="lowerLetter"/>
      <w:start w:val="2"/>
    </w:lvl>
  </w:abstractNum>
  <w:abstractNum w:abstractNumId="106">
    <w:nsid w:val="1D545C4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2024-10-23T15:25:38Z</dcterms:created>
  <dcterms:modified xsi:type="dcterms:W3CDTF">2024-10-23T15:25:38Z</dcterms:modified>
</cp:coreProperties>
</file>