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March 9, 2026</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u w:val="single" w:color="auto"/>
          <w:color w:val="auto"/>
        </w:rPr>
        <w:t>Vail Resorts, Inc.</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70" w:lineRule="exact"/>
        <w:rPr>
          <w:sz w:val="24"/>
          <w:szCs w:val="24"/>
          <w:color w:val="auto"/>
        </w:rPr>
      </w:pPr>
    </w:p>
    <w:tbl>
      <w:tblPr>
        <w:tblLayout w:type="fixed"/>
        <w:tblInd w:w="600" w:type="dxa"/>
        <w:tblCellMar>
          <w:top w:w="0" w:type="dxa"/>
          <w:left w:w="0" w:type="dxa"/>
          <w:bottom w:w="0" w:type="dxa"/>
          <w:right w:w="0" w:type="dxa"/>
        </w:tblCellMar>
      </w:tblPr>
      <w:tr>
        <w:trPr>
          <w:trHeight w:val="238"/>
        </w:trPr>
        <w:tc>
          <w:tcPr>
            <w:tcW w:w="3040" w:type="dxa"/>
            <w:vAlign w:val="bottom"/>
            <w:gridSpan w:val="2"/>
          </w:tcPr>
          <w:p>
            <w:pPr>
              <w:jc w:val="center"/>
              <w:ind w:left="41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960" w:type="dxa"/>
            <w:vAlign w:val="bottom"/>
            <w:gridSpan w:val="3"/>
          </w:tcPr>
          <w:p>
            <w:pPr>
              <w:ind w:left="1600"/>
              <w:spacing w:after="0"/>
              <w:rPr>
                <w:sz w:val="20"/>
                <w:szCs w:val="20"/>
                <w:color w:val="auto"/>
              </w:rPr>
            </w:pPr>
            <w:r>
              <w:rPr>
                <w:rFonts w:ascii="Times New Roman" w:cs="Times New Roman" w:eastAsia="Times New Roman" w:hAnsi="Times New Roman"/>
                <w:sz w:val="18"/>
                <w:szCs w:val="18"/>
                <w:b w:val="1"/>
                <w:bCs w:val="1"/>
                <w:color w:val="auto"/>
              </w:rPr>
              <w:t>001-09614</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0" w:type="dxa"/>
            <w:vAlign w:val="bottom"/>
          </w:tcPr>
          <w:p>
            <w:pPr>
              <w:jc w:val="right"/>
              <w:ind w:right="1241"/>
              <w:spacing w:after="0"/>
              <w:rPr>
                <w:sz w:val="20"/>
                <w:szCs w:val="20"/>
                <w:color w:val="auto"/>
              </w:rPr>
            </w:pPr>
            <w:r>
              <w:rPr>
                <w:rFonts w:ascii="Times New Roman" w:cs="Times New Roman" w:eastAsia="Times New Roman" w:hAnsi="Times New Roman"/>
                <w:sz w:val="18"/>
                <w:szCs w:val="18"/>
                <w:b w:val="1"/>
                <w:bCs w:val="1"/>
                <w:color w:val="auto"/>
              </w:rPr>
              <w:t>51-0291762</w:t>
            </w:r>
          </w:p>
        </w:tc>
      </w:tr>
      <w:tr>
        <w:trPr>
          <w:trHeight w:val="133"/>
        </w:trPr>
        <w:tc>
          <w:tcPr>
            <w:tcW w:w="3040" w:type="dxa"/>
            <w:vAlign w:val="bottom"/>
            <w:tcBorders>
              <w:top w:val="single" w:sz="8" w:color="auto"/>
            </w:tcBorders>
            <w:gridSpan w:val="2"/>
          </w:tcPr>
          <w:p>
            <w:pPr>
              <w:jc w:val="center"/>
              <w:ind w:left="419"/>
              <w:spacing w:after="0" w:line="133"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50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940" w:type="dxa"/>
            <w:vAlign w:val="bottom"/>
            <w:tcBorders>
              <w:top w:val="single" w:sz="8" w:color="auto"/>
            </w:tcBorders>
          </w:tcPr>
          <w:p>
            <w:pPr>
              <w:ind w:left="560"/>
              <w:spacing w:after="0" w:line="133" w:lineRule="exact"/>
              <w:rPr>
                <w:sz w:val="20"/>
                <w:szCs w:val="20"/>
                <w:color w:val="auto"/>
              </w:rPr>
            </w:pPr>
            <w:r>
              <w:rPr>
                <w:rFonts w:ascii="Times New Roman" w:cs="Times New Roman" w:eastAsia="Times New Roman" w:hAnsi="Times New Roman"/>
                <w:sz w:val="14"/>
                <w:szCs w:val="14"/>
                <w:color w:val="auto"/>
              </w:rPr>
              <w:t>(Commission</w:t>
            </w:r>
          </w:p>
        </w:tc>
        <w:tc>
          <w:tcPr>
            <w:tcW w:w="5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800" w:type="dxa"/>
            <w:vAlign w:val="bottom"/>
            <w:tcBorders>
              <w:top w:val="single" w:sz="8" w:color="auto"/>
            </w:tcBorders>
          </w:tcPr>
          <w:p>
            <w:pPr>
              <w:jc w:val="center"/>
              <w:ind w:right="621"/>
              <w:spacing w:after="0" w:line="133"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040" w:type="dxa"/>
            <w:vAlign w:val="bottom"/>
            <w:gridSpan w:val="2"/>
          </w:tcPr>
          <w:p>
            <w:pPr>
              <w:jc w:val="center"/>
              <w:ind w:left="41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18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File Number)</w:t>
            </w:r>
          </w:p>
        </w:tc>
        <w:tc>
          <w:tcPr>
            <w:tcW w:w="2800" w:type="dxa"/>
            <w:vAlign w:val="bottom"/>
          </w:tcPr>
          <w:p>
            <w:pPr>
              <w:jc w:val="center"/>
              <w:ind w:right="641"/>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47"/>
        </w:trPr>
        <w:tc>
          <w:tcPr>
            <w:tcW w:w="3040" w:type="dxa"/>
            <w:vAlign w:val="bottom"/>
            <w:gridSpan w:val="2"/>
          </w:tcPr>
          <w:p>
            <w:pPr>
              <w:jc w:val="center"/>
              <w:ind w:left="419"/>
              <w:spacing w:after="0"/>
              <w:rPr>
                <w:sz w:val="20"/>
                <w:szCs w:val="20"/>
                <w:color w:val="auto"/>
              </w:rPr>
            </w:pPr>
            <w:r>
              <w:rPr>
                <w:rFonts w:ascii="Times New Roman" w:cs="Times New Roman" w:eastAsia="Times New Roman" w:hAnsi="Times New Roman"/>
                <w:sz w:val="18"/>
                <w:szCs w:val="18"/>
                <w:b w:val="1"/>
                <w:bCs w:val="1"/>
                <w:color w:val="auto"/>
              </w:rPr>
              <w:t>390 Interlocken Crescent</w:t>
            </w: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38"/>
        </w:trPr>
        <w:tc>
          <w:tcPr>
            <w:tcW w:w="304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Broomfield, Colorado</w:t>
            </w:r>
          </w:p>
        </w:tc>
        <w:tc>
          <w:tcPr>
            <w:tcW w:w="50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80021</w:t>
            </w:r>
          </w:p>
        </w:tc>
      </w:tr>
      <w:tr>
        <w:trPr>
          <w:trHeight w:val="182"/>
        </w:trPr>
        <w:tc>
          <w:tcPr>
            <w:tcW w:w="3040" w:type="dxa"/>
            <w:vAlign w:val="bottom"/>
            <w:gridSpan w:val="2"/>
          </w:tcPr>
          <w:p>
            <w:pPr>
              <w:jc w:val="center"/>
              <w:ind w:left="41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0" w:type="dxa"/>
            <w:vAlign w:val="bottom"/>
          </w:tcPr>
          <w:p>
            <w:pPr>
              <w:jc w:val="center"/>
              <w:ind w:right="641"/>
              <w:spacing w:after="0"/>
              <w:rPr>
                <w:sz w:val="20"/>
                <w:szCs w:val="20"/>
                <w:color w:val="auto"/>
              </w:rPr>
            </w:pPr>
            <w:r>
              <w:rPr>
                <w:rFonts w:ascii="Times New Roman" w:cs="Times New Roman" w:eastAsia="Times New Roman" w:hAnsi="Times New Roman"/>
                <w:sz w:val="14"/>
                <w:szCs w:val="14"/>
                <w:color w:val="auto"/>
              </w:rPr>
              <w:t>(Zip Code)</w:t>
            </w:r>
          </w:p>
        </w:tc>
      </w:tr>
      <w:tr>
        <w:trPr>
          <w:trHeight w:val="568"/>
        </w:trPr>
        <w:tc>
          <w:tcPr>
            <w:tcW w:w="2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ind w:left="1560"/>
              <w:spacing w:after="0"/>
              <w:rPr>
                <w:sz w:val="20"/>
                <w:szCs w:val="20"/>
                <w:color w:val="auto"/>
              </w:rPr>
            </w:pPr>
            <w:r>
              <w:rPr>
                <w:rFonts w:ascii="Times New Roman" w:cs="Times New Roman" w:eastAsia="Times New Roman" w:hAnsi="Times New Roman"/>
                <w:sz w:val="18"/>
                <w:szCs w:val="18"/>
                <w:b w:val="1"/>
                <w:bCs w:val="1"/>
                <w:color w:val="auto"/>
              </w:rPr>
              <w:t>(303) 404-1800</w:t>
            </w: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0" w:type="dxa"/>
            <w:vAlign w:val="bottom"/>
          </w:tcPr>
          <w:p>
            <w:pPr>
              <w:spacing w:after="0"/>
              <w:rPr>
                <w:sz w:val="24"/>
                <w:szCs w:val="24"/>
                <w:color w:val="auto"/>
              </w:rPr>
            </w:pPr>
          </w:p>
        </w:tc>
      </w:tr>
      <w:tr>
        <w:trPr>
          <w:trHeight w:val="250"/>
        </w:trPr>
        <w:tc>
          <w:tcPr>
            <w:tcW w:w="2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2800" w:type="dxa"/>
            <w:vAlign w:val="bottom"/>
          </w:tcPr>
          <w:p>
            <w:pPr>
              <w:spacing w:after="0"/>
              <w:rPr>
                <w:sz w:val="21"/>
                <w:szCs w:val="21"/>
                <w:color w:val="auto"/>
              </w:rPr>
            </w:pPr>
          </w:p>
        </w:tc>
      </w:tr>
    </w:tbl>
    <w:p>
      <w:pPr>
        <w:spacing w:after="0" w:line="3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279400</wp:posOffset>
            </wp:positionH>
            <wp:positionV relativeFrom="paragraph">
              <wp:posOffset>33655</wp:posOffset>
            </wp:positionV>
            <wp:extent cx="65919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(Former Name or Former Address, if Changed Since Last Report)</w:t>
      </w:r>
    </w:p>
    <w:p>
      <w:pPr>
        <w:spacing w:after="0" w:line="35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980" w:firstLine="8"/>
        <w:spacing w:after="0" w:line="394"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4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4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MTN</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30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9, 2026, Vail Resorts, Inc. issued a press release announcing its results for the three and six months ended January 31, 2026. A copy of the press release is being furnished as Exhibit 99.1 to this Current Report on Form 8-K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340" w:type="dxa"/>
            <w:vAlign w:val="bottom"/>
          </w:tcPr>
          <w:p>
            <w:pPr>
              <w:spacing w:after="0"/>
              <w:rPr>
                <w:sz w:val="17"/>
                <w:szCs w:val="17"/>
                <w:color w:val="auto"/>
              </w:rPr>
            </w:pPr>
          </w:p>
        </w:tc>
        <w:tc>
          <w:tcPr>
            <w:tcW w:w="9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18"/>
                <w:szCs w:val="18"/>
                <w:color w:val="auto"/>
              </w:rPr>
            </w:pPr>
          </w:p>
        </w:tc>
        <w:tc>
          <w:tcPr>
            <w:tcW w:w="9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March 9, 2026, announcing fiscal 2026 second quarter results.</w:t>
            </w:r>
          </w:p>
        </w:tc>
      </w:tr>
      <w:tr>
        <w:trPr>
          <w:trHeight w:val="250"/>
        </w:trPr>
        <w:tc>
          <w:tcPr>
            <w:tcW w:w="12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1"/>
                <w:szCs w:val="21"/>
                <w:color w:val="auto"/>
              </w:rPr>
            </w:pPr>
          </w:p>
        </w:tc>
        <w:tc>
          <w:tcPr>
            <w:tcW w:w="59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680" w:type="dxa"/>
            <w:vAlign w:val="bottom"/>
          </w:tcPr>
          <w:p>
            <w:pPr>
              <w:spacing w:after="0"/>
              <w:rPr>
                <w:sz w:val="21"/>
                <w:szCs w:val="21"/>
                <w:color w:val="auto"/>
              </w:rPr>
            </w:pPr>
          </w:p>
        </w:tc>
      </w:tr>
      <w:tr>
        <w:trPr>
          <w:trHeight w:val="1451"/>
        </w:trPr>
        <w:tc>
          <w:tcPr>
            <w:tcW w:w="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0"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Vail Resorts, Inc.</w:t>
            </w:r>
          </w:p>
        </w:tc>
      </w:tr>
      <w:tr>
        <w:trPr>
          <w:trHeight w:val="405"/>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9, 2026</w:t>
            </w:r>
          </w:p>
        </w:tc>
        <w:tc>
          <w:tcPr>
            <w:tcW w:w="25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Angela A. Korch</w:t>
            </w:r>
          </w:p>
        </w:tc>
      </w:tr>
      <w:tr>
        <w:trPr>
          <w:trHeight w:val="218"/>
        </w:trPr>
        <w:tc>
          <w:tcPr>
            <w:tcW w:w="3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Angela A. Korch</w:t>
            </w:r>
          </w:p>
        </w:tc>
      </w:tr>
      <w:tr>
        <w:trPr>
          <w:trHeight w:val="234"/>
        </w:trPr>
        <w:tc>
          <w:tcPr>
            <w:tcW w:w="3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bl>
    <w:p>
      <w:pPr>
        <w:sectPr>
          <w:pgSz w:w="11900" w:h="16838" w:orient="portrait"/>
          <w:cols w:equalWidth="0" w:num="1">
            <w:col w:w="11240"/>
          </w:cols>
          <w:pgMar w:left="320" w:top="113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4483100" cy="805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8310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Vail Resorts Contacts: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 Relations: Connie Wang, </w:t>
      </w:r>
      <w:r>
        <w:rPr>
          <w:rFonts w:ascii="Times New Roman" w:cs="Times New Roman" w:eastAsia="Times New Roman" w:hAnsi="Times New Roman"/>
          <w:sz w:val="18"/>
          <w:szCs w:val="18"/>
          <w:u w:val="single" w:color="auto"/>
          <w:color w:val="0000FF"/>
        </w:rPr>
        <w:t>InvestorRelations@vailresorts.com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Media: Sara Olson, </w:t>
      </w:r>
      <w:r>
        <w:rPr>
          <w:rFonts w:ascii="Times New Roman" w:cs="Times New Roman" w:eastAsia="Times New Roman" w:hAnsi="Times New Roman"/>
          <w:sz w:val="18"/>
          <w:szCs w:val="18"/>
          <w:u w:val="single" w:color="auto"/>
          <w:color w:val="0000FF"/>
        </w:rPr>
        <w:t>News@vailresorts.com</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Vail Resorts Reports Second Quarter Fiscal 2026 Results and Provides Updated Fiscal 2026 Guidance</w:t>
      </w:r>
    </w:p>
    <w:p>
      <w:pPr>
        <w:spacing w:after="0" w:line="250" w:lineRule="exact"/>
        <w:rPr>
          <w:sz w:val="20"/>
          <w:szCs w:val="20"/>
          <w:color w:val="auto"/>
        </w:rPr>
      </w:pPr>
    </w:p>
    <w:p>
      <w:pPr>
        <w:ind w:firstLine="648"/>
        <w:spacing w:after="0" w:line="482" w:lineRule="auto"/>
        <w:rPr>
          <w:sz w:val="20"/>
          <w:szCs w:val="20"/>
          <w:color w:val="auto"/>
        </w:rPr>
      </w:pPr>
      <w:r>
        <w:rPr>
          <w:rFonts w:ascii="Times New Roman" w:cs="Times New Roman" w:eastAsia="Times New Roman" w:hAnsi="Times New Roman"/>
          <w:sz w:val="18"/>
          <w:szCs w:val="18"/>
          <w:color w:val="auto"/>
        </w:rPr>
        <w:t>BROOMFIELD, Colo. - March 9, 2026 - Vail Resorts, Inc. (NYSE: MTN) today reported results for the second quarter of fiscal 2026 ended January 31, 2026 and provided the Company’s ski season-to-date metrics through March 1, 2026.</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Highlights</w:t>
      </w:r>
    </w:p>
    <w:p>
      <w:pPr>
        <w:spacing w:after="0" w:line="216"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Q2 fiscal 2026 net income attributable to Vail Resorts, Inc. was $210.0 million compared to $244.4 million in the prior year.</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Q2 fiscal 2026 Resort Reported EBITDA was $421.3 million compared to $459.7 million in the prior year.</w:t>
      </w:r>
    </w:p>
    <w:p>
      <w:pPr>
        <w:spacing w:after="0" w:line="198" w:lineRule="exact"/>
        <w:rPr>
          <w:rFonts w:ascii="Times New Roman" w:cs="Times New Roman" w:eastAsia="Times New Roman" w:hAnsi="Times New Roman"/>
          <w:sz w:val="18"/>
          <w:szCs w:val="18"/>
          <w:color w:val="auto"/>
        </w:rPr>
      </w:pPr>
    </w:p>
    <w:p>
      <w:pPr>
        <w:ind w:left="660" w:hanging="328"/>
        <w:spacing w:after="0" w:line="485"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reduced its fiscal 2026 guidance and is now expecting net income attributable to Vail Resorts, Inc. of $144 million to $190 million and Resort Reported EBITDA of $745 million to $775 million.</w:t>
      </w:r>
    </w:p>
    <w:p>
      <w:pPr>
        <w:jc w:val="both"/>
        <w:ind w:left="660" w:hanging="328"/>
        <w:spacing w:after="0" w:line="485"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declared a quarterly cash dividend of $2.22 per share of Vail Resorts' common stock that will be payable on April 9, 2026 to shareholders of record as of March 26, 2026. In addition to the shares repurchased in November, the Company repurchased an additional approximately 0.1 million shares in December, resulting in a total of approximately 0.3 million shares repurchased during the quarter at an average price of approximately $139 per share for a total of $45.0 million in the fiscal year to date period.</w:t>
      </w:r>
    </w:p>
    <w:p>
      <w:pPr>
        <w:spacing w:after="0" w:line="1" w:lineRule="exact"/>
        <w:rPr>
          <w:sz w:val="20"/>
          <w:szCs w:val="20"/>
          <w:color w:val="auto"/>
        </w:rPr>
      </w:pPr>
    </w:p>
    <w:p>
      <w:pPr>
        <w:jc w:val="both"/>
        <w:ind w:firstLine="648"/>
        <w:spacing w:after="0" w:line="491" w:lineRule="auto"/>
        <w:rPr>
          <w:sz w:val="20"/>
          <w:szCs w:val="20"/>
          <w:color w:val="auto"/>
        </w:rPr>
      </w:pPr>
      <w:r>
        <w:rPr>
          <w:rFonts w:ascii="Times New Roman" w:cs="Times New Roman" w:eastAsia="Times New Roman" w:hAnsi="Times New Roman"/>
          <w:sz w:val="18"/>
          <w:szCs w:val="18"/>
          <w:color w:val="auto"/>
        </w:rPr>
        <w:t>Commenting on the Company’s fiscal 2026 second quarter results, Rob Katz, Chief Executive Officer said, “This has been the most challenging winter across the Rockies that we have ever experienced with the lowest snowfall levels in more than 30 years for our Colorado and Utah resorts, combined with warmer temperatures, resulting in reduced terrain throughout the quarter and into February. Given that backdrop, we are pleased with the strength and stability shown by our operating model, as we reported only modest declines in lift revenue in what many would consider a worst-case weather scenario. While these conditions and the resulting visitation headwinds negatively impacted our quarterly results, we remained focused on the areas within our control. This includes our advanced commitment strategy, continued investments in our resorts and our employees,</w:t>
      </w:r>
    </w:p>
    <w:p>
      <w:pPr>
        <w:sectPr>
          <w:pgSz w:w="11900" w:h="16838" w:orient="portrait"/>
          <w:cols w:equalWidth="0" w:num="1">
            <w:col w:w="11240"/>
          </w:cols>
          <w:pgMar w:left="320" w:top="981" w:right="339" w:bottom="1440" w:gutter="0" w:footer="0" w:header="0"/>
        </w:sectPr>
      </w:pPr>
    </w:p>
    <w:bookmarkStart w:id="4" w:name="page5"/>
    <w:bookmarkEnd w:id="4"/>
    <w:p>
      <w:pPr>
        <w:jc w:val="both"/>
        <w:spacing w:after="0" w:line="484" w:lineRule="auto"/>
        <w:rPr>
          <w:sz w:val="20"/>
          <w:szCs w:val="20"/>
          <w:color w:val="auto"/>
        </w:rPr>
      </w:pPr>
      <w:r>
        <w:rPr>
          <w:rFonts w:ascii="Times New Roman" w:cs="Times New Roman" w:eastAsia="Times New Roman" w:hAnsi="Times New Roman"/>
          <w:sz w:val="18"/>
          <w:szCs w:val="18"/>
          <w:color w:val="auto"/>
        </w:rPr>
        <w:t>and progressing key initiatives to optimize visitation, including enhanced marketing and new products. I especially want to recognize the exceptional execution delivered by our teams over the course of the season, resulting in record high enterprise guest satisfaction scores, including increases over prior year in both Colorado and Utah despite conditions, along with continued progress on our transformation plan. I am confident that with our collective strength and focus, we will continue to elevate the guest experience and deliver sustainable long-term value for shareholders.”</w:t>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Second Quarter Operating Results</w:t>
      </w:r>
    </w:p>
    <w:p>
      <w:pPr>
        <w:spacing w:after="0" w:line="212" w:lineRule="exact"/>
        <w:rPr>
          <w:sz w:val="20"/>
          <w:szCs w:val="20"/>
          <w:color w:val="auto"/>
        </w:rPr>
      </w:pPr>
    </w:p>
    <w:p>
      <w:pPr>
        <w:jc w:val="both"/>
        <w:ind w:left="660" w:hanging="328"/>
        <w:spacing w:after="0" w:line="4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Resort Net Revenue </w:t>
      </w:r>
      <w:r>
        <w:rPr>
          <w:rFonts w:ascii="Times New Roman" w:cs="Times New Roman" w:eastAsia="Times New Roman" w:hAnsi="Times New Roman"/>
          <w:sz w:val="18"/>
          <w:szCs w:val="18"/>
          <w:color w:val="auto"/>
        </w:rPr>
        <w:t>decreased $53.2 million, or 4.7%, compared to the prior year, which was primarily driven by the unfavorable weather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that impacted visitation and ancillary spending for both local and destination guests during the period. Compared to the prior year, total lift revenue declined 2.9%, despite visitation being down 13%, primarily as a result of 2025/2026 North American Pass Sales Revenue increasing 3% heading into the season.</w:t>
      </w:r>
    </w:p>
    <w:p>
      <w:pPr>
        <w:spacing w:after="0" w:line="1" w:lineRule="exact"/>
        <w:rPr>
          <w:rFonts w:ascii="Times New Roman" w:cs="Times New Roman" w:eastAsia="Times New Roman" w:hAnsi="Times New Roman"/>
          <w:sz w:val="18"/>
          <w:szCs w:val="18"/>
          <w:color w:val="auto"/>
        </w:rPr>
      </w:pPr>
    </w:p>
    <w:p>
      <w:pPr>
        <w:ind w:left="660" w:hanging="328"/>
        <w:spacing w:after="0" w:line="48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Resort Reported EBITDA </w:t>
      </w:r>
      <w:r>
        <w:rPr>
          <w:rFonts w:ascii="Times New Roman" w:cs="Times New Roman" w:eastAsia="Times New Roman" w:hAnsi="Times New Roman"/>
          <w:sz w:val="18"/>
          <w:szCs w:val="18"/>
          <w:color w:val="auto"/>
        </w:rPr>
        <w:t>decreased $38.4 million, or 8.3%, compared to the prior year, which was primarily driven by the weather-related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headwinds, and were partially offset by disciplined cost management and continued Resource Efficiency Transformation cost savings.</w:t>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Season-to-Date Metrics through March 1, 2026</w:t>
      </w:r>
    </w:p>
    <w:p>
      <w:pPr>
        <w:spacing w:after="0" w:line="216" w:lineRule="exact"/>
        <w:rPr>
          <w:sz w:val="20"/>
          <w:szCs w:val="20"/>
          <w:color w:val="auto"/>
        </w:rPr>
      </w:pPr>
    </w:p>
    <w:p>
      <w:pPr>
        <w:jc w:val="both"/>
        <w:ind w:firstLine="648"/>
        <w:spacing w:after="0" w:line="494" w:lineRule="auto"/>
        <w:rPr>
          <w:sz w:val="20"/>
          <w:szCs w:val="20"/>
          <w:color w:val="auto"/>
        </w:rPr>
      </w:pPr>
      <w:r>
        <w:rPr>
          <w:rFonts w:ascii="Times New Roman" w:cs="Times New Roman" w:eastAsia="Times New Roman" w:hAnsi="Times New Roman"/>
          <w:sz w:val="18"/>
          <w:szCs w:val="18"/>
          <w:color w:val="auto"/>
        </w:rPr>
        <w:t>The Company reported certain ski season metrics for the comparative periods from the beginning of the ski season through March 1, 2026, and for the same prior year period through March 2, 2025. The reported ski season metrics are for the Company’s North American destination mountain resorts and regional ski areas, excluding the results of the Australian and European resorts and ski areas in both periods. The data mentioned below is interim period data and is subject to fiscal quarter end review and adjustments.</w:t>
      </w:r>
    </w:p>
    <w:p>
      <w:pPr>
        <w:spacing w:after="0" w:line="1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Season-to-date total skier visits were down 11.9% compared to the prior year period.</w:t>
      </w:r>
    </w:p>
    <w:p>
      <w:pPr>
        <w:spacing w:after="0" w:line="265" w:lineRule="exact"/>
        <w:rPr>
          <w:rFonts w:ascii="Arial" w:cs="Arial" w:eastAsia="Arial" w:hAnsi="Arial"/>
          <w:sz w:val="22"/>
          <w:szCs w:val="22"/>
          <w:color w:val="auto"/>
        </w:rPr>
      </w:pPr>
    </w:p>
    <w:p>
      <w:pPr>
        <w:ind w:left="660" w:hanging="328"/>
        <w:spacing w:after="0" w:line="460"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Season-to-date total lift revenue, including an allocated portion of season pass revenue for each applicable period, was down 3.6% compared to the prior year period.</w:t>
      </w:r>
    </w:p>
    <w:p>
      <w:pPr>
        <w:spacing w:after="0" w:line="36" w:lineRule="exact"/>
        <w:rPr>
          <w:rFonts w:ascii="Arial" w:cs="Arial" w:eastAsia="Arial" w:hAnsi="Arial"/>
          <w:sz w:val="22"/>
          <w:szCs w:val="22"/>
          <w:color w:val="auto"/>
        </w:rPr>
      </w:pPr>
    </w:p>
    <w:p>
      <w:pPr>
        <w:ind w:left="660" w:hanging="328"/>
        <w:spacing w:after="0" w:line="479"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Season-to-date ski school revenue was down 8.2% and dining revenue was down 8.6% compared to the prior year period. Retail/rental revenue for North American resort and ski area store locations was down 5.7% compared to the prior year period.</w:t>
      </w:r>
    </w:p>
    <w:p>
      <w:pPr>
        <w:sectPr>
          <w:pgSz w:w="11900" w:h="16838" w:orient="portrait"/>
          <w:cols w:equalWidth="0" w:num="1">
            <w:col w:w="11240"/>
          </w:cols>
          <w:pgMar w:left="320" w:top="98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Fiscal Year 2026 Guidance</w:t>
      </w:r>
    </w:p>
    <w:p>
      <w:pPr>
        <w:spacing w:after="0" w:line="216" w:lineRule="exact"/>
        <w:rPr>
          <w:sz w:val="20"/>
          <w:szCs w:val="20"/>
          <w:color w:val="auto"/>
        </w:rPr>
      </w:pPr>
    </w:p>
    <w:p>
      <w:pPr>
        <w:jc w:val="both"/>
        <w:ind w:firstLine="648"/>
        <w:spacing w:after="0" w:line="485" w:lineRule="auto"/>
        <w:rPr>
          <w:sz w:val="20"/>
          <w:szCs w:val="20"/>
          <w:color w:val="auto"/>
        </w:rPr>
      </w:pPr>
      <w:r>
        <w:rPr>
          <w:rFonts w:ascii="Times New Roman" w:cs="Times New Roman" w:eastAsia="Times New Roman" w:hAnsi="Times New Roman"/>
          <w:sz w:val="18"/>
          <w:szCs w:val="18"/>
          <w:color w:val="auto"/>
        </w:rPr>
        <w:t>Commenting on Fiscal 2026 guidance, Katz said “Due to the persistent, historically challenging weather conditions in the Rockies, which continued to limit terrain availability, the Company is reducing its fiscal 2026 guidance. While we are lowering our estimates for the fiscal year, given the unprecedented weather in the Rockies, the impact from conditions was mitigated by our advance commitment strategy and resource transformation efforts. We are proud of the resilience of the business model and execution of our teams at our resorts that are delivering on the experience for our guests.”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now expects fiscal 2026 Net Income and Resort EBITDA guidance as follows:</w:t>
      </w:r>
    </w:p>
    <w:p>
      <w:pPr>
        <w:spacing w:after="0" w:line="21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Vail Resorts, Inc. of $144 million to $190 million.</w:t>
      </w:r>
    </w:p>
    <w:p>
      <w:pPr>
        <w:spacing w:after="0" w:line="198" w:lineRule="exact"/>
        <w:rPr>
          <w:rFonts w:ascii="Times New Roman" w:cs="Times New Roman" w:eastAsia="Times New Roman" w:hAnsi="Times New Roman"/>
          <w:sz w:val="18"/>
          <w:szCs w:val="18"/>
          <w:color w:val="auto"/>
        </w:rPr>
      </w:pPr>
    </w:p>
    <w:p>
      <w:pPr>
        <w:ind w:left="660" w:right="20" w:hanging="328"/>
        <w:spacing w:after="0" w:line="48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Resort Reported EBITDA of $745 million to $775 million. At the midpoint, the guidance implies an estimated Resort EBITDA margin for fiscal 2026 of 26.4%, or 26.9% before one-time costs from the Resource Efficiency Transformation plan.</w:t>
      </w:r>
    </w:p>
    <w:p>
      <w:pPr>
        <w:jc w:val="both"/>
        <w:ind w:left="660" w:hanging="328"/>
        <w:spacing w:after="0" w:line="48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Resource Efficiency Transformation plan remains on track to achieve an incremental $42 million of efficiencies over the prior year and the Company now expects to deliver $106 million of annualized cost efficiencies, representing a $6 million increase above the original two-year plan. Given ongoing variable conditions in the Rockies, there may be greater variability of results; current guidance assumes (1) the Company’s</w:t>
      </w:r>
    </w:p>
    <w:p>
      <w:pPr>
        <w:spacing w:after="0" w:line="1" w:lineRule="exact"/>
        <w:rPr>
          <w:sz w:val="20"/>
          <w:szCs w:val="20"/>
          <w:color w:val="auto"/>
        </w:rPr>
      </w:pPr>
    </w:p>
    <w:p>
      <w:pPr>
        <w:jc w:val="both"/>
        <w:spacing w:after="0" w:line="485" w:lineRule="auto"/>
        <w:rPr>
          <w:sz w:val="20"/>
          <w:szCs w:val="20"/>
          <w:color w:val="auto"/>
        </w:rPr>
      </w:pPr>
      <w:r>
        <w:rPr>
          <w:rFonts w:ascii="Times New Roman" w:cs="Times New Roman" w:eastAsia="Times New Roman" w:hAnsi="Times New Roman"/>
          <w:sz w:val="18"/>
          <w:szCs w:val="18"/>
          <w:color w:val="auto"/>
        </w:rPr>
        <w:t>estimate of conditions between now and the remainder of the season staying consistent in North America; (2) normal weather conditions for the 2026 Australian ski season; (3) continuation of the current economic environment; and (4) foreign currency exchange rates as of March 6, 2026, including an exchange rate of $0.73 between the Canadian Dollar and U.S. Dollar related to the operations of Whistler Blackcomb in Canada, an exchange rate of $0.70 between the Australian Dollar and U.S. Dollar related to the operations of Perisher, Falls Creek and Hotham in Australia, and an exchange rate of $1.28 between the Swiss Franc and U.S. Dollar related to the operations of Andermatt-Sedrun and Crans Montana in Switzerland, and does not include any potential impacts related to future fluctuations in foreign currency exchange rates, which may be impacted by tariffs, trade disputes, or other factors.</w:t>
      </w:r>
    </w:p>
    <w:p>
      <w:pPr>
        <w:spacing w:after="0" w:line="1" w:lineRule="exact"/>
        <w:rPr>
          <w:sz w:val="20"/>
          <w:szCs w:val="20"/>
          <w:color w:val="auto"/>
        </w:rPr>
      </w:pPr>
    </w:p>
    <w:p>
      <w:pPr>
        <w:jc w:val="both"/>
        <w:ind w:firstLine="648"/>
        <w:spacing w:after="0" w:line="516" w:lineRule="auto"/>
        <w:rPr>
          <w:sz w:val="20"/>
          <w:szCs w:val="20"/>
          <w:color w:val="auto"/>
        </w:rPr>
      </w:pPr>
      <w:r>
        <w:rPr>
          <w:rFonts w:ascii="Times New Roman" w:cs="Times New Roman" w:eastAsia="Times New Roman" w:hAnsi="Times New Roman"/>
          <w:sz w:val="18"/>
          <w:szCs w:val="18"/>
          <w:color w:val="auto"/>
        </w:rPr>
        <w:t>The following table reflects the forecasted guidance range for the Company's fiscal year ending July 31, 2026 for Total Reported EBITDA (after stock-based compensation expense) and reconciles net income attributable to Vail Resorts, Inc. guidance to such Total Reported EBITDA guidance.</w:t>
      </w:r>
    </w:p>
    <w:p>
      <w:pPr>
        <w:sectPr>
          <w:pgSz w:w="11900" w:h="16838" w:orient="portrait"/>
          <w:cols w:equalWidth="0" w:num="1">
            <w:col w:w="11240"/>
          </w:cols>
          <w:pgMar w:left="320" w:top="98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Fiscal 2026 Guidance</w:t>
            </w:r>
          </w:p>
        </w:tc>
      </w:tr>
      <w:tr>
        <w:trPr>
          <w:trHeight w:val="229"/>
        </w:trPr>
        <w:tc>
          <w:tcPr>
            <w:tcW w:w="8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28"/>
        </w:trPr>
        <w:tc>
          <w:tcPr>
            <w:tcW w:w="8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For the Year Ending</w:t>
            </w:r>
          </w:p>
        </w:tc>
      </w:tr>
      <w:tr>
        <w:trPr>
          <w:trHeight w:val="240"/>
        </w:trPr>
        <w:tc>
          <w:tcPr>
            <w:tcW w:w="8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center"/>
              <w:ind w:right="150"/>
              <w:spacing w:after="0" w:line="240" w:lineRule="exact"/>
              <w:rPr>
                <w:sz w:val="20"/>
                <w:szCs w:val="20"/>
                <w:color w:val="auto"/>
              </w:rPr>
            </w:pPr>
            <w:r>
              <w:rPr>
                <w:rFonts w:ascii="Times New Roman" w:cs="Times New Roman" w:eastAsia="Times New Roman" w:hAnsi="Times New Roman"/>
                <w:sz w:val="18"/>
                <w:szCs w:val="18"/>
                <w:b w:val="1"/>
                <w:bCs w:val="1"/>
                <w:color w:val="auto"/>
                <w:w w:val="97"/>
              </w:rPr>
              <w:t xml:space="preserve">July 31, 2026 </w:t>
            </w:r>
            <w:r>
              <w:rPr>
                <w:rFonts w:ascii="Times New Roman" w:cs="Times New Roman" w:eastAsia="Times New Roman" w:hAnsi="Times New Roman"/>
                <w:sz w:val="23"/>
                <w:szCs w:val="23"/>
                <w:b w:val="1"/>
                <w:bCs w:val="1"/>
                <w:color w:val="auto"/>
                <w:w w:val="97"/>
                <w:vertAlign w:val="superscript"/>
              </w:rPr>
              <w:t>(6)</w:t>
            </w:r>
          </w:p>
        </w:tc>
      </w:tr>
      <w:tr>
        <w:trPr>
          <w:trHeight w:val="214"/>
        </w:trPr>
        <w:tc>
          <w:tcPr>
            <w:tcW w:w="8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Low End</w:t>
            </w:r>
          </w:p>
        </w:tc>
        <w:tc>
          <w:tcPr>
            <w:tcW w:w="300" w:type="dxa"/>
            <w:vAlign w:val="bottom"/>
          </w:tcPr>
          <w:p>
            <w:pPr>
              <w:spacing w:after="0"/>
              <w:rPr>
                <w:sz w:val="18"/>
                <w:szCs w:val="18"/>
                <w:color w:val="auto"/>
              </w:rPr>
            </w:pP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High End</w:t>
            </w:r>
          </w:p>
        </w:tc>
      </w:tr>
      <w:tr>
        <w:trPr>
          <w:trHeight w:val="238"/>
        </w:trPr>
        <w:tc>
          <w:tcPr>
            <w:tcW w:w="8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Range</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144,000</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r>
      <w:tr>
        <w:trPr>
          <w:trHeight w:val="230"/>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24,000</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168,000</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208,000</w:t>
            </w:r>
          </w:p>
        </w:tc>
      </w:tr>
      <w:tr>
        <w:trPr>
          <w:trHeight w:val="230"/>
        </w:trPr>
        <w:tc>
          <w:tcPr>
            <w:tcW w:w="82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Provision for income taxes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60,000</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74,000</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228,000</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282,000</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302,000</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294,000</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207,000</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203,000</w:t>
            </w:r>
          </w:p>
        </w:tc>
      </w:tr>
      <w:tr>
        <w:trPr>
          <w:trHeight w:val="229"/>
        </w:trPr>
        <w:tc>
          <w:tcPr>
            <w:tcW w:w="82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48"/>
        </w:trPr>
        <w:tc>
          <w:tcPr>
            <w:tcW w:w="82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Reported EBITDA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747,000</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783,000</w:t>
            </w:r>
          </w:p>
        </w:tc>
      </w:tr>
      <w:tr>
        <w:trPr>
          <w:trHeight w:val="20"/>
        </w:trPr>
        <w:tc>
          <w:tcPr>
            <w:tcW w:w="8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Mountain Reported EBITDA </w:t>
            </w:r>
            <w:r>
              <w:rPr>
                <w:rFonts w:ascii="Times New Roman" w:cs="Times New Roman" w:eastAsia="Times New Roman" w:hAnsi="Times New Roman"/>
                <w:sz w:val="23"/>
                <w:szCs w:val="23"/>
                <w:color w:val="auto"/>
                <w:vertAlign w:val="superscript"/>
              </w:rPr>
              <w:t>(3)</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731,000</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757,000</w:t>
            </w:r>
          </w:p>
        </w:tc>
      </w:tr>
      <w:tr>
        <w:trPr>
          <w:trHeight w:val="229"/>
        </w:trPr>
        <w:tc>
          <w:tcPr>
            <w:tcW w:w="82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Lodging Reported EBITDA </w:t>
            </w:r>
            <w:r>
              <w:rPr>
                <w:rFonts w:ascii="Times New Roman" w:cs="Times New Roman" w:eastAsia="Times New Roman" w:hAnsi="Times New Roman"/>
                <w:sz w:val="23"/>
                <w:szCs w:val="23"/>
                <w:color w:val="auto"/>
                <w:vertAlign w:val="superscript"/>
              </w:rPr>
              <w:t>(4)</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14,000</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w:t>
            </w:r>
          </w:p>
        </w:tc>
      </w:tr>
      <w:tr>
        <w:trPr>
          <w:trHeight w:val="223"/>
        </w:trPr>
        <w:tc>
          <w:tcPr>
            <w:tcW w:w="8240" w:type="dxa"/>
            <w:vAlign w:val="bottom"/>
            <w:shd w:val="clear" w:color="auto" w:fill="CCEEFF"/>
          </w:tcPr>
          <w:p>
            <w:pPr>
              <w:ind w:left="240"/>
              <w:spacing w:after="0" w:line="223" w:lineRule="exact"/>
              <w:rPr>
                <w:sz w:val="20"/>
                <w:szCs w:val="20"/>
                <w:color w:val="auto"/>
              </w:rPr>
            </w:pPr>
            <w:r>
              <w:rPr>
                <w:rFonts w:ascii="Times New Roman" w:cs="Times New Roman" w:eastAsia="Times New Roman" w:hAnsi="Times New Roman"/>
                <w:sz w:val="18"/>
                <w:szCs w:val="18"/>
                <w:color w:val="auto"/>
              </w:rPr>
              <w:t xml:space="preserve">Resort Reported EBITDA </w:t>
            </w:r>
            <w:r>
              <w:rPr>
                <w:rFonts w:ascii="Times New Roman" w:cs="Times New Roman" w:eastAsia="Times New Roman" w:hAnsi="Times New Roman"/>
                <w:sz w:val="23"/>
                <w:szCs w:val="23"/>
                <w:color w:val="auto"/>
                <w:vertAlign w:val="superscript"/>
              </w:rPr>
              <w:t>(5)</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745,000</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775,000</w:t>
            </w:r>
          </w:p>
        </w:tc>
      </w:tr>
      <w:tr>
        <w:trPr>
          <w:trHeight w:val="229"/>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48"/>
        </w:trPr>
        <w:tc>
          <w:tcPr>
            <w:tcW w:w="82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Reported EBITDA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747,000</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783,000</w:t>
            </w:r>
          </w:p>
        </w:tc>
      </w:tr>
      <w:tr>
        <w:trPr>
          <w:trHeight w:val="20"/>
        </w:trPr>
        <w:tc>
          <w:tcPr>
            <w:tcW w:w="8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left="20" w:right="20" w:firstLine="6"/>
        <w:spacing w:after="0" w:line="273" w:lineRule="auto"/>
        <w:tabs>
          <w:tab w:leader="none" w:pos="152"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provision for income taxes may be impacted by excess tax benefits primarily resulting from vesting and exercises of equity awards. Our estimated provision for income taxes does not include the impact, if any, of unknown future exercises of employee equity awards, which could have a material impact given that a significant portion of our awards may be in-the-money depending on the current value of the stock price.</w:t>
      </w:r>
    </w:p>
    <w:p>
      <w:pPr>
        <w:spacing w:after="0" w:line="173" w:lineRule="exact"/>
        <w:rPr>
          <w:rFonts w:ascii="Times New Roman" w:cs="Times New Roman" w:eastAsia="Times New Roman" w:hAnsi="Times New Roman"/>
          <w:sz w:val="16"/>
          <w:szCs w:val="16"/>
          <w:color w:val="auto"/>
          <w:vertAlign w:val="superscript"/>
        </w:rPr>
      </w:pPr>
    </w:p>
    <w:p>
      <w:pPr>
        <w:jc w:val="both"/>
        <w:ind w:left="20" w:right="20" w:firstLine="6"/>
        <w:spacing w:after="0" w:line="261" w:lineRule="auto"/>
        <w:tabs>
          <w:tab w:leader="none" w:pos="166"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Our guidance includes certain forward looking known changes in the fair value of the contingent consideration based solely on the passage of time and resulting impact on present value. Guidance excludes any forward looking change based upon, among other things, financial projections including long-term growth rates for Park City, which such change may be material. Additionally, our guidance excludes the impact of any future sales or disposals of land or other assets which are contingent upon future approvals or other outcomes.</w:t>
      </w:r>
    </w:p>
    <w:p>
      <w:pPr>
        <w:spacing w:after="0" w:line="8" w:lineRule="exact"/>
        <w:rPr>
          <w:rFonts w:ascii="Times New Roman" w:cs="Times New Roman" w:eastAsia="Times New Roman" w:hAnsi="Times New Roman"/>
          <w:sz w:val="17"/>
          <w:szCs w:val="17"/>
          <w:color w:val="auto"/>
          <w:vertAlign w:val="superscript"/>
        </w:rPr>
      </w:pPr>
    </w:p>
    <w:p>
      <w:pPr>
        <w:ind w:left="160" w:hanging="134"/>
        <w:spacing w:after="0"/>
        <w:tabs>
          <w:tab w:leader="none" w:pos="160"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Mountain Reported EBITDA also includes approximately $25 million of stock-based compensation.</w:t>
      </w:r>
    </w:p>
    <w:p>
      <w:pPr>
        <w:spacing w:after="0" w:line="43" w:lineRule="exact"/>
        <w:rPr>
          <w:rFonts w:ascii="Times New Roman" w:cs="Times New Roman" w:eastAsia="Times New Roman" w:hAnsi="Times New Roman"/>
          <w:sz w:val="17"/>
          <w:szCs w:val="17"/>
          <w:color w:val="auto"/>
          <w:vertAlign w:val="superscript"/>
        </w:rPr>
      </w:pPr>
    </w:p>
    <w:p>
      <w:pPr>
        <w:ind w:left="160" w:hanging="134"/>
        <w:spacing w:after="0" w:line="211" w:lineRule="auto"/>
        <w:tabs>
          <w:tab w:leader="none" w:pos="160"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Lodging Reported EBITDA also includes approximately $4 million of stock-based compensation.</w:t>
      </w:r>
    </w:p>
    <w:p>
      <w:pPr>
        <w:spacing w:after="0" w:line="44" w:lineRule="exact"/>
        <w:rPr>
          <w:rFonts w:ascii="Times New Roman" w:cs="Times New Roman" w:eastAsia="Times New Roman" w:hAnsi="Times New Roman"/>
          <w:sz w:val="17"/>
          <w:szCs w:val="17"/>
          <w:color w:val="auto"/>
          <w:vertAlign w:val="superscript"/>
        </w:rPr>
      </w:pPr>
    </w:p>
    <w:p>
      <w:pPr>
        <w:jc w:val="both"/>
        <w:ind w:left="20" w:right="20" w:firstLine="6"/>
        <w:spacing w:after="0" w:line="226" w:lineRule="auto"/>
        <w:tabs>
          <w:tab w:leader="none" w:pos="183"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Company provides Reported EBITDA ranges for the Mountain and Lodging segments, as well as for the two combined. The low and high of the expected ranges provided for the Mountain and Lodging segments, while possible, do not sum to the high or low end of the Resort Reported EBITDA range provided because we do not expect or assume that we will hit the low or high end of both ranges.</w:t>
      </w:r>
    </w:p>
    <w:p>
      <w:pPr>
        <w:spacing w:after="0" w:line="28" w:lineRule="exact"/>
        <w:rPr>
          <w:rFonts w:ascii="Times New Roman" w:cs="Times New Roman" w:eastAsia="Times New Roman" w:hAnsi="Times New Roman"/>
          <w:sz w:val="19"/>
          <w:szCs w:val="19"/>
          <w:color w:val="auto"/>
          <w:vertAlign w:val="superscript"/>
        </w:rPr>
      </w:pPr>
    </w:p>
    <w:p>
      <w:pPr>
        <w:jc w:val="both"/>
        <w:ind w:left="20" w:right="20" w:firstLine="6"/>
        <w:spacing w:after="0" w:line="289" w:lineRule="auto"/>
        <w:tabs>
          <w:tab w:leader="none" w:pos="152"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Guidance estimates are predicated on an exchange rate of $0.73 between the Canadian dollar and U.S. dollar, related to the operations of Whistler Blackcomb in Canada; an exchange rate of $0.70 between the Australian dollar and U.S. dollar, related to the operations of our Australian ski areas; and an exchange rate of $1.28 between the Swiss franc and U.S. dollar, related to the operations of Andermatt-Sedrun and Crans-Montana in Switzerland.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Return of Capital</w:t>
      </w:r>
    </w:p>
    <w:p>
      <w:pPr>
        <w:spacing w:after="0" w:line="216" w:lineRule="exact"/>
        <w:rPr>
          <w:sz w:val="20"/>
          <w:szCs w:val="20"/>
          <w:color w:val="auto"/>
        </w:rPr>
      </w:pPr>
    </w:p>
    <w:p>
      <w:pPr>
        <w:ind w:right="20" w:firstLine="648"/>
        <w:spacing w:after="0" w:line="477" w:lineRule="auto"/>
        <w:rPr>
          <w:sz w:val="20"/>
          <w:szCs w:val="20"/>
          <w:color w:val="auto"/>
        </w:rPr>
      </w:pPr>
      <w:r>
        <w:rPr>
          <w:rFonts w:ascii="Times New Roman" w:cs="Times New Roman" w:eastAsia="Times New Roman" w:hAnsi="Times New Roman"/>
          <w:sz w:val="18"/>
          <w:szCs w:val="18"/>
          <w:color w:val="auto"/>
        </w:rPr>
        <w:t>Despite difficult conditions this year, the Company remains confident in the long-term strong cash flow generation capabilities of our Company and its stable business model.</w:t>
      </w:r>
    </w:p>
    <w:p>
      <w:pPr>
        <w:spacing w:after="0" w:line="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31, 2026, the Company's total liquidity as measured by total cash plus revolver availability was approximately $1.1 billion.</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Debt was 3.1 times trailing twelve months Total Reported EBITDA.</w:t>
      </w:r>
    </w:p>
    <w:p>
      <w:pPr>
        <w:spacing w:after="0" w:line="211" w:lineRule="exact"/>
        <w:rPr>
          <w:rFonts w:ascii="Times New Roman" w:cs="Times New Roman" w:eastAsia="Times New Roman" w:hAnsi="Times New Roman"/>
          <w:sz w:val="18"/>
          <w:szCs w:val="18"/>
          <w:color w:val="auto"/>
        </w:rPr>
      </w:pPr>
    </w:p>
    <w:p>
      <w:pPr>
        <w:jc w:val="both"/>
        <w:ind w:left="660" w:right="20" w:hanging="328"/>
        <w:spacing w:after="0" w:line="50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shares repurchased in November, the Company repurchased approximately 0.1 million shares in December, resulting in approximately 0.3 million total shares repurchased during the quarter at an average price of approximately $139 per share for a total of $45.0 million.</w:t>
      </w:r>
    </w:p>
    <w:p>
      <w:pPr>
        <w:sectPr>
          <w:pgSz w:w="11900" w:h="16838" w:orient="portrait"/>
          <w:cols w:equalWidth="0" w:num="1">
            <w:col w:w="11240"/>
          </w:cols>
          <w:pgMar w:left="320" w:top="927" w:right="339" w:bottom="1440" w:gutter="0" w:footer="0" w:header="0"/>
        </w:sectPr>
      </w:pPr>
    </w:p>
    <w:bookmarkStart w:id="7" w:name="page8"/>
    <w:bookmarkEnd w:id="7"/>
    <w:p>
      <w:pPr>
        <w:ind w:left="660" w:hanging="328"/>
        <w:spacing w:after="0" w:line="48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the Company drew on the $275.0 million delayed draw term loan within its credit facility to retire the convertible notes with cash at maturity on January 2, 2026.</w:t>
      </w:r>
    </w:p>
    <w:p>
      <w:pPr>
        <w:jc w:val="both"/>
        <w:ind w:left="660" w:hanging="328"/>
        <w:spacing w:after="0" w:line="48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9, 2026, the Company entered into an amendment and restatement of the Ninth Amended and Restated Credit Agreement, dated as of April 24, 2024 (as amended the “Tenth A&amp;R Credit Agreement”). The Tenth A&amp;R Credit Agreement, among other things, (i) replaces the existing term loan facility with a new $1,275.0 million senior term loan facility; (ii) extends the maturity date of the revolving credit facility and term loan facility; and (iii) reduces the interest rate applicable to borrowings under the Tenth A&amp;R Credit Agreement.</w:t>
      </w:r>
    </w:p>
    <w:p>
      <w:pPr>
        <w:ind w:left="660" w:hanging="328"/>
        <w:spacing w:after="0" w:line="47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declared a quarterly cash dividend of $2.22 per share payable on April 9, 2026 to shareholders of record as of March 26, 2026.</w:t>
      </w:r>
    </w:p>
    <w:p>
      <w:pPr>
        <w:jc w:val="both"/>
        <w:ind w:left="660" w:hanging="328"/>
        <w:spacing w:after="0" w:line="484"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reaffirmed its calendar 2026 capital plan of approximately $215 million to $220 million in core capital, consistent with its long-term capital investment guidance. Including growth capital investments, at the Company’s European resorts and in support of Resource Efficiency Transformation and real estate planning projects, the Company plans to invest a total of approximately $234 million to $239 million in calendar year 2026.</w:t>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Earnings Conference Call</w:t>
      </w:r>
    </w:p>
    <w:p>
      <w:pPr>
        <w:spacing w:after="0" w:line="216" w:lineRule="exact"/>
        <w:rPr>
          <w:sz w:val="20"/>
          <w:szCs w:val="20"/>
          <w:color w:val="auto"/>
        </w:rPr>
      </w:pPr>
    </w:p>
    <w:p>
      <w:pPr>
        <w:jc w:val="both"/>
        <w:ind w:firstLine="648"/>
        <w:spacing w:after="0" w:line="493" w:lineRule="auto"/>
        <w:rPr>
          <w:sz w:val="20"/>
          <w:szCs w:val="20"/>
          <w:color w:val="auto"/>
        </w:rPr>
      </w:pPr>
      <w:r>
        <w:rPr>
          <w:rFonts w:ascii="Times New Roman" w:cs="Times New Roman" w:eastAsia="Times New Roman" w:hAnsi="Times New Roman"/>
          <w:sz w:val="18"/>
          <w:szCs w:val="18"/>
          <w:color w:val="auto"/>
        </w:rPr>
        <w:t>The Company will conduct a conference call today at 5:00 p.m. Eastern time to discuss the financial results. The call will be webcast and can be accessed at investors.vailresorts.com, or dial (800) 225-9448 (U.S. and Canada) or +1 (203) 518-9708 (international). The conference ID is MTNQ226. A replay of the conference call will be available two hours following the conclusion of the conference call through March 16, 2026, at 11:59 p.m. Eastern time. To access the replay, dial (800) 839-9557 (U.S. and Canada) or +1 (402) 220-6089 (international). The conference call will also be archived at https://investors.vailresorts.com.</w:t>
      </w:r>
    </w:p>
    <w:p>
      <w:pPr>
        <w:sectPr>
          <w:pgSz w:w="11900" w:h="16838" w:orient="portrait"/>
          <w:cols w:equalWidth="0" w:num="1">
            <w:col w:w="11240"/>
          </w:cols>
          <w:pgMar w:left="320" w:top="98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Vail Resorts, Inc. (NYSE: MTN)</w:t>
      </w:r>
    </w:p>
    <w:p>
      <w:pPr>
        <w:spacing w:after="0" w:line="216" w:lineRule="exact"/>
        <w:rPr>
          <w:sz w:val="20"/>
          <w:szCs w:val="20"/>
          <w:color w:val="auto"/>
        </w:rPr>
      </w:pPr>
    </w:p>
    <w:p>
      <w:pPr>
        <w:jc w:val="both"/>
        <w:ind w:firstLine="648"/>
        <w:spacing w:after="0" w:line="482" w:lineRule="auto"/>
        <w:rPr>
          <w:sz w:val="20"/>
          <w:szCs w:val="20"/>
          <w:color w:val="auto"/>
        </w:rPr>
      </w:pPr>
      <w:r>
        <w:rPr>
          <w:rFonts w:ascii="Times New Roman" w:cs="Times New Roman" w:eastAsia="Times New Roman" w:hAnsi="Times New Roman"/>
          <w:sz w:val="18"/>
          <w:szCs w:val="18"/>
          <w:color w:val="auto"/>
        </w:rPr>
        <w:t>Vail Resorts is a network of the best destination and close-to-home ski resorts in the world including Vail Mountain, Breckenridge, Park City Mountain, Whistler Blackcomb, Stowe, and 32 additional resorts across North America; Andermatt-Sedrun and Crans-Montana Mountain Resort in Switzerland; and Perisher, Hotham, and Falls Creek in Australia. We are passionate about providing an Experience of a Lifetime to our team members and guests, and our EpicPromise is to reach a zero net operating footprint by 2030, support our employees and communities, and broaden engagement in our sport. Our company owns and/or manages a collection of elegant hotels under the RockResorts brand, a portfolio of vacation rentals, condominiums and branded hotels located in close proximity to our mountain destinations, as well as the Grand Teton Lodge Company in Jackson Hole, Wyo. Vail Resorts Retail operates more than 240 retail and rental locations across North America. Learn more about our company at www.VailResorts.com, or discover our resorts and pass options at www.EpicPass.com.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16" w:lineRule="exact"/>
        <w:rPr>
          <w:sz w:val="20"/>
          <w:szCs w:val="20"/>
          <w:color w:val="auto"/>
        </w:rPr>
      </w:pPr>
    </w:p>
    <w:p>
      <w:pPr>
        <w:jc w:val="both"/>
        <w:ind w:firstLine="648"/>
        <w:spacing w:after="0" w:line="486" w:lineRule="auto"/>
        <w:rPr>
          <w:sz w:val="20"/>
          <w:szCs w:val="20"/>
          <w:color w:val="auto"/>
        </w:rPr>
      </w:pPr>
      <w:r>
        <w:rPr>
          <w:rFonts w:ascii="Times New Roman" w:cs="Times New Roman" w:eastAsia="Times New Roman" w:hAnsi="Times New Roman"/>
          <w:sz w:val="18"/>
          <w:szCs w:val="18"/>
          <w:color w:val="auto"/>
        </w:rPr>
        <w:t>Certain statements discussed in this press release and on the conference call, other than statements of historical information, are forward-looking statements within the meaning of the federal securities laws, including the statements regarding expected fiscal year 2026 and calendar year 2026 performance and the assumptions related thereto, including, but not limited to, our expected net income and Resort Reported EBITDA; our expectations regarding our liquidity; our expectations related to our pass and lift ticket products and initiatives; capital investment projects; our calendar year 2026 capital plans; our expectations and anticipated benefits of our capital structure; our expectations related to our key initiatives and strategies; and our expectations regarding our Resource Efficiency Transformation plan. Readers are cautioned not to place undue reliance on these forward-looking statements, which speak only as of the date hereof. All forward-looking statements are subject to certain risks and uncertainties that could cause actual results to differ materially from those projected. Such risks and uncertainties include but are not limited to risks related to a prolonged weakness in general economic conditions, including adverse effects on the overall travel and leisure related industries and our business and results of operations; risks associated with the effects of high or prolonged inflation, elevated interest rates and financial institution disruptions; unfavorable weather conditions or the impact of climate change, natural disasters or other events; the ultimate amount of refunds that we could be required to refund to our pass product holders for qualifying circumstances under our Epic Coverage program; the willingness or ability of our guests to travel due to terrorism, the uncertainty of military conflicts or public health emergencies, and the cost and availability of travel options and changing consumer preferences, discretionary spending habits; risks related to travel and airline disruptions, and other adverse impacts on the ability of our guests to travel; risks related to interruptions or disruptions of our information technology systems, data security or cyberattacks; risks related to our reliance on information technology, including our failure to maintain the integrity of our customer or employee data and our ability to adapt to technological developments or industry trends; our ability to acquire, develop and implement relevant technology offerings for customers and</w:t>
      </w:r>
    </w:p>
    <w:p>
      <w:pPr>
        <w:sectPr>
          <w:pgSz w:w="11900" w:h="16838" w:orient="portrait"/>
          <w:cols w:equalWidth="0" w:num="1">
            <w:col w:w="11240"/>
          </w:cols>
          <w:pgMar w:left="320" w:top="981" w:right="339" w:bottom="1440" w:gutter="0" w:footer="0" w:header="0"/>
        </w:sectPr>
      </w:pPr>
    </w:p>
    <w:bookmarkStart w:id="9" w:name="page10"/>
    <w:bookmarkEnd w:id="9"/>
    <w:p>
      <w:pPr>
        <w:jc w:val="both"/>
        <w:spacing w:after="0" w:line="483" w:lineRule="auto"/>
        <w:rPr>
          <w:sz w:val="20"/>
          <w:szCs w:val="20"/>
          <w:color w:val="auto"/>
        </w:rPr>
      </w:pPr>
      <w:r>
        <w:rPr>
          <w:rFonts w:ascii="Times New Roman" w:cs="Times New Roman" w:eastAsia="Times New Roman" w:hAnsi="Times New Roman"/>
          <w:sz w:val="18"/>
          <w:szCs w:val="18"/>
          <w:color w:val="auto"/>
        </w:rPr>
        <w:t>partners; the seasonality of our business combined with adverse events that may occur during our peak operating periods; competition in our mountain and lodging businesses or with other recreational and leisure activities; risks related to the high fixed cost structure of our business; our ability to fund resort capital expenditures, or accurately identify the need for, or anticipate the timing of certain capital expenditures; risks related to a disruption in our water supply that would impact our snowmaking capabilities and operations; our reliance on government permits or approvals for our use of public land or to make operational and capital improvements; risks related to resource efficiency transformation initiatives; risks related to federal, state, local and foreign government laws, rules and regulations, including environmental and health and safety laws and regulations; risks related to changes in security and privacy laws and regulations which could increase our operating costs and adversely affect our ability to market our products, properties and services effectively; potential failure to adapt to technological developments or industry trends regarding information technology; our ability to successfully launch and promote adoption of new products, technology, services and programs; risks related to our workforce, including increased labor costs, loss of key personnel and our ability to maintain adequate staffing, including hiring and retaining a sufficient seasonal workforce; our ability to successfully integrate acquired businesses, including their integration into our internal controls and infrastructure; our ability to successfully navigate new markets, including Europe, or that acquired businesses may fail to perform in accordance with expectations; a deterioration in the quality or reputation of our brands, including our ability to protect our intellectual property and the risk of accidents at our mountain resorts; risks related to scrutiny and changing expectations regarding our sustainability practices and reporting; risks associated with international operations, including fluctuations in foreign currency exchange rates where the Company has foreign currency exposure, primarily the Canadian and Australian dollars and the Swiss franc, as compared to the U.S. dollar; changes in tax laws, regulations or interpretations, or adverse determinations by taxing authorities; risks related to our indebtedness and our ability to satisfy our debt service requirements under our outstanding debt including our unsecured senior notes, which could reduce our ability to use our cash flow to fund our operations, capital expenditures, future business opportunities and other purposes; a materially adverse change in our financial condition; adverse consequences of current or future litigation and legal claims; changes in accounting judgments and estimates, accounting principles, policies or guidelines; and other risks detailed in the Company’s filings with the Securities and Exchange Commission, including the “Risk Factors” section of the Company’s most recently filed Annual Report on Form 10-K and quarterly reports on Form 10-Q.</w:t>
      </w:r>
    </w:p>
    <w:p>
      <w:pPr>
        <w:spacing w:after="0" w:line="14" w:lineRule="exact"/>
        <w:rPr>
          <w:sz w:val="20"/>
          <w:szCs w:val="20"/>
          <w:color w:val="auto"/>
        </w:rPr>
      </w:pPr>
    </w:p>
    <w:p>
      <w:pPr>
        <w:jc w:val="both"/>
        <w:ind w:firstLine="648"/>
        <w:spacing w:after="0" w:line="501" w:lineRule="auto"/>
        <w:rPr>
          <w:sz w:val="20"/>
          <w:szCs w:val="20"/>
          <w:color w:val="auto"/>
        </w:rPr>
      </w:pPr>
      <w:r>
        <w:rPr>
          <w:rFonts w:ascii="Times New Roman" w:cs="Times New Roman" w:eastAsia="Times New Roman" w:hAnsi="Times New Roman"/>
          <w:sz w:val="18"/>
          <w:szCs w:val="18"/>
          <w:color w:val="auto"/>
        </w:rPr>
        <w:t>All forward-looking statements attributable to us or any persons acting on our behalf are expressly qualified in their entirety by these cautionary statements. All guidance and forward-looking statements in this press release are made as of the date hereof and we do not undertake any obligation to update any forecast or forward-looking statements whether as a result of new information, future events or otherwise, except as may be required by law.</w:t>
      </w:r>
    </w:p>
    <w:p>
      <w:pPr>
        <w:sectPr>
          <w:pgSz w:w="11900" w:h="16838" w:orient="portrait"/>
          <w:cols w:equalWidth="0" w:num="1">
            <w:col w:w="11240"/>
          </w:cols>
          <w:pgMar w:left="320" w:top="98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auto"/>
        </w:rPr>
        <w:t>Statement Concerning Non-GAAP Financial Measures</w:t>
      </w:r>
    </w:p>
    <w:p>
      <w:pPr>
        <w:spacing w:after="0" w:line="216" w:lineRule="exact"/>
        <w:rPr>
          <w:sz w:val="20"/>
          <w:szCs w:val="20"/>
          <w:color w:val="auto"/>
        </w:rPr>
      </w:pPr>
    </w:p>
    <w:p>
      <w:pPr>
        <w:jc w:val="both"/>
        <w:ind w:firstLine="648"/>
        <w:spacing w:after="0" w:line="483" w:lineRule="auto"/>
        <w:rPr>
          <w:sz w:val="20"/>
          <w:szCs w:val="20"/>
          <w:color w:val="auto"/>
        </w:rPr>
      </w:pPr>
      <w:r>
        <w:rPr>
          <w:rFonts w:ascii="Times New Roman" w:cs="Times New Roman" w:eastAsia="Times New Roman" w:hAnsi="Times New Roman"/>
          <w:sz w:val="18"/>
          <w:szCs w:val="18"/>
          <w:color w:val="auto"/>
        </w:rPr>
        <w:t>When reporting financial results, we use the terms Resort Reported EBITDA, Total Reported EBITDA, Resort EBITDA Margin, Net Debt and Net Real Estate Cash Flow, which are not financial measures under accounting principles generally accepted in the United States of America (“GAAP”). Resort Reported EBITDA, Total Reported EBITDA, Resort EBITDA Margin, Net Debt and Net Real Estate Cash Flow should not be considered in isolation or as an alternative to, or substitute for, measures of financial performance or liquidity prepared in accordance with GAAP. In addition, we report segment Reported EBITDA (i.e., Mountain, Lodging and Real Estate), the measure of segment profit or loss required to be disclosed in accordance with GAAP. Accordingly, these measures may not be comparable to similarly-titled measures of other companies. Additionally, with respect to discussion of impacts from currency, the Company calculates the impact by applying current period foreign exchange rates to the prior period results, as the Company believes that comparing financial information using comparable foreign exchange rates is a more objective and useful measure of changes in operating performance.</w:t>
      </w:r>
    </w:p>
    <w:p>
      <w:pPr>
        <w:spacing w:after="0" w:line="4" w:lineRule="exact"/>
        <w:rPr>
          <w:sz w:val="20"/>
          <w:szCs w:val="20"/>
          <w:color w:val="auto"/>
        </w:rPr>
      </w:pPr>
    </w:p>
    <w:p>
      <w:pPr>
        <w:jc w:val="both"/>
        <w:ind w:firstLine="648"/>
        <w:spacing w:after="0" w:line="489" w:lineRule="auto"/>
        <w:rPr>
          <w:sz w:val="20"/>
          <w:szCs w:val="20"/>
          <w:color w:val="auto"/>
        </w:rPr>
      </w:pPr>
      <w:r>
        <w:rPr>
          <w:rFonts w:ascii="Times New Roman" w:cs="Times New Roman" w:eastAsia="Times New Roman" w:hAnsi="Times New Roman"/>
          <w:sz w:val="18"/>
          <w:szCs w:val="18"/>
          <w:color w:val="auto"/>
        </w:rPr>
        <w:t>Reported EBITDA (and its counterpart for each of our segments) has been presented herein as a measure of the Company’s performance. The Company believes that Reported EBITDA is an indicative measurement of the Company’s operating performance, and is similar to performance metrics generally used by investors to evaluate other companies in the resort and lodging industries. The Company defines Resort EBITDA Margin as Resort Reported EBITDA divided by Resort net revenue. The Company believes Resort EBITDA Margin is an important measurement of operating performance. The Company believes that Net Debt is an important measurement of liquidity as it is an indicator of the Company’s ability to obtain additional capital resources for its future cash needs. Additionally, the Company believes Net Real Estate Cash Flow is important as a cash flow indicator for its Real Estate segment. See the tables provided in this release for reconciliations of our measures of segment profitability and non-GAAP financial measures to the most directly comparable GAAP financial measures.</w:t>
      </w:r>
    </w:p>
    <w:p>
      <w:pPr>
        <w:sectPr>
          <w:pgSz w:w="11900" w:h="16838" w:orient="portrait"/>
          <w:cols w:equalWidth="0" w:num="1">
            <w:col w:w="11240"/>
          </w:cols>
          <w:pgMar w:left="320" w:top="98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260" w:type="dxa"/>
            <w:vAlign w:val="bottom"/>
          </w:tcPr>
          <w:p>
            <w:pPr>
              <w:spacing w:after="0"/>
              <w:rPr>
                <w:sz w:val="16"/>
                <w:szCs w:val="16"/>
                <w:color w:val="auto"/>
              </w:rPr>
            </w:pPr>
          </w:p>
        </w:tc>
        <w:tc>
          <w:tcPr>
            <w:tcW w:w="2480" w:type="dxa"/>
            <w:vAlign w:val="bottom"/>
            <w:gridSpan w:val="3"/>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Six Months Ended January 31,</w:t>
            </w:r>
          </w:p>
        </w:tc>
      </w:tr>
      <w:tr>
        <w:trPr>
          <w:trHeight w:val="23"/>
        </w:trPr>
        <w:tc>
          <w:tcPr>
            <w:tcW w:w="5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 and Lodging services and other</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918,554</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957,091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1,116,607</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1,144,141</w:t>
            </w:r>
          </w:p>
        </w:tc>
      </w:tr>
      <w:tr>
        <w:trPr>
          <w:trHeight w:val="230"/>
        </w:trPr>
        <w:tc>
          <w:tcPr>
            <w:tcW w:w="56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Mountain and Lodging retail and dining</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165,336</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179,963</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238,232</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253,125</w:t>
            </w:r>
          </w:p>
        </w:tc>
      </w:tr>
      <w:tr>
        <w:trPr>
          <w:trHeight w:val="223"/>
        </w:trPr>
        <w:tc>
          <w:tcPr>
            <w:tcW w:w="5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Resort net revenue</w:t>
            </w:r>
          </w:p>
        </w:tc>
        <w:tc>
          <w:tcPr>
            <w:tcW w:w="22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1,083,890</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1,137,054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1,354,839</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1,397,266</w:t>
            </w:r>
          </w:p>
        </w:tc>
      </w:tr>
      <w:tr>
        <w:trPr>
          <w:trHeight w:val="230"/>
        </w:trPr>
        <w:tc>
          <w:tcPr>
            <w:tcW w:w="56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3"/>
        </w:trPr>
        <w:tc>
          <w:tcPr>
            <w:tcW w:w="5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net revenue</w:t>
            </w:r>
          </w:p>
        </w:tc>
        <w:tc>
          <w:tcPr>
            <w:tcW w:w="22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1,083,932</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1,137,225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1,354,961</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1,397,500</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expense: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 and Lodging operating expense</w:t>
            </w:r>
          </w:p>
        </w:tc>
        <w:tc>
          <w:tcPr>
            <w:tcW w:w="22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481,277</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754,346</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761,849</w:t>
            </w:r>
          </w:p>
        </w:tc>
      </w:tr>
      <w:tr>
        <w:trPr>
          <w:trHeight w:val="229"/>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Mountain and Lodging retail and dining cost of products sold</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58,536</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86,770</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96,958</w:t>
            </w:r>
          </w:p>
        </w:tc>
      </w:tr>
      <w:tr>
        <w:trPr>
          <w:trHeight w:val="230"/>
        </w:trPr>
        <w:tc>
          <w:tcPr>
            <w:tcW w:w="5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121,618</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114,540</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232,042</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221,397</w:t>
            </w:r>
          </w:p>
        </w:tc>
      </w:tr>
      <w:tr>
        <w:trPr>
          <w:trHeight w:val="223"/>
        </w:trPr>
        <w:tc>
          <w:tcPr>
            <w:tcW w:w="5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Resort operating expense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661,431</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1,073,158</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1,080,204</w:t>
            </w:r>
          </w:p>
        </w:tc>
      </w:tr>
      <w:tr>
        <w:trPr>
          <w:trHeight w:val="230"/>
        </w:trPr>
        <w:tc>
          <w:tcPr>
            <w:tcW w:w="5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Real Estate operating expense</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1,669</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3,293</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3,249</w:t>
            </w:r>
          </w:p>
        </w:tc>
      </w:tr>
      <w:tr>
        <w:trPr>
          <w:trHeight w:val="223"/>
        </w:trPr>
        <w:tc>
          <w:tcPr>
            <w:tcW w:w="5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segment operating expense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663,100</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1,076,451</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1,083,453</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 income:</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(74,350)</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(147,467)</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(145,896)</w:t>
            </w:r>
          </w:p>
        </w:tc>
      </w:tr>
      <w:tr>
        <w:trPr>
          <w:trHeight w:val="229"/>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gain on sale of real property</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3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11,058</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16,506</w:t>
            </w:r>
          </w:p>
        </w:tc>
      </w:tr>
      <w:tr>
        <w:trPr>
          <w:trHeight w:val="230"/>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estimated fair value of contingent consideration</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3,700</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r>
      <w:tr>
        <w:trPr>
          <w:trHeight w:val="229"/>
        </w:trPr>
        <w:tc>
          <w:tcPr>
            <w:tcW w:w="5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(Loss) gain on disposal of fixed assets and other, net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w:t>
            </w: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345,048</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135,227</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181,242</w:t>
            </w:r>
          </w:p>
        </w:tc>
      </w:tr>
      <w:tr>
        <w:trPr>
          <w:trHeight w:val="229"/>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 equity investment (loss) income, net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w:t>
            </w:r>
          </w:p>
        </w:tc>
      </w:tr>
      <w:tr>
        <w:trPr>
          <w:trHeight w:val="230"/>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3,525</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6,548</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w:t>
            </w:r>
          </w:p>
        </w:tc>
      </w:tr>
      <w:tr>
        <w:trPr>
          <w:trHeight w:val="230"/>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gain (loss) on intercompany loans</w:t>
            </w:r>
          </w:p>
        </w:tc>
        <w:tc>
          <w:tcPr>
            <w:tcW w:w="22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197</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118</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r>
      <w:tr>
        <w:trPr>
          <w:trHeight w:val="230"/>
        </w:trPr>
        <w:tc>
          <w:tcPr>
            <w:tcW w:w="56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(49,476)</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(42,670)</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(100,763)</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(85,467)</w:t>
            </w: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2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298,132</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41,061</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102,536</w:t>
            </w:r>
          </w:p>
        </w:tc>
      </w:tr>
      <w:tr>
        <w:trPr>
          <w:trHeight w:val="230"/>
        </w:trPr>
        <w:tc>
          <w:tcPr>
            <w:tcW w:w="56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(72,287)</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(85,956)</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(11,672)</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(27,572)</w:t>
            </w:r>
          </w:p>
        </w:tc>
      </w:tr>
      <w:tr>
        <w:trPr>
          <w:trHeight w:val="223"/>
        </w:trPr>
        <w:tc>
          <w:tcPr>
            <w:tcW w:w="5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225,845</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29,389</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74,964</w:t>
            </w:r>
          </w:p>
        </w:tc>
      </w:tr>
      <w:tr>
        <w:trPr>
          <w:trHeight w:val="229"/>
        </w:trPr>
        <w:tc>
          <w:tcPr>
            <w:tcW w:w="56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(15,838)</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(12,551)</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w:t>
            </w:r>
          </w:p>
        </w:tc>
      </w:tr>
      <w:tr>
        <w:trPr>
          <w:trHeight w:val="223"/>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210,007</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244,376</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23,255</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71,121</w:t>
            </w: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amounts</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net income per share attributable to Vail Resorts, Inc.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5.87</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0.65</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9"/>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 net income per share attributable to Vail Resorts, Inc.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5.87</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0.65</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30"/>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2.22</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4.44</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35,753</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35,832</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37,428</w:t>
            </w: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35,783</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35,874</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37,480</w:t>
            </w:r>
          </w:p>
        </w:tc>
      </w:tr>
    </w:tbl>
    <w:p>
      <w:pPr>
        <w:sectPr>
          <w:pgSz w:w="11900" w:h="16838" w:orient="portrait"/>
          <w:cols w:equalWidth="0" w:num="1">
            <w:col w:w="11240"/>
          </w:cols>
          <w:pgMar w:left="320" w:top="88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Condensed Statements of Operations - Other Data</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240" w:type="dxa"/>
            <w:vAlign w:val="bottom"/>
          </w:tcPr>
          <w:p>
            <w:pPr>
              <w:spacing w:after="0"/>
              <w:rPr>
                <w:sz w:val="17"/>
                <w:szCs w:val="17"/>
                <w:color w:val="auto"/>
              </w:rPr>
            </w:pPr>
          </w:p>
        </w:tc>
        <w:tc>
          <w:tcPr>
            <w:tcW w:w="2420" w:type="dxa"/>
            <w:vAlign w:val="bottom"/>
            <w:gridSpan w:val="3"/>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Six Months Ended January 31,</w:t>
            </w:r>
          </w:p>
        </w:tc>
      </w:tr>
      <w:tr>
        <w:trPr>
          <w:trHeight w:val="196"/>
        </w:trPr>
        <w:tc>
          <w:tcPr>
            <w:tcW w:w="580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422,171</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457,616</w:t>
            </w:r>
          </w:p>
        </w:tc>
        <w:tc>
          <w:tcPr>
            <w:tcW w:w="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279,583</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313,554</w:t>
            </w:r>
          </w:p>
        </w:tc>
      </w:tr>
      <w:tr>
        <w:trPr>
          <w:trHeight w:val="229"/>
        </w:trPr>
        <w:tc>
          <w:tcPr>
            <w:tcW w:w="5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w:t>
            </w:r>
          </w:p>
        </w:tc>
      </w:tr>
      <w:tr>
        <w:trPr>
          <w:trHeight w:val="223"/>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Resort Reported EBITDA</w:t>
            </w:r>
          </w:p>
        </w:tc>
        <w:tc>
          <w:tcPr>
            <w:tcW w:w="22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421,297</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459,663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281,612</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319,958</w:t>
            </w:r>
          </w:p>
        </w:tc>
      </w:tr>
      <w:tr>
        <w:trPr>
          <w:trHeight w:val="229"/>
        </w:trPr>
        <w:tc>
          <w:tcPr>
            <w:tcW w:w="5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13,491</w:t>
            </w:r>
          </w:p>
        </w:tc>
      </w:tr>
      <w:tr>
        <w:trPr>
          <w:trHeight w:val="223"/>
        </w:trPr>
        <w:tc>
          <w:tcPr>
            <w:tcW w:w="5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Reported EBITDA</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417,708</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458,076</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289,499</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333,449</w:t>
            </w:r>
          </w:p>
        </w:tc>
      </w:tr>
      <w:tr>
        <w:trPr>
          <w:trHeight w:val="20"/>
        </w:trPr>
        <w:tc>
          <w:tcPr>
            <w:tcW w:w="5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stock-based compensation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6,088</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11,512</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12,366</w:t>
            </w:r>
          </w:p>
        </w:tc>
      </w:tr>
      <w:tr>
        <w:trPr>
          <w:trHeight w:val="229"/>
        </w:trPr>
        <w:tc>
          <w:tcPr>
            <w:tcW w:w="5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Lodging stock-based compensation</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808</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w:t>
            </w:r>
          </w:p>
        </w:tc>
      </w:tr>
      <w:tr>
        <w:trPr>
          <w:trHeight w:val="223"/>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Resort stock-based compensation</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6,896</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13,080</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14,086</w:t>
            </w:r>
          </w:p>
        </w:tc>
      </w:tr>
      <w:tr>
        <w:trPr>
          <w:trHeight w:val="229"/>
        </w:trPr>
        <w:tc>
          <w:tcPr>
            <w:tcW w:w="5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Real Estate stock-based compensation</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64</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48"/>
        </w:trPr>
        <w:tc>
          <w:tcPr>
            <w:tcW w:w="58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6,960</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w:t>
            </w:r>
          </w:p>
        </w:tc>
        <w:tc>
          <w:tcPr>
            <w:tcW w:w="8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13,202</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14,217</w:t>
            </w:r>
          </w:p>
        </w:tc>
      </w:tr>
      <w:tr>
        <w:trPr>
          <w:trHeight w:val="20"/>
        </w:trPr>
        <w:tc>
          <w:tcPr>
            <w:tcW w:w="5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2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Mountain Segment Operating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ETP)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80" w:type="dxa"/>
            <w:vAlign w:val="bottom"/>
            <w:gridSpan w:val="3"/>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Pr>
          <w:p>
            <w:pPr>
              <w:spacing w:after="0"/>
              <w:rPr>
                <w:sz w:val="13"/>
                <w:szCs w:val="13"/>
                <w:color w:val="auto"/>
              </w:rPr>
            </w:pPr>
          </w:p>
        </w:tc>
        <w:tc>
          <w:tcPr>
            <w:tcW w:w="2260" w:type="dxa"/>
            <w:vAlign w:val="bottom"/>
            <w:gridSpan w:val="3"/>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Six Months Ended January 31,</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09"/>
        </w:trPr>
        <w:tc>
          <w:tcPr>
            <w:tcW w:w="3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80" w:type="dxa"/>
            <w:vAlign w:val="bottom"/>
            <w:gridSpan w:val="3"/>
            <w:vMerge w:val="continue"/>
          </w:tcPr>
          <w:p>
            <w:pPr>
              <w:spacing w:after="0"/>
              <w:rPr>
                <w:sz w:val="9"/>
                <w:szCs w:val="9"/>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80" w:type="dxa"/>
            <w:vAlign w:val="bottom"/>
          </w:tcPr>
          <w:p>
            <w:pPr>
              <w:spacing w:after="0"/>
              <w:rPr>
                <w:sz w:val="9"/>
                <w:szCs w:val="9"/>
                <w:color w:val="auto"/>
              </w:rPr>
            </w:pPr>
          </w:p>
        </w:tc>
        <w:tc>
          <w:tcPr>
            <w:tcW w:w="2260" w:type="dxa"/>
            <w:vAlign w:val="bottom"/>
            <w:gridSpan w:val="3"/>
            <w:vMerge w:val="continue"/>
          </w:tcPr>
          <w:p>
            <w:pPr>
              <w:spacing w:after="0"/>
              <w:rPr>
                <w:sz w:val="9"/>
                <w:szCs w:val="9"/>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84"/>
        </w:trPr>
        <w:tc>
          <w:tcPr>
            <w:tcW w:w="36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60" w:type="dxa"/>
            <w:vAlign w:val="bottom"/>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Mountain revenue: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Lift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625,927</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644,918</w:t>
            </w: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675,570</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685,341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Ski school</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120,625</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133,009</w:t>
            </w:r>
          </w:p>
        </w:tc>
        <w:tc>
          <w:tcPr>
            <w:tcW w:w="14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128,511</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139,848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3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Dining</w:t>
            </w:r>
          </w:p>
        </w:tc>
        <w:tc>
          <w:tcPr>
            <w:tcW w:w="14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84,625</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90,907</w:t>
            </w: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104,412</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111,535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Retail/rental</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126,012</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135,159</w:t>
            </w:r>
          </w:p>
        </w:tc>
        <w:tc>
          <w:tcPr>
            <w:tcW w:w="14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156,803</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164,685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36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55,115</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59,101</w:t>
            </w:r>
          </w:p>
        </w:tc>
        <w:tc>
          <w:tcPr>
            <w:tcW w:w="14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132,247</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134,981</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8"/>
        </w:trPr>
        <w:tc>
          <w:tcPr>
            <w:tcW w:w="3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Mountain net revenue</w:t>
            </w: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1,012,304</w:t>
            </w: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1,063,094</w:t>
            </w:r>
          </w:p>
        </w:tc>
        <w:tc>
          <w:tcPr>
            <w:tcW w:w="14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1,197,543</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1,236,390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Mountain operating expense:</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253,685</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264,490</w:t>
            </w:r>
          </w:p>
        </w:tc>
        <w:tc>
          <w:tcPr>
            <w:tcW w:w="14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375,764</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383,020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3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Retail cost of sales</w:t>
            </w:r>
          </w:p>
        </w:tc>
        <w:tc>
          <w:tcPr>
            <w:tcW w:w="14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34,175</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40,473</w:t>
            </w: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(15.6)%</w:t>
            </w:r>
          </w:p>
        </w:tc>
        <w:tc>
          <w:tcPr>
            <w:tcW w:w="18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49,107</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Resort related fees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46,793</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47,794</w:t>
            </w:r>
          </w:p>
        </w:tc>
        <w:tc>
          <w:tcPr>
            <w:tcW w:w="14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51,181</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3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106,452</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98,342</w:t>
            </w: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8.2 %</w:t>
            </w:r>
          </w:p>
        </w:tc>
        <w:tc>
          <w:tcPr>
            <w:tcW w:w="18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202,943</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190,910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29"/>
        </w:trPr>
        <w:tc>
          <w:tcPr>
            <w:tcW w:w="36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147,866</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155,124</w:t>
            </w:r>
          </w:p>
        </w:tc>
        <w:tc>
          <w:tcPr>
            <w:tcW w:w="14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238,896</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244,695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Mountain operating expense</w:t>
            </w:r>
          </w:p>
        </w:tc>
        <w:tc>
          <w:tcPr>
            <w:tcW w:w="14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588,971</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606,223</w:t>
            </w: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917,891</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925,732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36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Mountain equity investment (loss) income, net</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4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(256.0)%</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422,171</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457,616</w:t>
            </w:r>
          </w:p>
        </w:tc>
        <w:tc>
          <w:tcPr>
            <w:tcW w:w="14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7.7 %</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279,583</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313,554</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3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skier visits</w:t>
            </w:r>
          </w:p>
        </w:tc>
        <w:tc>
          <w:tcPr>
            <w:tcW w:w="14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6,782</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7,521</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ETP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92.29</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83.16</w:t>
            </w:r>
          </w:p>
        </w:tc>
        <w:tc>
          <w:tcPr>
            <w:tcW w:w="14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11.0 %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89.82</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Lodging Operating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Average Daily Rate (“ADR”) and Revenue per Available Room (“RevPAR”))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gridSpan w:val="3"/>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Pr>
          <w:p>
            <w:pPr>
              <w:spacing w:after="0"/>
              <w:rPr>
                <w:sz w:val="13"/>
                <w:szCs w:val="13"/>
                <w:color w:val="auto"/>
              </w:rPr>
            </w:pPr>
          </w:p>
        </w:tc>
        <w:tc>
          <w:tcPr>
            <w:tcW w:w="2220" w:type="dxa"/>
            <w:vAlign w:val="bottom"/>
            <w:gridSpan w:val="3"/>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Six Months Ended January 31,</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09"/>
        </w:trPr>
        <w:tc>
          <w:tcPr>
            <w:tcW w:w="3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40" w:type="dxa"/>
            <w:vAlign w:val="bottom"/>
            <w:gridSpan w:val="3"/>
            <w:vMerge w:val="continue"/>
          </w:tcPr>
          <w:p>
            <w:pPr>
              <w:spacing w:after="0"/>
              <w:rPr>
                <w:sz w:val="9"/>
                <w:szCs w:val="9"/>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80" w:type="dxa"/>
            <w:vAlign w:val="bottom"/>
          </w:tcPr>
          <w:p>
            <w:pPr>
              <w:spacing w:after="0"/>
              <w:rPr>
                <w:sz w:val="9"/>
                <w:szCs w:val="9"/>
                <w:color w:val="auto"/>
              </w:rPr>
            </w:pPr>
          </w:p>
        </w:tc>
        <w:tc>
          <w:tcPr>
            <w:tcW w:w="2220" w:type="dxa"/>
            <w:vAlign w:val="bottom"/>
            <w:gridSpan w:val="3"/>
            <w:vMerge w:val="continue"/>
          </w:tcPr>
          <w:p>
            <w:pPr>
              <w:spacing w:after="0"/>
              <w:rPr>
                <w:sz w:val="9"/>
                <w:szCs w:val="9"/>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84"/>
        </w:trPr>
        <w:tc>
          <w:tcPr>
            <w:tcW w:w="36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460" w:type="dxa"/>
            <w:vAlign w:val="bottom"/>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net revenue: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Owned hotel rooms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12,741</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13,439</w:t>
            </w: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41,188</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41,514</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Managed condominium rooms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26,089</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27,074</w:t>
            </w:r>
          </w:p>
        </w:tc>
        <w:tc>
          <w:tcPr>
            <w:tcW w:w="1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35,779</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38,779</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3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Dining</w:t>
            </w:r>
          </w:p>
        </w:tc>
        <w:tc>
          <w:tcPr>
            <w:tcW w:w="12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13,379</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13,754</w:t>
            </w: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32,761</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33,706</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Transportation</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4,804</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1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7,041</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0"/>
        </w:trPr>
        <w:tc>
          <w:tcPr>
            <w:tcW w:w="3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Golf</w:t>
            </w:r>
          </w:p>
        </w:tc>
        <w:tc>
          <w:tcPr>
            <w:tcW w:w="12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8,054</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7,801</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10,202</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10,415</w:t>
            </w: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25,094</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67,215</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70,189</w:t>
            </w: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149,089</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153,972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Payroll cost reimbursements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4,371</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15.9 %</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8,207</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6,904</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Lodging net revenue</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71,586</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73,960</w:t>
            </w:r>
          </w:p>
        </w:tc>
        <w:tc>
          <w:tcPr>
            <w:tcW w:w="14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157,296</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160,876</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3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operating expense: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12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31,051</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32,469</w:t>
            </w: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67,730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69,696</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15,166</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16,198</w:t>
            </w:r>
          </w:p>
        </w:tc>
        <w:tc>
          <w:tcPr>
            <w:tcW w:w="1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29,099</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30,487</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21,872</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19,475</w:t>
            </w:r>
          </w:p>
        </w:tc>
        <w:tc>
          <w:tcPr>
            <w:tcW w:w="14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12.3 %</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50,231</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47,385</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68,089</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68,142</w:t>
            </w:r>
          </w:p>
        </w:tc>
        <w:tc>
          <w:tcPr>
            <w:tcW w:w="1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147,060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147,568</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Reimbursed payroll costs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4,371</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4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15.9 %</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8,207</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6,904</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Lodging operating expense</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72,460</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71,913</w:t>
            </w: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0.8 %</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155,267</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154,472</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4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(142.7)%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0"/>
        </w:trPr>
        <w:tc>
          <w:tcPr>
            <w:tcW w:w="3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Owned hotel statistics:</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300.75</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311.52</w:t>
            </w:r>
          </w:p>
        </w:tc>
        <w:tc>
          <w:tcPr>
            <w:tcW w:w="1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317.03</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30"/>
        </w:trPr>
        <w:tc>
          <w:tcPr>
            <w:tcW w:w="3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130.60</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140.06</w:t>
            </w: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160.88</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163.44</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Managed condominium statistics: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487.03</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504.70</w:t>
            </w: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380.50</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390.48</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152.98</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159.72</w:t>
            </w:r>
          </w:p>
        </w:tc>
        <w:tc>
          <w:tcPr>
            <w:tcW w:w="1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100.64</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106.47</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4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Owned hotel and managed condominium statistics (combined):</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431.75</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447.54</w:t>
            </w:r>
          </w:p>
        </w:tc>
        <w:tc>
          <w:tcPr>
            <w:tcW w:w="1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353.66</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358.90</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4"/>
        </w:trPr>
        <w:tc>
          <w:tcPr>
            <w:tcW w:w="3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147.75</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155.23</w:t>
            </w: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117.29</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121.94</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Key Balance Sheet Data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860" w:type="dxa"/>
            <w:vAlign w:val="bottom"/>
          </w:tcPr>
          <w:p>
            <w:pPr>
              <w:spacing w:after="0"/>
              <w:rPr>
                <w:sz w:val="16"/>
                <w:szCs w:val="16"/>
                <w:color w:val="auto"/>
              </w:rPr>
            </w:pPr>
          </w:p>
        </w:tc>
      </w:tr>
      <w:tr>
        <w:trPr>
          <w:trHeight w:val="23"/>
        </w:trPr>
        <w:tc>
          <w:tcPr>
            <w:tcW w:w="8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8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Vail Resorts, Inc. stockholders’ equity</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301,816</w:t>
            </w:r>
          </w:p>
        </w:tc>
        <w:tc>
          <w:tcPr>
            <w:tcW w:w="5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515,507</w:t>
            </w: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2,857,753</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2,128,064</w:t>
            </w:r>
          </w:p>
        </w:tc>
      </w:tr>
      <w:tr>
        <w:trPr>
          <w:trHeight w:val="229"/>
        </w:trPr>
        <w:tc>
          <w:tcPr>
            <w:tcW w:w="8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73,005</w:t>
            </w: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587,169</w:t>
            </w:r>
          </w:p>
        </w:tc>
      </w:tr>
      <w:tr>
        <w:trPr>
          <w:trHeight w:val="223"/>
        </w:trPr>
        <w:tc>
          <w:tcPr>
            <w:tcW w:w="8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32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2,930,758</w:t>
            </w: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2,715,233</w:t>
            </w:r>
          </w:p>
        </w:tc>
      </w:tr>
      <w:tr>
        <w:trPr>
          <w:trHeight w:val="229"/>
        </w:trPr>
        <w:tc>
          <w:tcPr>
            <w:tcW w:w="8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384,737</w:t>
            </w: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488,211</w:t>
            </w:r>
          </w:p>
        </w:tc>
      </w:tr>
      <w:tr>
        <w:trPr>
          <w:trHeight w:val="223"/>
        </w:trPr>
        <w:tc>
          <w:tcPr>
            <w:tcW w:w="8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debt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2,546,021</w:t>
            </w:r>
          </w:p>
        </w:tc>
        <w:tc>
          <w:tcPr>
            <w:tcW w:w="5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2,227,022</w:t>
            </w:r>
          </w:p>
        </w:tc>
      </w:tr>
      <w:tr>
        <w:trPr>
          <w:trHeight w:val="20"/>
        </w:trPr>
        <w:tc>
          <w:tcPr>
            <w:tcW w:w="8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Reconciliation of Measures of Segment Profitability and Non-GAAP Financial Measures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Presented below is a reconciliation of net income attributable to Vail Resorts, Inc. to Total Reported EBITDA for the three and six months ended January 31, 2026 and 2025.</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2"/>
          </w:tcPr>
          <w:p>
            <w:pPr>
              <w:jc w:val="center"/>
              <w:ind w:left="55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gridSpan w:val="2"/>
          </w:tcPr>
          <w:p>
            <w:pPr>
              <w:jc w:val="center"/>
              <w:ind w:left="5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3"/>
                <w:szCs w:val="13"/>
                <w:color w:val="auto"/>
              </w:rPr>
            </w:pPr>
          </w:p>
        </w:tc>
      </w:tr>
      <w:tr>
        <w:trPr>
          <w:trHeight w:val="190"/>
        </w:trPr>
        <w:tc>
          <w:tcPr>
            <w:tcW w:w="5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jc w:val="center"/>
              <w:ind w:left="55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2"/>
          </w:tcPr>
          <w:p>
            <w:pPr>
              <w:jc w:val="center"/>
              <w:ind w:left="51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20" w:type="dxa"/>
            <w:vAlign w:val="bottom"/>
          </w:tcPr>
          <w:p>
            <w:pPr>
              <w:spacing w:after="0"/>
              <w:rPr>
                <w:sz w:val="16"/>
                <w:szCs w:val="16"/>
                <w:color w:val="auto"/>
              </w:rPr>
            </w:pPr>
          </w:p>
        </w:tc>
      </w:tr>
      <w:tr>
        <w:trPr>
          <w:trHeight w:val="191"/>
        </w:trPr>
        <w:tc>
          <w:tcPr>
            <w:tcW w:w="5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300" w:type="dxa"/>
            <w:vAlign w:val="bottom"/>
          </w:tcPr>
          <w:p>
            <w:pPr>
              <w:spacing w:after="0"/>
              <w:rPr>
                <w:sz w:val="16"/>
                <w:szCs w:val="16"/>
                <w:color w:val="auto"/>
              </w:rPr>
            </w:pPr>
          </w:p>
        </w:tc>
        <w:tc>
          <w:tcPr>
            <w:tcW w:w="2580" w:type="dxa"/>
            <w:vAlign w:val="bottom"/>
            <w:gridSpan w:val="3"/>
          </w:tcPr>
          <w:p>
            <w:pPr>
              <w:jc w:val="center"/>
              <w:ind w:right="231"/>
              <w:spacing w:after="0"/>
              <w:rPr>
                <w:sz w:val="20"/>
                <w:szCs w:val="20"/>
                <w:color w:val="auto"/>
              </w:rPr>
            </w:pPr>
            <w:r>
              <w:rPr>
                <w:rFonts w:ascii="Times New Roman" w:cs="Times New Roman" w:eastAsia="Times New Roman" w:hAnsi="Times New Roman"/>
                <w:sz w:val="14"/>
                <w:szCs w:val="14"/>
                <w:b w:val="1"/>
                <w:bCs w:val="1"/>
                <w:color w:val="auto"/>
              </w:rPr>
              <w:t>Six Months Ended January 31,</w:t>
            </w:r>
          </w:p>
        </w:tc>
      </w:tr>
      <w:tr>
        <w:trPr>
          <w:trHeight w:val="23"/>
        </w:trPr>
        <w:tc>
          <w:tcPr>
            <w:tcW w:w="5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5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210,007</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23,255</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71,121</w:t>
            </w:r>
          </w:p>
        </w:tc>
      </w:tr>
      <w:tr>
        <w:trPr>
          <w:trHeight w:val="230"/>
        </w:trPr>
        <w:tc>
          <w:tcPr>
            <w:tcW w:w="5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15,838</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12,551</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6,134</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w:t>
            </w:r>
          </w:p>
        </w:tc>
      </w:tr>
      <w:tr>
        <w:trPr>
          <w:trHeight w:val="223"/>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225,845</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29,389</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74,964</w:t>
            </w:r>
          </w:p>
        </w:tc>
      </w:tr>
      <w:tr>
        <w:trPr>
          <w:trHeight w:val="229"/>
        </w:trPr>
        <w:tc>
          <w:tcPr>
            <w:tcW w:w="5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72,287</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85,956</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11,672</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27,572</w:t>
            </w:r>
          </w:p>
        </w:tc>
      </w:tr>
      <w:tr>
        <w:trPr>
          <w:trHeight w:val="223"/>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298,132</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41,061</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102,536</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74,350</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147,467</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145,896</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disposal of fixed assets and other, net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3,172</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5,935</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939</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(gain) loss on intercompany loans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r>
      <w:tr>
        <w:trPr>
          <w:trHeight w:val="230"/>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49,476</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42,670</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100,763</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85,467</w:t>
            </w:r>
          </w:p>
        </w:tc>
      </w:tr>
      <w:tr>
        <w:trPr>
          <w:trHeight w:val="223"/>
        </w:trPr>
        <w:tc>
          <w:tcPr>
            <w:tcW w:w="5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Reported EBITDA</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417,708</w:t>
            </w:r>
          </w:p>
        </w:tc>
        <w:tc>
          <w:tcPr>
            <w:tcW w:w="5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458,076</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289,499</w:t>
            </w:r>
          </w:p>
        </w:tc>
        <w:tc>
          <w:tcPr>
            <w:tcW w:w="5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333,449</w:t>
            </w: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5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422,171</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457,616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279,583</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313,554</w:t>
            </w:r>
          </w:p>
        </w:tc>
      </w:tr>
      <w:tr>
        <w:trPr>
          <w:trHeight w:val="230"/>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2,029</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w:t>
            </w:r>
          </w:p>
        </w:tc>
      </w:tr>
      <w:tr>
        <w:trPr>
          <w:trHeight w:val="223"/>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Resort Reported EBITDA*</w:t>
            </w:r>
          </w:p>
        </w:tc>
        <w:tc>
          <w:tcPr>
            <w:tcW w:w="260" w:type="dxa"/>
            <w:vAlign w:val="bottom"/>
          </w:tcPr>
          <w:p>
            <w:pPr>
              <w:spacing w:after="0"/>
              <w:rPr>
                <w:sz w:val="19"/>
                <w:szCs w:val="19"/>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421,297</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281,612</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319,958</w:t>
            </w:r>
          </w:p>
        </w:tc>
      </w:tr>
      <w:tr>
        <w:trPr>
          <w:trHeight w:val="229"/>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7,887</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13,491</w:t>
            </w:r>
          </w:p>
        </w:tc>
      </w:tr>
      <w:tr>
        <w:trPr>
          <w:trHeight w:val="223"/>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Reported EBITDA</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417,708</w:t>
            </w:r>
          </w:p>
        </w:tc>
        <w:tc>
          <w:tcPr>
            <w:tcW w:w="5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458,076</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289,499</w:t>
            </w:r>
          </w:p>
        </w:tc>
        <w:tc>
          <w:tcPr>
            <w:tcW w:w="5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333,449</w:t>
            </w: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Resort represents the sum of Mountain and Lodging</w:t>
      </w:r>
    </w:p>
    <w:p>
      <w:pPr>
        <w:sectPr>
          <w:pgSz w:w="11900" w:h="16838" w:orient="portrait"/>
          <w:cols w:equalWidth="0" w:num="1">
            <w:col w:w="11240"/>
          </w:cols>
          <w:pgMar w:left="320" w:top="887" w:right="339" w:bottom="1440" w:gutter="0" w:footer="0" w:header="0"/>
        </w:sectPr>
      </w:pPr>
    </w:p>
    <w:bookmarkStart w:id="16" w:name="page17"/>
    <w:bookmarkEnd w:id="16"/>
    <w:p>
      <w:pPr>
        <w:spacing w:after="0" w:line="282" w:lineRule="auto"/>
        <w:rPr>
          <w:sz w:val="20"/>
          <w:szCs w:val="20"/>
          <w:color w:val="auto"/>
        </w:rPr>
      </w:pPr>
      <w:r>
        <w:rPr>
          <w:rFonts w:ascii="Times New Roman" w:cs="Times New Roman" w:eastAsia="Times New Roman" w:hAnsi="Times New Roman"/>
          <w:sz w:val="18"/>
          <w:szCs w:val="18"/>
          <w:color w:val="auto"/>
        </w:rPr>
        <w:t>Presented below is a reconciliation of net income attributable to Vail Resorts, Inc. to Total Reported EBITDA calculated in accordance with GAAP for the twelve months ended January 31, 2026.</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189"/>
        </w:trPr>
        <w:tc>
          <w:tcPr>
            <w:tcW w:w="9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190"/>
        </w:trPr>
        <w:tc>
          <w:tcPr>
            <w:tcW w:w="9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23"/>
        </w:trPr>
        <w:tc>
          <w:tcPr>
            <w:tcW w:w="9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90"/>
        </w:trPr>
        <w:tc>
          <w:tcPr>
            <w:tcW w:w="9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January 31, 2026</w:t>
            </w:r>
          </w:p>
        </w:tc>
      </w:tr>
      <w:tr>
        <w:trPr>
          <w:trHeight w:val="22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232,138</w:t>
            </w:r>
          </w:p>
        </w:tc>
      </w:tr>
      <w:tr>
        <w:trPr>
          <w:trHeight w:val="229"/>
        </w:trPr>
        <w:tc>
          <w:tcPr>
            <w:tcW w:w="9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20,263</w:t>
            </w:r>
          </w:p>
        </w:tc>
      </w:tr>
      <w:tr>
        <w:trPr>
          <w:trHeight w:val="223"/>
        </w:trPr>
        <w:tc>
          <w:tcPr>
            <w:tcW w:w="9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252,401</w:t>
            </w:r>
          </w:p>
        </w:tc>
      </w:tr>
      <w:tr>
        <w:trPr>
          <w:trHeight w:val="229"/>
        </w:trPr>
        <w:tc>
          <w:tcPr>
            <w:tcW w:w="9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88,521</w:t>
            </w:r>
          </w:p>
        </w:tc>
      </w:tr>
      <w:tr>
        <w:trPr>
          <w:trHeight w:val="223"/>
        </w:trPr>
        <w:tc>
          <w:tcPr>
            <w:tcW w:w="9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340,922</w:t>
            </w:r>
          </w:p>
        </w:tc>
      </w:tr>
      <w:tr>
        <w:trPr>
          <w:trHeight w:val="229"/>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298,008</w:t>
            </w:r>
          </w:p>
        </w:tc>
      </w:tr>
      <w:tr>
        <w:trPr>
          <w:trHeight w:val="230"/>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disposal of fixed assets and other, net</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r>
      <w:tr>
        <w:trPr>
          <w:trHeight w:val="229"/>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8,139</w:t>
            </w:r>
          </w:p>
        </w:tc>
      </w:tr>
      <w:tr>
        <w:trPr>
          <w:trHeight w:val="22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(11,160)</w:t>
            </w:r>
          </w:p>
        </w:tc>
      </w:tr>
      <w:tr>
        <w:trPr>
          <w:trHeight w:val="230"/>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gain on intercompany loans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r>
      <w:tr>
        <w:trPr>
          <w:trHeight w:val="229"/>
        </w:trPr>
        <w:tc>
          <w:tcPr>
            <w:tcW w:w="9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186,924</w:t>
            </w:r>
          </w:p>
        </w:tc>
      </w:tr>
      <w:tr>
        <w:trPr>
          <w:trHeight w:val="223"/>
        </w:trPr>
        <w:tc>
          <w:tcPr>
            <w:tcW w:w="9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Reported EBITDA</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818,812</w:t>
            </w:r>
          </w:p>
        </w:tc>
      </w:tr>
      <w:tr>
        <w:trPr>
          <w:trHeight w:val="20"/>
        </w:trPr>
        <w:tc>
          <w:tcPr>
            <w:tcW w:w="9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37"/>
        </w:trPr>
        <w:tc>
          <w:tcPr>
            <w:tcW w:w="9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29"/>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787,370</w:t>
            </w:r>
          </w:p>
        </w:tc>
      </w:tr>
      <w:tr>
        <w:trPr>
          <w:trHeight w:val="230"/>
        </w:trPr>
        <w:tc>
          <w:tcPr>
            <w:tcW w:w="9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18,420</w:t>
            </w:r>
          </w:p>
        </w:tc>
      </w:tr>
      <w:tr>
        <w:trPr>
          <w:trHeight w:val="223"/>
        </w:trPr>
        <w:tc>
          <w:tcPr>
            <w:tcW w:w="9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Resort Reported EBITDA*</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805,790</w:t>
            </w:r>
          </w:p>
        </w:tc>
      </w:tr>
      <w:tr>
        <w:trPr>
          <w:trHeight w:val="230"/>
        </w:trPr>
        <w:tc>
          <w:tcPr>
            <w:tcW w:w="9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13,022</w:t>
            </w:r>
          </w:p>
        </w:tc>
      </w:tr>
      <w:tr>
        <w:trPr>
          <w:trHeight w:val="223"/>
        </w:trPr>
        <w:tc>
          <w:tcPr>
            <w:tcW w:w="9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Reported EBITDA</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818,812</w:t>
            </w:r>
          </w:p>
        </w:tc>
      </w:tr>
      <w:tr>
        <w:trPr>
          <w:trHeight w:val="21"/>
        </w:trPr>
        <w:tc>
          <w:tcPr>
            <w:tcW w:w="9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Resort represents the sum of Mountain and Lodging</w:t>
      </w:r>
    </w:p>
    <w:p>
      <w:pPr>
        <w:spacing w:after="0" w:line="3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reconciles long-term debt, net to Net Debt and the calculation of Net Debt to Total Reported EBITDA for the twelve months ended January 31, 2026.</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7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190"/>
        </w:trPr>
        <w:tc>
          <w:tcPr>
            <w:tcW w:w="61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7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191"/>
        </w:trPr>
        <w:tc>
          <w:tcPr>
            <w:tcW w:w="61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7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As of January 31, 2026</w:t>
            </w:r>
          </w:p>
        </w:tc>
      </w:tr>
      <w:tr>
        <w:trPr>
          <w:trHeight w:val="23"/>
        </w:trPr>
        <w:tc>
          <w:tcPr>
            <w:tcW w:w="610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2,857,753</w:t>
            </w:r>
          </w:p>
        </w:tc>
      </w:tr>
      <w:tr>
        <w:trPr>
          <w:trHeight w:val="230"/>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34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73,005</w:t>
            </w:r>
          </w:p>
        </w:tc>
      </w:tr>
      <w:tr>
        <w:trPr>
          <w:trHeight w:val="223"/>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debt</w:t>
            </w:r>
          </w:p>
        </w:tc>
        <w:tc>
          <w:tcPr>
            <w:tcW w:w="34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2,930,758</w:t>
            </w:r>
          </w:p>
        </w:tc>
      </w:tr>
      <w:tr>
        <w:trPr>
          <w:trHeight w:val="230"/>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34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384,737</w:t>
            </w:r>
          </w:p>
        </w:tc>
      </w:tr>
      <w:tr>
        <w:trPr>
          <w:trHeight w:val="248"/>
        </w:trPr>
        <w:tc>
          <w:tcPr>
            <w:tcW w:w="61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debt</w:t>
            </w:r>
          </w:p>
        </w:tc>
        <w:tc>
          <w:tcPr>
            <w:tcW w:w="3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2,546,021</w:t>
            </w:r>
          </w:p>
        </w:tc>
      </w:tr>
      <w:tr>
        <w:trPr>
          <w:trHeight w:val="20"/>
        </w:trPr>
        <w:tc>
          <w:tcPr>
            <w:tcW w:w="6100" w:type="dxa"/>
            <w:vAlign w:val="bottom"/>
            <w:tcBorders>
              <w:top w:val="single" w:sz="8" w:color="CCEEFF"/>
              <w:bottom w:val="single" w:sz="8" w:color="auto"/>
            </w:tcBorders>
          </w:tcPr>
          <w:p>
            <w:pPr>
              <w:spacing w:after="0" w:line="20" w:lineRule="exact"/>
              <w:rPr>
                <w:sz w:val="1"/>
                <w:szCs w:val="1"/>
                <w:color w:val="auto"/>
              </w:rPr>
            </w:pPr>
          </w:p>
        </w:tc>
        <w:tc>
          <w:tcPr>
            <w:tcW w:w="34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100" w:type="dxa"/>
            <w:vAlign w:val="bottom"/>
            <w:tcBorders>
              <w:bottom w:val="single" w:sz="8" w:color="auto"/>
            </w:tcBorders>
          </w:tcPr>
          <w:p>
            <w:pPr>
              <w:ind w:left="240"/>
              <w:spacing w:after="0" w:line="203" w:lineRule="exact"/>
              <w:rPr>
                <w:sz w:val="20"/>
                <w:szCs w:val="20"/>
                <w:color w:val="auto"/>
              </w:rPr>
            </w:pPr>
            <w:r>
              <w:rPr>
                <w:rFonts w:ascii="Times New Roman" w:cs="Times New Roman" w:eastAsia="Times New Roman" w:hAnsi="Times New Roman"/>
                <w:sz w:val="18"/>
                <w:szCs w:val="18"/>
                <w:color w:val="auto"/>
              </w:rPr>
              <w:t>Net debt to Total Reported EBITDA</w:t>
            </w:r>
          </w:p>
        </w:tc>
        <w:tc>
          <w:tcPr>
            <w:tcW w:w="34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3.1x</w:t>
            </w:r>
          </w:p>
        </w:tc>
      </w:tr>
      <w:tr>
        <w:trPr>
          <w:trHeight w:val="21"/>
        </w:trPr>
        <w:tc>
          <w:tcPr>
            <w:tcW w:w="610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Real Estate Reported EBITDA to Net Real Estate Cash Flow for the three and six months ended January 31, 2026 and 2025.</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gridSpan w:val="2"/>
          </w:tcPr>
          <w:p>
            <w:pPr>
              <w:jc w:val="center"/>
              <w:ind w:left="5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tcPr>
          <w:p>
            <w:pPr>
              <w:jc w:val="center"/>
              <w:ind w:left="5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3"/>
                <w:szCs w:val="13"/>
                <w:color w:val="auto"/>
              </w:rPr>
            </w:pPr>
          </w:p>
        </w:tc>
      </w:tr>
      <w:tr>
        <w:trPr>
          <w:trHeight w:val="189"/>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2"/>
          </w:tcPr>
          <w:p>
            <w:pPr>
              <w:jc w:val="center"/>
              <w:ind w:left="57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40" w:type="dxa"/>
            <w:vAlign w:val="bottom"/>
          </w:tcPr>
          <w:p>
            <w:pPr>
              <w:spacing w:after="0"/>
              <w:rPr>
                <w:sz w:val="16"/>
                <w:szCs w:val="16"/>
                <w:color w:val="auto"/>
              </w:rPr>
            </w:pPr>
          </w:p>
        </w:tc>
      </w:tr>
      <w:tr>
        <w:trPr>
          <w:trHeight w:val="190"/>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0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240" w:type="dxa"/>
            <w:vAlign w:val="bottom"/>
          </w:tcPr>
          <w:p>
            <w:pPr>
              <w:spacing w:after="0"/>
              <w:rPr>
                <w:sz w:val="16"/>
                <w:szCs w:val="16"/>
                <w:color w:val="auto"/>
              </w:rPr>
            </w:pPr>
          </w:p>
        </w:tc>
        <w:tc>
          <w:tcPr>
            <w:tcW w:w="2440" w:type="dxa"/>
            <w:vAlign w:val="bottom"/>
            <w:gridSpan w:val="3"/>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Six Months Ended January 31,</w:t>
            </w:r>
          </w:p>
        </w:tc>
      </w:tr>
      <w:tr>
        <w:trPr>
          <w:trHeight w:val="23"/>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56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7,887</w:t>
            </w: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13,491</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Real Estate stock-based compensation</w:t>
            </w:r>
          </w:p>
        </w:tc>
        <w:tc>
          <w:tcPr>
            <w:tcW w:w="2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64</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122</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176"/>
        </w:trPr>
        <w:tc>
          <w:tcPr>
            <w:tcW w:w="5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real estate deposits and recovery of previously incurred project</w:t>
            </w: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43"/>
        </w:trPr>
        <w:tc>
          <w:tcPr>
            <w:tcW w:w="5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costs/land basis less investments in real estate</w:t>
            </w: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2,510</w:t>
            </w:r>
          </w:p>
        </w:tc>
        <w:tc>
          <w:tcPr>
            <w:tcW w:w="5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17,652</w:t>
            </w:r>
          </w:p>
        </w:tc>
        <w:tc>
          <w:tcPr>
            <w:tcW w:w="1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(10,510)</w:t>
            </w:r>
          </w:p>
        </w:tc>
        <w:tc>
          <w:tcPr>
            <w:tcW w:w="5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23"/>
        </w:trPr>
        <w:tc>
          <w:tcPr>
            <w:tcW w:w="56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Real Estate Cash Flow</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16,135</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5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14,740</w:t>
            </w:r>
          </w:p>
        </w:tc>
      </w:tr>
      <w:tr>
        <w:trPr>
          <w:trHeight w:val="21"/>
        </w:trPr>
        <w:tc>
          <w:tcPr>
            <w:tcW w:w="5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8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following table reconciles Resort net revenue to Resort EBITDA Margin for fiscal 2026 guidance.</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82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189"/>
        </w:trPr>
        <w:tc>
          <w:tcPr>
            <w:tcW w:w="18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82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190"/>
        </w:trPr>
        <w:tc>
          <w:tcPr>
            <w:tcW w:w="18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82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 xml:space="preserve">Fiscal 2026 Guidance </w:t>
            </w:r>
            <w:r>
              <w:rPr>
                <w:rFonts w:ascii="Times New Roman" w:cs="Times New Roman" w:eastAsia="Times New Roman" w:hAnsi="Times New Roman"/>
                <w:sz w:val="9"/>
                <w:szCs w:val="9"/>
                <w:b w:val="1"/>
                <w:bCs w:val="1"/>
                <w:color w:val="auto"/>
              </w:rPr>
              <w:t>(2)</w:t>
            </w:r>
          </w:p>
        </w:tc>
      </w:tr>
      <w:tr>
        <w:trPr>
          <w:trHeight w:val="23"/>
        </w:trPr>
        <w:tc>
          <w:tcPr>
            <w:tcW w:w="6580" w:type="dxa"/>
            <w:vAlign w:val="bottom"/>
            <w:tcBorders>
              <w:bottom w:val="single" w:sz="8" w:color="auto"/>
            </w:tcBorders>
            <w:gridSpan w:val="2"/>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3"/>
        </w:trPr>
        <w:tc>
          <w:tcPr>
            <w:tcW w:w="658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Resort net revenue </w:t>
            </w:r>
            <w:r>
              <w:rPr>
                <w:rFonts w:ascii="Times New Roman" w:cs="Times New Roman" w:eastAsia="Times New Roman" w:hAnsi="Times New Roman"/>
                <w:sz w:val="23"/>
                <w:szCs w:val="23"/>
                <w:color w:val="auto"/>
                <w:vertAlign w:val="superscript"/>
              </w:rPr>
              <w:t>(1)</w:t>
            </w:r>
          </w:p>
        </w:tc>
        <w:tc>
          <w:tcPr>
            <w:tcW w:w="2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2,878,000</w:t>
            </w:r>
          </w:p>
        </w:tc>
      </w:tr>
      <w:tr>
        <w:trPr>
          <w:trHeight w:val="229"/>
        </w:trPr>
        <w:tc>
          <w:tcPr>
            <w:tcW w:w="6580" w:type="dxa"/>
            <w:vAlign w:val="bottom"/>
            <w:tcBorders>
              <w:bottom w:val="single" w:sz="8" w:color="auto"/>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Resort Reported EBITDA </w:t>
            </w:r>
            <w:r>
              <w:rPr>
                <w:rFonts w:ascii="Times New Roman" w:cs="Times New Roman" w:eastAsia="Times New Roman" w:hAnsi="Times New Roman"/>
                <w:sz w:val="23"/>
                <w:szCs w:val="23"/>
                <w:color w:val="auto"/>
                <w:vertAlign w:val="superscript"/>
              </w:rPr>
              <w:t>(1)</w:t>
            </w:r>
          </w:p>
        </w:tc>
        <w:tc>
          <w:tcPr>
            <w:tcW w:w="2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color w:val="auto"/>
              </w:rPr>
              <w:t>760,000</w:t>
            </w:r>
          </w:p>
        </w:tc>
      </w:tr>
      <w:tr>
        <w:trPr>
          <w:trHeight w:val="223"/>
        </w:trPr>
        <w:tc>
          <w:tcPr>
            <w:tcW w:w="180" w:type="dxa"/>
            <w:vAlign w:val="bottom"/>
            <w:tcBorders>
              <w:bottom w:val="single" w:sz="8" w:color="auto"/>
            </w:tcBorders>
            <w:shd w:val="clear" w:color="auto" w:fill="CCEEFF"/>
          </w:tcPr>
          <w:p>
            <w:pPr>
              <w:spacing w:after="0"/>
              <w:rPr>
                <w:sz w:val="19"/>
                <w:szCs w:val="19"/>
                <w:color w:val="auto"/>
              </w:rPr>
            </w:pPr>
          </w:p>
        </w:tc>
        <w:tc>
          <w:tcPr>
            <w:tcW w:w="6400" w:type="dxa"/>
            <w:vAlign w:val="bottom"/>
            <w:tcBorders>
              <w:bottom w:val="single" w:sz="8" w:color="auto"/>
            </w:tcBorders>
            <w:shd w:val="clear" w:color="auto" w:fill="CCEEFF"/>
          </w:tcPr>
          <w:p>
            <w:pPr>
              <w:ind w:left="60"/>
              <w:spacing w:after="0" w:line="223" w:lineRule="exact"/>
              <w:rPr>
                <w:sz w:val="20"/>
                <w:szCs w:val="20"/>
                <w:color w:val="auto"/>
              </w:rPr>
            </w:pPr>
            <w:r>
              <w:rPr>
                <w:rFonts w:ascii="Times New Roman" w:cs="Times New Roman" w:eastAsia="Times New Roman" w:hAnsi="Times New Roman"/>
                <w:sz w:val="18"/>
                <w:szCs w:val="18"/>
                <w:color w:val="auto"/>
              </w:rPr>
              <w:t xml:space="preserve">Resort EBITDA margin </w:t>
            </w:r>
            <w:r>
              <w:rPr>
                <w:rFonts w:ascii="Times New Roman" w:cs="Times New Roman" w:eastAsia="Times New Roman" w:hAnsi="Times New Roman"/>
                <w:sz w:val="23"/>
                <w:szCs w:val="23"/>
                <w:color w:val="auto"/>
                <w:vertAlign w:val="superscript"/>
              </w:rPr>
              <w:t>(1)</w:t>
            </w:r>
          </w:p>
        </w:tc>
        <w:tc>
          <w:tcPr>
            <w:tcW w:w="28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26.4 %</w:t>
            </w:r>
          </w:p>
        </w:tc>
      </w:tr>
      <w:tr>
        <w:trPr>
          <w:trHeight w:val="407"/>
        </w:trPr>
        <w:tc>
          <w:tcPr>
            <w:tcW w:w="18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(1)</w:t>
            </w: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Resort represents the sum of Mountain and Lodging</w:t>
            </w:r>
          </w:p>
        </w:tc>
        <w:tc>
          <w:tcPr>
            <w:tcW w:w="28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34"/>
        </w:trPr>
        <w:tc>
          <w:tcPr>
            <w:tcW w:w="18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(2)</w:t>
            </w: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Represents the mid-point of Guidance</w:t>
            </w:r>
          </w:p>
        </w:tc>
        <w:tc>
          <w:tcPr>
            <w:tcW w:w="2800" w:type="dxa"/>
            <w:vAlign w:val="bottom"/>
          </w:tcPr>
          <w:p>
            <w:pPr>
              <w:spacing w:after="0"/>
              <w:rPr>
                <w:sz w:val="20"/>
                <w:szCs w:val="20"/>
                <w:color w:val="auto"/>
              </w:rPr>
            </w:pPr>
          </w:p>
        </w:tc>
        <w:tc>
          <w:tcPr>
            <w:tcW w:w="18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20"/>
      </w:cols>
      <w:pgMar w:left="320" w:top="98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2026-03-09T15:16:59Z</dcterms:created>
  <dcterms:modified xsi:type="dcterms:W3CDTF">2026-03-09T15:16:59Z</dcterms:modified>
</cp:coreProperties>
</file>