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VAIL RESORTS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Oasis Management Company Ltd.</w:t>
              <w:br/>
              <w:t>c/o Oasis Management (Hong Kong), 25/F, LHT Tower, 31 Queen's Road Central</w:t>
              <w:br/>
              <w:t>Central, K3, 00000</w:t>
              <w:br/>
              <w:t>(852) 2847-7708</w:t>
            </w:r>
          </w:p>
          <w:p>
            <w:pPr>
              <w:pStyle w:val="TableContents"/>
              <w:bidi w:val="0"/>
              <w:jc w:val="left"/>
              <w:rPr/>
            </w:pPr>
            <w:r>
              <w:rPr/>
            </w:r>
          </w:p>
          <w:p>
            <w:pPr>
              <w:pStyle w:val="TableContents"/>
              <w:bidi w:val="0"/>
              <w:spacing w:before="0" w:after="0"/>
              <w:jc w:val="center"/>
              <w:rPr>
                <w:b/>
                <w:color w:val="0000FF"/>
              </w:rPr>
            </w:pPr>
            <w:r>
              <w:rPr>
                <w:b/>
                <w:color w:val="0000FF"/>
              </w:rPr>
              <w:t>Ele Klein</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Oasis Management Co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2,622,562.00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2,622,562.00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2,622,562.00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Seth Fischer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2,622,562.00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2,622,562.00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2,622,562.00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Robert Chapek</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 Ashton Hudson</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Bryce Roberts</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Picabo Street</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VAIL RESORTS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 Interlocken Crescent, Suite 1000, Broomfield, COLORADO , 80021.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("Amendment No. 1") amends and supplements the statement on Schedule 13D filed with the Securities and Exchange Commission (the "SEC") on September 16, 2026 (the "Original Schedule 13D," together with this Amendment No. 1, the "Schedule 13D"), with respect to the Common Stock of the Issuer. This Amendment No. 1 amends and restates Items 3 and 5(a) - (c) as set forth below. Capitalized terms used herein and not otherwise defined in this Amendment No. 1 have the meanings set forth in the Schedule 13D.</w:t>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The shares of Common Stock held by the Oasis Fund reported herein were purchased with the working capital of the Oasis Fund in open market transactions. A total of approximately $373 million (excluding commissions) was paid to acquire the shares of Common Stock held by the Oasis Fund. The shares of Common Stock held by the Oasis Fund are held in commingled margin accounts, which may extend margin credit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shares of Common Stock held by the Oasis Fund. The 1,350 shares of Common Stock held by Mr. Hudson were purchased with his personal funds in open market transactions for an aggregate purchase price of approximately $0.2 million (excluding commissions).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See rows (11) and (13) of the cover pages to this Schedule 13D for the aggregate number of shares of Common Stock and percentages of the Common Stock beneficially owned by each of the Reporting Persons. The percentages used in this Schedule 13D are calculated based upon 35,633,526 shares of Common Stock outstanding as of June 3, 2026, as reported in the Issuer's Quarterly Report on Form 10-Q for the quarterly period ended April 30, 2026, filed with the SEC on June 8, 2026. The Reporting Persons may be deemed to have formed a "group" within the meaning of Section 13(d)(3) of the Act, and the "group" may be deemed to beneficially own an aggregate of 2,623,912 shares of Common Stock, representing approximately 7.4% of the outstanding shares of Common Stock. Each of the Reporting Persons expressly disclaims beneficial ownership of the Shares beneficially owned by the other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See rows (7) through (10) of the cover pages to this Schedule 13D for the number of shares of Common Stock as to which each Reporting Person has the sole or shared power to vote or direct the vote and sole or shared power to dispose or to direct the disposition.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All information concerning transactions in the Common Stock since the filing of the Schedule 13D is set forth in Schedule B hereto and is incorporated by reference herein.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Oasis Management Co Ltd.</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/s/ Phillip Meyer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Phillip Meyer,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Seth Fischer</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Seth Fischer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Seth Fischer, individually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Robert Chapek</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Chapek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Robert Chapek, individually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M. Ashton Hudson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 Ashton Hudson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 Ashton Hudson,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Bryce Roberts</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Bryce Roberts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Bryce Roberts, individually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Picabo Street</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1"/>
        <w:gridCol w:w="4454"/>
      </w:tblGrid>
      <w:tr>
        <w:trPr/>
        <w:tc>
          <w:tcPr>
            <w:tcW w:w="57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Picabo Street</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Picabo Street, individually</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4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rFonts w:ascii="Times New Roman;Times;Serif" w:hAnsi="Times New Roman;Times;Serif"/>
          <w:b/>
          <w:i w:val="false"/>
          <w:caps w:val="false"/>
          <w:smallCaps w:val="false"/>
          <w:sz w:val="22"/>
        </w:rPr>
      </w:pPr>
      <w:bookmarkStart w:id="34" w:name="p26-1908ex99.htm"/>
      <w:bookmarkStart w:id="35" w:name="ksp261908ex99"/>
      <w:bookmarkEnd w:id="34"/>
      <w:bookmarkEnd w:id="35"/>
      <w:r>
        <w:rPr>
          <w:rFonts w:ascii="Times New Roman;Times;Serif" w:hAnsi="Times New Roman;Times;Serif"/>
          <w:b/>
          <w:i w:val="false"/>
          <w:caps w:val="false"/>
          <w:smallCaps w:val="false"/>
          <w:sz w:val="22"/>
        </w:rPr>
        <w:t>Schedule B</w:t>
      </w:r>
      <w:r>
        <w:br w:type="page"/>
      </w:r>
    </w:p>
    <w:p>
      <w:pPr>
        <w:pStyle w:val="TextBody"/>
        <w:bidi w:val="0"/>
        <w:spacing w:before="0" w:after="20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TRANSACTIONS IN COMMON STOCK BY THE REPORTING PERSONS</w:t>
      </w:r>
    </w:p>
    <w:p>
      <w:pPr>
        <w:pStyle w:val="TextBody"/>
        <w:bidi w:val="0"/>
        <w:spacing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tables set forth all transactions in the Common Stock effected by the Reporting Persons since the filing of the Schedule 13D. Except as otherwise noted, all such transactions were effected in the open market through a broker and all prices per share exclude brokerage commissions. Where a price range is provided in the column Price Range ($), the price reported in that row's Price Per Share ($) column is a weighted average price. These shares were purchased or sold in multiple transactions at prices between the price ranges indicated in the Price Range ($) column. The Reporting Persons will undertake to provide to the staff of the Securities and Exchange Commission, upon request, full information regarding the number of shares of Common Stock purchased or sold at each separate price.</w:t>
      </w:r>
    </w:p>
    <w:p>
      <w:pPr>
        <w:pStyle w:val="TextBody"/>
        <w:bidi w:val="0"/>
        <w:spacing w:before="160" w:after="120"/>
        <w:ind w:left="160" w:right="160" w:hanging="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Oasis Management</w:t>
      </w:r>
    </w:p>
    <w:tbl>
      <w:tblPr>
        <w:tblW w:w="5810" w:type="dxa"/>
        <w:jc w:val="left"/>
        <w:tblInd w:w="0" w:type="dxa"/>
        <w:tblLayout w:type="fixed"/>
        <w:tblCellMar>
          <w:top w:w="0" w:type="dxa"/>
          <w:left w:w="0" w:type="dxa"/>
          <w:bottom w:w="28" w:type="dxa"/>
          <w:right w:w="0" w:type="dxa"/>
        </w:tblCellMar>
      </w:tblPr>
      <w:tblGrid>
        <w:gridCol w:w="995"/>
        <w:gridCol w:w="1955"/>
        <w:gridCol w:w="1490"/>
        <w:gridCol w:w="1370"/>
      </w:tblGrid>
      <w:tr>
        <w:trPr/>
        <w:tc>
          <w:tcPr>
            <w:tcW w:w="995" w:type="dxa"/>
            <w:tcBorders>
              <w:bottom w:val="single" w:sz="8" w:space="0" w:color="000000"/>
            </w:tcBorders>
            <w:vAlign w:val="center"/>
          </w:tcPr>
          <w:p>
            <w:pPr>
              <w:pStyle w:val="TableContents"/>
              <w:bidi w:val="0"/>
              <w:spacing w:before="0" w:after="283"/>
              <w:jc w:val="left"/>
              <w:rPr>
                <w:sz w:val="20"/>
              </w:rPr>
            </w:pPr>
            <w:r>
              <w:rPr>
                <w:sz w:val="20"/>
              </w:rPr>
              <w:t>Trade Date</w:t>
            </w:r>
          </w:p>
        </w:tc>
        <w:tc>
          <w:tcPr>
            <w:tcW w:w="1955" w:type="dxa"/>
            <w:tcBorders>
              <w:bottom w:val="single" w:sz="8" w:space="0" w:color="000000"/>
            </w:tcBorders>
            <w:vAlign w:val="center"/>
          </w:tcPr>
          <w:p>
            <w:pPr>
              <w:pStyle w:val="TableContents"/>
              <w:bidi w:val="0"/>
              <w:spacing w:before="0" w:after="283"/>
              <w:jc w:val="center"/>
              <w:rPr>
                <w:sz w:val="20"/>
              </w:rPr>
            </w:pPr>
            <w:r>
              <w:rPr>
                <w:sz w:val="20"/>
              </w:rPr>
              <w:t>Shares Purchased (Sold)</w:t>
            </w:r>
          </w:p>
        </w:tc>
        <w:tc>
          <w:tcPr>
            <w:tcW w:w="1490" w:type="dxa"/>
            <w:tcBorders>
              <w:bottom w:val="single" w:sz="8" w:space="0" w:color="000000"/>
            </w:tcBorders>
            <w:vAlign w:val="center"/>
          </w:tcPr>
          <w:p>
            <w:pPr>
              <w:pStyle w:val="TableContents"/>
              <w:bidi w:val="0"/>
              <w:spacing w:before="0" w:after="283"/>
              <w:jc w:val="center"/>
              <w:rPr>
                <w:sz w:val="20"/>
              </w:rPr>
            </w:pPr>
            <w:r>
              <w:rPr>
                <w:sz w:val="20"/>
              </w:rPr>
              <w:t>Price Per Share ($)</w:t>
            </w:r>
          </w:p>
        </w:tc>
        <w:tc>
          <w:tcPr>
            <w:tcW w:w="1370" w:type="dxa"/>
            <w:tcBorders>
              <w:bottom w:val="single" w:sz="8" w:space="0" w:color="000000"/>
            </w:tcBorders>
            <w:vAlign w:val="center"/>
          </w:tcPr>
          <w:p>
            <w:pPr>
              <w:pStyle w:val="TableContents"/>
              <w:bidi w:val="0"/>
              <w:spacing w:before="0" w:after="283"/>
              <w:jc w:val="center"/>
              <w:rPr>
                <w:sz w:val="20"/>
              </w:rPr>
            </w:pPr>
            <w:r>
              <w:rPr>
                <w:sz w:val="20"/>
              </w:rPr>
              <w:t>Price Range ($)</w:t>
            </w:r>
          </w:p>
        </w:tc>
      </w:tr>
      <w:tr>
        <w:trPr/>
        <w:tc>
          <w:tcPr>
            <w:tcW w:w="995" w:type="dxa"/>
            <w:tcBorders/>
            <w:tcMar>
              <w:bottom w:w="0" w:type="dxa"/>
            </w:tcMar>
            <w:vAlign w:val="center"/>
          </w:tcPr>
          <w:p>
            <w:pPr>
              <w:pStyle w:val="TableContents"/>
              <w:bidi w:val="0"/>
              <w:spacing w:before="0" w:after="283"/>
              <w:jc w:val="left"/>
              <w:rPr>
                <w:sz w:val="20"/>
              </w:rPr>
            </w:pPr>
            <w:r>
              <w:rPr>
                <w:sz w:val="20"/>
              </w:rPr>
              <w:t>09/16/2026</w:t>
            </w:r>
          </w:p>
        </w:tc>
        <w:tc>
          <w:tcPr>
            <w:tcW w:w="1955" w:type="dxa"/>
            <w:tcBorders/>
            <w:tcMar>
              <w:bottom w:w="0" w:type="dxa"/>
            </w:tcMar>
            <w:vAlign w:val="center"/>
          </w:tcPr>
          <w:p>
            <w:pPr>
              <w:pStyle w:val="TableContents"/>
              <w:bidi w:val="0"/>
              <w:spacing w:before="0" w:after="283"/>
              <w:jc w:val="center"/>
              <w:rPr/>
            </w:pPr>
            <w:r>
              <w:rPr/>
              <w:t> </w:t>
            </w:r>
            <w:r>
              <w:rPr>
                <w:sz w:val="20"/>
              </w:rPr>
              <w:t>23,546</w:t>
            </w:r>
          </w:p>
        </w:tc>
        <w:tc>
          <w:tcPr>
            <w:tcW w:w="1490" w:type="dxa"/>
            <w:tcBorders/>
            <w:tcMar>
              <w:bottom w:w="0" w:type="dxa"/>
            </w:tcMar>
            <w:vAlign w:val="center"/>
          </w:tcPr>
          <w:p>
            <w:pPr>
              <w:pStyle w:val="TableContents"/>
              <w:bidi w:val="0"/>
              <w:spacing w:before="0" w:after="283"/>
              <w:jc w:val="center"/>
              <w:rPr>
                <w:sz w:val="20"/>
              </w:rPr>
            </w:pPr>
            <w:r>
              <w:rPr>
                <w:sz w:val="20"/>
              </w:rPr>
              <w:t>139.68</w:t>
            </w:r>
          </w:p>
        </w:tc>
        <w:tc>
          <w:tcPr>
            <w:tcW w:w="1370" w:type="dxa"/>
            <w:tcBorders/>
            <w:tcMar>
              <w:bottom w:w="0" w:type="dxa"/>
            </w:tcMar>
            <w:vAlign w:val="center"/>
          </w:tcPr>
          <w:p>
            <w:pPr>
              <w:pStyle w:val="TableContents"/>
              <w:bidi w:val="0"/>
              <w:spacing w:before="0" w:after="283"/>
              <w:jc w:val="center"/>
              <w:rPr/>
            </w:pPr>
            <w:r>
              <w:rPr/>
              <w:t> </w:t>
            </w:r>
          </w:p>
        </w:tc>
      </w:tr>
      <w:tr>
        <w:trPr/>
        <w:tc>
          <w:tcPr>
            <w:tcW w:w="995" w:type="dxa"/>
            <w:tcBorders/>
            <w:tcMar>
              <w:bottom w:w="0" w:type="dxa"/>
            </w:tcMar>
            <w:vAlign w:val="center"/>
          </w:tcPr>
          <w:p>
            <w:pPr>
              <w:pStyle w:val="TableContents"/>
              <w:bidi w:val="0"/>
              <w:spacing w:before="0" w:after="283"/>
              <w:jc w:val="left"/>
              <w:rPr>
                <w:sz w:val="20"/>
              </w:rPr>
            </w:pPr>
            <w:r>
              <w:rPr>
                <w:sz w:val="20"/>
              </w:rPr>
              <w:t>09/17/2026</w:t>
            </w:r>
          </w:p>
        </w:tc>
        <w:tc>
          <w:tcPr>
            <w:tcW w:w="1955" w:type="dxa"/>
            <w:tcBorders/>
            <w:tcMar>
              <w:bottom w:w="0" w:type="dxa"/>
            </w:tcMar>
            <w:vAlign w:val="center"/>
          </w:tcPr>
          <w:p>
            <w:pPr>
              <w:pStyle w:val="TableContents"/>
              <w:bidi w:val="0"/>
              <w:spacing w:before="0" w:after="283"/>
              <w:jc w:val="center"/>
              <w:rPr>
                <w:sz w:val="20"/>
              </w:rPr>
            </w:pPr>
            <w:r>
              <w:rPr>
                <w:sz w:val="20"/>
              </w:rPr>
              <w:t>150,000</w:t>
            </w:r>
          </w:p>
        </w:tc>
        <w:tc>
          <w:tcPr>
            <w:tcW w:w="1490" w:type="dxa"/>
            <w:tcBorders/>
            <w:tcMar>
              <w:bottom w:w="0" w:type="dxa"/>
            </w:tcMar>
            <w:vAlign w:val="center"/>
          </w:tcPr>
          <w:p>
            <w:pPr>
              <w:pStyle w:val="TableContents"/>
              <w:bidi w:val="0"/>
              <w:spacing w:before="0" w:after="283"/>
              <w:jc w:val="center"/>
              <w:rPr>
                <w:sz w:val="20"/>
              </w:rPr>
            </w:pPr>
            <w:r>
              <w:rPr>
                <w:sz w:val="20"/>
              </w:rPr>
              <w:t xml:space="preserve">139.02 </w:t>
            </w:r>
          </w:p>
        </w:tc>
        <w:tc>
          <w:tcPr>
            <w:tcW w:w="1370" w:type="dxa"/>
            <w:tcBorders/>
            <w:tcMar>
              <w:bottom w:w="0" w:type="dxa"/>
            </w:tcMar>
            <w:vAlign w:val="center"/>
          </w:tcPr>
          <w:p>
            <w:pPr>
              <w:pStyle w:val="TableContents"/>
              <w:bidi w:val="0"/>
              <w:spacing w:before="0" w:after="283"/>
              <w:jc w:val="center"/>
              <w:rPr>
                <w:sz w:val="20"/>
              </w:rPr>
            </w:pPr>
            <w:r>
              <w:rPr>
                <w:sz w:val="20"/>
              </w:rPr>
              <w:t>139.00 – 139.03</w:t>
            </w:r>
          </w:p>
        </w:tc>
      </w:tr>
      <w:tr>
        <w:trPr/>
        <w:tc>
          <w:tcPr>
            <w:tcW w:w="995" w:type="dxa"/>
            <w:tcBorders/>
            <w:tcMar>
              <w:bottom w:w="0" w:type="dxa"/>
            </w:tcMar>
            <w:vAlign w:val="center"/>
          </w:tcPr>
          <w:p>
            <w:pPr>
              <w:pStyle w:val="TableContents"/>
              <w:bidi w:val="0"/>
              <w:spacing w:before="0" w:after="283"/>
              <w:jc w:val="left"/>
              <w:rPr>
                <w:sz w:val="20"/>
              </w:rPr>
            </w:pPr>
            <w:r>
              <w:rPr>
                <w:sz w:val="20"/>
              </w:rPr>
              <w:t>09/18/2026</w:t>
            </w:r>
          </w:p>
        </w:tc>
        <w:tc>
          <w:tcPr>
            <w:tcW w:w="1955" w:type="dxa"/>
            <w:tcBorders/>
            <w:tcMar>
              <w:bottom w:w="0" w:type="dxa"/>
            </w:tcMar>
            <w:vAlign w:val="center"/>
          </w:tcPr>
          <w:p>
            <w:pPr>
              <w:pStyle w:val="TableContents"/>
              <w:bidi w:val="0"/>
              <w:spacing w:before="0" w:after="283"/>
              <w:jc w:val="center"/>
              <w:rPr/>
            </w:pPr>
            <w:r>
              <w:rPr/>
              <w:t> </w:t>
            </w:r>
            <w:r>
              <w:rPr>
                <w:sz w:val="20"/>
              </w:rPr>
              <w:t>250,000</w:t>
            </w:r>
          </w:p>
        </w:tc>
        <w:tc>
          <w:tcPr>
            <w:tcW w:w="1490" w:type="dxa"/>
            <w:tcBorders/>
            <w:tcMar>
              <w:bottom w:w="0" w:type="dxa"/>
            </w:tcMar>
            <w:vAlign w:val="center"/>
          </w:tcPr>
          <w:p>
            <w:pPr>
              <w:pStyle w:val="TableContents"/>
              <w:bidi w:val="0"/>
              <w:spacing w:before="0" w:after="283"/>
              <w:jc w:val="center"/>
              <w:rPr>
                <w:sz w:val="20"/>
              </w:rPr>
            </w:pPr>
            <w:r>
              <w:rPr>
                <w:sz w:val="20"/>
              </w:rPr>
              <w:t>139.33</w:t>
            </w:r>
          </w:p>
        </w:tc>
        <w:tc>
          <w:tcPr>
            <w:tcW w:w="1370" w:type="dxa"/>
            <w:tcBorders/>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1857</Words>
  <Characters>9424</Characters>
  <CharactersWithSpaces>11121</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