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11-K</w:t>
      </w:r>
    </w:p>
    <w:p>
      <w:pPr>
        <w:spacing w:after="0" w:line="252" w:lineRule="exact"/>
        <w:rPr>
          <w:sz w:val="24"/>
          <w:szCs w:val="24"/>
          <w:color w:val="auto"/>
        </w:rPr>
      </w:pPr>
    </w:p>
    <w:p>
      <w:pPr>
        <w:ind w:left="360" w:right="939" w:firstLine="2"/>
        <w:spacing w:after="0" w:line="296" w:lineRule="auto"/>
        <w:tabs>
          <w:tab w:leader="none" w:pos="948" w:val="left"/>
        </w:tabs>
        <w:numPr>
          <w:ilvl w:val="0"/>
          <w:numId w:val="1"/>
        </w:numPr>
        <w:rPr>
          <w:rFonts w:ascii="Arial" w:cs="Arial" w:eastAsia="Arial" w:hAnsi="Arial"/>
          <w:sz w:val="21"/>
          <w:szCs w:val="21"/>
          <w:b w:val="1"/>
          <w:bCs w:val="1"/>
          <w:color w:val="auto"/>
        </w:rPr>
      </w:pPr>
      <w:r>
        <w:rPr>
          <w:rFonts w:ascii="Arial" w:cs="Arial" w:eastAsia="Arial" w:hAnsi="Arial"/>
          <w:sz w:val="21"/>
          <w:szCs w:val="21"/>
          <w:color w:val="auto"/>
        </w:rPr>
        <w:t>Annual Report Pursuant To Section 15(d) Of The Securities Exchange Act Of 1934 For the fiscal year ended December 31,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1611630</wp:posOffset>
            </wp:positionH>
            <wp:positionV relativeFrom="paragraph">
              <wp:posOffset>-67310</wp:posOffset>
            </wp:positionV>
            <wp:extent cx="36766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76650" cy="8255"/>
                    </a:xfrm>
                    <a:prstGeom prst="rect">
                      <a:avLst/>
                    </a:prstGeom>
                    <a:noFill/>
                  </pic:spPr>
                </pic:pic>
              </a:graphicData>
            </a:graphic>
          </wp:anchor>
        </w:drawing>
      </w:r>
    </w:p>
    <w:p>
      <w:pPr>
        <w:spacing w:after="0" w:line="126" w:lineRule="exact"/>
        <w:rPr>
          <w:sz w:val="24"/>
          <w:szCs w:val="24"/>
          <w:color w:val="auto"/>
        </w:rPr>
      </w:pPr>
    </w:p>
    <w:p>
      <w:pPr>
        <w:ind w:left="600" w:hanging="231"/>
        <w:spacing w:after="0"/>
        <w:tabs>
          <w:tab w:leader="none" w:pos="60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w:t>
      </w:r>
      <w:r>
        <w:rPr>
          <w:rFonts w:ascii="Arial" w:cs="Arial" w:eastAsia="Arial" w:hAnsi="Arial"/>
          <w:sz w:val="19"/>
          <w:szCs w:val="19"/>
          <w:color w:val="auto"/>
        </w:rPr>
        <w:t>Transition Report Pursuant To Section 15(d) Of The Securities Exchange Act Of 1934</w:t>
      </w:r>
    </w:p>
    <w:p>
      <w:pPr>
        <w:spacing w:after="0" w:line="12" w:lineRule="exact"/>
        <w:rPr>
          <w:sz w:val="24"/>
          <w:szCs w:val="24"/>
          <w:color w:val="auto"/>
        </w:rPr>
      </w:pPr>
    </w:p>
    <w:tbl>
      <w:tblPr>
        <w:tblLayout w:type="fixed"/>
        <w:tblInd w:w="360" w:type="dxa"/>
        <w:tblCellMar>
          <w:top w:w="0" w:type="dxa"/>
          <w:left w:w="0" w:type="dxa"/>
          <w:bottom w:w="0" w:type="dxa"/>
          <w:right w:w="0" w:type="dxa"/>
        </w:tblCellMar>
      </w:tblPr>
      <w:tr>
        <w:trPr>
          <w:trHeight w:val="241"/>
        </w:trPr>
        <w:tc>
          <w:tcPr>
            <w:tcW w:w="2600" w:type="dxa"/>
            <w:vAlign w:val="bottom"/>
          </w:tcPr>
          <w:p>
            <w:pPr>
              <w:spacing w:after="0"/>
              <w:rPr>
                <w:sz w:val="20"/>
                <w:szCs w:val="20"/>
                <w:color w:val="auto"/>
              </w:rPr>
            </w:pPr>
            <w:r>
              <w:rPr>
                <w:rFonts w:ascii="Arial" w:cs="Arial" w:eastAsia="Arial" w:hAnsi="Arial"/>
                <w:sz w:val="21"/>
                <w:szCs w:val="21"/>
                <w:color w:val="auto"/>
                <w:w w:val="95"/>
              </w:rPr>
              <w:t>For the transition period from</w:t>
            </w:r>
          </w:p>
        </w:tc>
        <w:tc>
          <w:tcPr>
            <w:tcW w:w="2720" w:type="dxa"/>
            <w:vAlign w:val="bottom"/>
          </w:tcPr>
          <w:p>
            <w:pPr>
              <w:spacing w:after="0"/>
              <w:rPr>
                <w:sz w:val="21"/>
                <w:szCs w:val="21"/>
                <w:color w:val="auto"/>
              </w:rPr>
            </w:pPr>
          </w:p>
        </w:tc>
        <w:tc>
          <w:tcPr>
            <w:tcW w:w="2460" w:type="dxa"/>
            <w:vAlign w:val="bottom"/>
            <w:gridSpan w:val="2"/>
          </w:tcPr>
          <w:p>
            <w:pPr>
              <w:spacing w:after="0"/>
              <w:rPr>
                <w:sz w:val="20"/>
                <w:szCs w:val="20"/>
                <w:color w:val="auto"/>
              </w:rPr>
            </w:pPr>
            <w:r>
              <w:rPr>
                <w:rFonts w:ascii="Arial" w:cs="Arial" w:eastAsia="Arial" w:hAnsi="Arial"/>
                <w:sz w:val="21"/>
                <w:szCs w:val="21"/>
                <w:color w:val="auto"/>
              </w:rPr>
              <w:t>to</w:t>
            </w:r>
          </w:p>
        </w:tc>
        <w:tc>
          <w:tcPr>
            <w:tcW w:w="60" w:type="dxa"/>
            <w:vAlign w:val="bottom"/>
          </w:tcPr>
          <w:p>
            <w:pPr>
              <w:spacing w:after="0"/>
              <w:rPr>
                <w:sz w:val="21"/>
                <w:szCs w:val="21"/>
                <w:color w:val="auto"/>
              </w:rPr>
            </w:pPr>
          </w:p>
        </w:tc>
      </w:tr>
      <w:tr>
        <w:trPr>
          <w:trHeight w:val="514"/>
        </w:trPr>
        <w:tc>
          <w:tcPr>
            <w:tcW w:w="2600" w:type="dxa"/>
            <w:vAlign w:val="bottom"/>
          </w:tcPr>
          <w:p>
            <w:pPr>
              <w:spacing w:after="0"/>
              <w:rPr>
                <w:sz w:val="20"/>
                <w:szCs w:val="20"/>
                <w:color w:val="auto"/>
              </w:rPr>
            </w:pPr>
            <w:r>
              <w:rPr>
                <w:rFonts w:ascii="Arial" w:cs="Arial" w:eastAsia="Arial" w:hAnsi="Arial"/>
                <w:sz w:val="21"/>
                <w:szCs w:val="21"/>
                <w:color w:val="auto"/>
              </w:rPr>
              <w:t>Commission File Number:</w:t>
            </w:r>
          </w:p>
        </w:tc>
        <w:tc>
          <w:tcPr>
            <w:tcW w:w="2720" w:type="dxa"/>
            <w:vAlign w:val="bottom"/>
            <w:tcBorders>
              <w:top w:val="single" w:sz="8" w:color="auto"/>
              <w:bottom w:val="single" w:sz="8" w:color="auto"/>
            </w:tcBorders>
          </w:tcPr>
          <w:p>
            <w:pPr>
              <w:jc w:val="right"/>
              <w:ind w:right="1893"/>
              <w:spacing w:after="0"/>
              <w:rPr>
                <w:sz w:val="20"/>
                <w:szCs w:val="20"/>
                <w:color w:val="auto"/>
              </w:rPr>
            </w:pPr>
            <w:r>
              <w:rPr>
                <w:rFonts w:ascii="Arial" w:cs="Arial" w:eastAsia="Arial" w:hAnsi="Arial"/>
                <w:sz w:val="21"/>
                <w:szCs w:val="21"/>
                <w:color w:val="auto"/>
              </w:rPr>
              <w:t>1-9614</w:t>
            </w:r>
          </w:p>
        </w:tc>
        <w:tc>
          <w:tcPr>
            <w:tcW w:w="160" w:type="dxa"/>
            <w:vAlign w:val="bottom"/>
            <w:tcBorders>
              <w:bottom w:val="single" w:sz="8" w:color="auto"/>
            </w:tcBorders>
          </w:tcPr>
          <w:p>
            <w:pPr>
              <w:spacing w:after="0"/>
              <w:rPr>
                <w:sz w:val="24"/>
                <w:szCs w:val="24"/>
                <w:color w:val="auto"/>
              </w:rPr>
            </w:pPr>
          </w:p>
        </w:tc>
        <w:tc>
          <w:tcPr>
            <w:tcW w:w="230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VAIL RESORTS 401(k) RETIREMENT PLAN</w:t>
      </w:r>
    </w:p>
    <w:p>
      <w:pPr>
        <w:spacing w:after="0" w:line="21" w:lineRule="exact"/>
        <w:rPr>
          <w:sz w:val="24"/>
          <w:szCs w:val="24"/>
          <w:color w:val="auto"/>
        </w:rPr>
      </w:pPr>
    </w:p>
    <w:p>
      <w:pPr>
        <w:ind w:left="860"/>
        <w:spacing w:after="0"/>
        <w:rPr>
          <w:sz w:val="20"/>
          <w:szCs w:val="20"/>
          <w:color w:val="auto"/>
        </w:rPr>
      </w:pPr>
      <w:r>
        <w:rPr>
          <w:rFonts w:ascii="Arial" w:cs="Arial" w:eastAsia="Arial" w:hAnsi="Arial"/>
          <w:sz w:val="21"/>
          <w:szCs w:val="21"/>
          <w:color w:val="auto"/>
        </w:rPr>
        <w:t>-------------------------------------------------------------------------------------------------------</w:t>
      </w:r>
    </w:p>
    <w:p>
      <w:pPr>
        <w:jc w:val="center"/>
        <w:spacing w:after="0"/>
        <w:rPr>
          <w:sz w:val="20"/>
          <w:szCs w:val="20"/>
          <w:color w:val="auto"/>
        </w:rPr>
      </w:pPr>
      <w:r>
        <w:rPr>
          <w:rFonts w:ascii="Arial" w:cs="Arial" w:eastAsia="Arial" w:hAnsi="Arial"/>
          <w:sz w:val="21"/>
          <w:szCs w:val="21"/>
          <w:color w:val="auto"/>
        </w:rPr>
        <w:t>(Full Title of the Plan)</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VAIL RESORTS,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137 Benchmark Road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Avon, Colorado 81620</w:t>
      </w:r>
    </w:p>
    <w:p>
      <w:pPr>
        <w:ind w:left="500"/>
        <w:spacing w:after="0"/>
        <w:rPr>
          <w:sz w:val="20"/>
          <w:szCs w:val="20"/>
          <w:color w:val="auto"/>
        </w:rPr>
      </w:pPr>
      <w:r>
        <w:rPr>
          <w:rFonts w:ascii="Arial" w:cs="Arial" w:eastAsia="Arial" w:hAnsi="Arial"/>
          <w:sz w:val="21"/>
          <w:szCs w:val="21"/>
          <w:color w:val="auto"/>
        </w:rPr>
        <w:t>-----------------------------------------------------------------------------------------------------------------</w:t>
      </w:r>
    </w:p>
    <w:p>
      <w:pPr>
        <w:jc w:val="center"/>
        <w:spacing w:after="0"/>
        <w:rPr>
          <w:sz w:val="20"/>
          <w:szCs w:val="20"/>
          <w:color w:val="auto"/>
        </w:rPr>
      </w:pPr>
      <w:r>
        <w:rPr>
          <w:rFonts w:ascii="Arial" w:cs="Arial" w:eastAsia="Arial" w:hAnsi="Arial"/>
          <w:sz w:val="19"/>
          <w:szCs w:val="19"/>
          <w:color w:val="auto"/>
        </w:rPr>
        <w:t>(Name of issuer of the securities held pursuant to the plan and address of its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left="120" w:right="119"/>
        <w:spacing w:after="0" w:line="455" w:lineRule="auto"/>
        <w:rPr>
          <w:sz w:val="20"/>
          <w:szCs w:val="20"/>
          <w:color w:val="auto"/>
        </w:rPr>
      </w:pPr>
      <w:r>
        <w:rPr>
          <w:rFonts w:ascii="Arial" w:cs="Arial" w:eastAsia="Arial" w:hAnsi="Arial"/>
          <w:sz w:val="21"/>
          <w:szCs w:val="21"/>
          <w:u w:val="single" w:color="auto"/>
          <w:color w:val="auto"/>
        </w:rPr>
        <w:t>VAIL RESORTS 401(k) RETIREMENT PLAN INDEX TO THE FINANCIAL STATEMENTS AND SUPPLEMENTAL SCHEDULE DECEMBER 31, 2002 AND 2001</w:t>
      </w:r>
    </w:p>
    <w:tbl>
      <w:tblPr>
        <w:tblLayout w:type="fixed"/>
        <w:tblInd w:w="360" w:type="dxa"/>
        <w:tblCellMar>
          <w:top w:w="0" w:type="dxa"/>
          <w:left w:w="0" w:type="dxa"/>
          <w:bottom w:w="0" w:type="dxa"/>
          <w:right w:w="0" w:type="dxa"/>
        </w:tblCellMar>
      </w:tblPr>
      <w:tr>
        <w:trPr>
          <w:trHeight w:val="223"/>
        </w:trPr>
        <w:tc>
          <w:tcPr>
            <w:tcW w:w="7620" w:type="dxa"/>
            <w:vAlign w:val="bottom"/>
          </w:tcPr>
          <w:p>
            <w:pPr>
              <w:spacing w:after="0"/>
              <w:rPr>
                <w:sz w:val="19"/>
                <w:szCs w:val="19"/>
                <w:color w:val="auto"/>
              </w:rPr>
            </w:pPr>
          </w:p>
        </w:tc>
        <w:tc>
          <w:tcPr>
            <w:tcW w:w="640" w:type="dxa"/>
            <w:vAlign w:val="bottom"/>
            <w:tcBorders>
              <w:bottom w:val="single" w:sz="8" w:color="auto"/>
            </w:tcBorders>
          </w:tcPr>
          <w:p>
            <w:pPr>
              <w:spacing w:after="0" w:line="223" w:lineRule="exact"/>
              <w:rPr>
                <w:sz w:val="20"/>
                <w:szCs w:val="20"/>
                <w:color w:val="auto"/>
              </w:rPr>
            </w:pPr>
            <w:r>
              <w:rPr>
                <w:rFonts w:ascii="Arial" w:cs="Arial" w:eastAsia="Arial" w:hAnsi="Arial"/>
                <w:sz w:val="21"/>
                <w:szCs w:val="21"/>
                <w:color w:val="auto"/>
                <w:w w:val="84"/>
              </w:rPr>
              <w:t>Page(s)</w:t>
            </w:r>
          </w:p>
        </w:tc>
        <w:tc>
          <w:tcPr>
            <w:tcW w:w="40" w:type="dxa"/>
            <w:vAlign w:val="bottom"/>
          </w:tcPr>
          <w:p>
            <w:pPr>
              <w:spacing w:after="0"/>
              <w:rPr>
                <w:sz w:val="19"/>
                <w:szCs w:val="19"/>
                <w:color w:val="auto"/>
              </w:rPr>
            </w:pPr>
          </w:p>
        </w:tc>
      </w:tr>
      <w:tr>
        <w:trPr>
          <w:trHeight w:val="565"/>
        </w:trPr>
        <w:tc>
          <w:tcPr>
            <w:tcW w:w="7620" w:type="dxa"/>
            <w:vAlign w:val="bottom"/>
          </w:tcPr>
          <w:p>
            <w:pPr>
              <w:spacing w:after="0"/>
              <w:rPr>
                <w:sz w:val="20"/>
                <w:szCs w:val="20"/>
                <w:color w:val="auto"/>
              </w:rPr>
            </w:pPr>
            <w:r>
              <w:rPr>
                <w:rFonts w:ascii="Arial" w:cs="Arial" w:eastAsia="Arial" w:hAnsi="Arial"/>
                <w:sz w:val="21"/>
                <w:szCs w:val="21"/>
                <w:color w:val="auto"/>
              </w:rPr>
              <w:t>REPORT OF INDEPENDENT PUBLIC AUDITORS</w:t>
            </w:r>
          </w:p>
        </w:tc>
        <w:tc>
          <w:tcPr>
            <w:tcW w:w="680" w:type="dxa"/>
            <w:vAlign w:val="bottom"/>
            <w:gridSpan w:val="2"/>
          </w:tcPr>
          <w:p>
            <w:pPr>
              <w:jc w:val="right"/>
              <w:spacing w:after="0"/>
              <w:rPr>
                <w:sz w:val="20"/>
                <w:szCs w:val="20"/>
                <w:color w:val="auto"/>
              </w:rPr>
            </w:pPr>
            <w:r>
              <w:rPr>
                <w:rFonts w:ascii="Arial" w:cs="Arial" w:eastAsia="Arial" w:hAnsi="Arial"/>
                <w:sz w:val="21"/>
                <w:szCs w:val="21"/>
                <w:color w:val="auto"/>
              </w:rPr>
              <w:t>1</w:t>
            </w:r>
          </w:p>
        </w:tc>
      </w:tr>
      <w:tr>
        <w:trPr>
          <w:trHeight w:val="534"/>
        </w:trPr>
        <w:tc>
          <w:tcPr>
            <w:tcW w:w="7620" w:type="dxa"/>
            <w:vAlign w:val="bottom"/>
          </w:tcPr>
          <w:p>
            <w:pPr>
              <w:spacing w:after="0"/>
              <w:rPr>
                <w:sz w:val="20"/>
                <w:szCs w:val="20"/>
                <w:color w:val="auto"/>
              </w:rPr>
            </w:pPr>
            <w:r>
              <w:rPr>
                <w:rFonts w:ascii="Arial" w:cs="Arial" w:eastAsia="Arial" w:hAnsi="Arial"/>
                <w:sz w:val="21"/>
                <w:szCs w:val="21"/>
                <w:color w:val="auto"/>
              </w:rPr>
              <w:t>FINANCIAL STATEMENTS:</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34"/>
        </w:trPr>
        <w:tc>
          <w:tcPr>
            <w:tcW w:w="7620" w:type="dxa"/>
            <w:vAlign w:val="bottom"/>
          </w:tcPr>
          <w:p>
            <w:pPr>
              <w:ind w:left="340"/>
              <w:spacing w:after="0"/>
              <w:rPr>
                <w:sz w:val="20"/>
                <w:szCs w:val="20"/>
                <w:color w:val="auto"/>
              </w:rPr>
            </w:pPr>
            <w:r>
              <w:rPr>
                <w:rFonts w:ascii="Arial" w:cs="Arial" w:eastAsia="Arial" w:hAnsi="Arial"/>
                <w:sz w:val="21"/>
                <w:szCs w:val="21"/>
                <w:color w:val="auto"/>
                <w:w w:val="93"/>
              </w:rPr>
              <w:t>Statements of Net Assets Available for Benefits as of December 31, 2002 and 2001</w:t>
            </w:r>
          </w:p>
        </w:tc>
        <w:tc>
          <w:tcPr>
            <w:tcW w:w="680" w:type="dxa"/>
            <w:vAlign w:val="bottom"/>
            <w:gridSpan w:val="2"/>
          </w:tcPr>
          <w:p>
            <w:pPr>
              <w:jc w:val="right"/>
              <w:spacing w:after="0"/>
              <w:rPr>
                <w:sz w:val="20"/>
                <w:szCs w:val="20"/>
                <w:color w:val="auto"/>
              </w:rPr>
            </w:pPr>
            <w:r>
              <w:rPr>
                <w:rFonts w:ascii="Arial" w:cs="Arial" w:eastAsia="Arial" w:hAnsi="Arial"/>
                <w:sz w:val="21"/>
                <w:szCs w:val="21"/>
                <w:color w:val="auto"/>
              </w:rPr>
              <w:t>2</w:t>
            </w:r>
          </w:p>
        </w:tc>
      </w:tr>
      <w:tr>
        <w:trPr>
          <w:trHeight w:val="502"/>
        </w:trPr>
        <w:tc>
          <w:tcPr>
            <w:tcW w:w="7620" w:type="dxa"/>
            <w:vAlign w:val="bottom"/>
          </w:tcPr>
          <w:p>
            <w:pPr>
              <w:ind w:left="340"/>
              <w:spacing w:after="0"/>
              <w:rPr>
                <w:sz w:val="20"/>
                <w:szCs w:val="20"/>
                <w:color w:val="auto"/>
              </w:rPr>
            </w:pPr>
            <w:r>
              <w:rPr>
                <w:rFonts w:ascii="Arial" w:cs="Arial" w:eastAsia="Arial" w:hAnsi="Arial"/>
                <w:sz w:val="21"/>
                <w:szCs w:val="21"/>
                <w:color w:val="auto"/>
              </w:rPr>
              <w:t>Statement of Changes in Net Assets Available for Benefits for the Year Ended</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2"/>
        </w:trPr>
        <w:tc>
          <w:tcPr>
            <w:tcW w:w="7620" w:type="dxa"/>
            <w:vAlign w:val="bottom"/>
          </w:tcPr>
          <w:p>
            <w:pPr>
              <w:ind w:left="340"/>
              <w:spacing w:after="0"/>
              <w:rPr>
                <w:sz w:val="20"/>
                <w:szCs w:val="20"/>
                <w:color w:val="auto"/>
              </w:rPr>
            </w:pPr>
            <w:r>
              <w:rPr>
                <w:rFonts w:ascii="Arial" w:cs="Arial" w:eastAsia="Arial" w:hAnsi="Arial"/>
                <w:sz w:val="21"/>
                <w:szCs w:val="21"/>
                <w:color w:val="auto"/>
              </w:rPr>
              <w:t>December 31, 2002</w:t>
            </w:r>
          </w:p>
        </w:tc>
        <w:tc>
          <w:tcPr>
            <w:tcW w:w="680" w:type="dxa"/>
            <w:vAlign w:val="bottom"/>
            <w:gridSpan w:val="2"/>
          </w:tcPr>
          <w:p>
            <w:pPr>
              <w:jc w:val="right"/>
              <w:spacing w:after="0"/>
              <w:rPr>
                <w:sz w:val="20"/>
                <w:szCs w:val="20"/>
                <w:color w:val="auto"/>
              </w:rPr>
            </w:pPr>
            <w:r>
              <w:rPr>
                <w:rFonts w:ascii="Arial" w:cs="Arial" w:eastAsia="Arial" w:hAnsi="Arial"/>
                <w:sz w:val="21"/>
                <w:szCs w:val="21"/>
                <w:color w:val="auto"/>
              </w:rPr>
              <w:t>3</w:t>
            </w:r>
          </w:p>
        </w:tc>
      </w:tr>
      <w:tr>
        <w:trPr>
          <w:trHeight w:val="534"/>
        </w:trPr>
        <w:tc>
          <w:tcPr>
            <w:tcW w:w="7620" w:type="dxa"/>
            <w:vAlign w:val="bottom"/>
          </w:tcPr>
          <w:p>
            <w:pPr>
              <w:spacing w:after="0"/>
              <w:rPr>
                <w:sz w:val="20"/>
                <w:szCs w:val="20"/>
                <w:color w:val="auto"/>
              </w:rPr>
            </w:pPr>
            <w:r>
              <w:rPr>
                <w:rFonts w:ascii="Arial" w:cs="Arial" w:eastAsia="Arial" w:hAnsi="Arial"/>
                <w:sz w:val="21"/>
                <w:szCs w:val="21"/>
                <w:color w:val="auto"/>
              </w:rPr>
              <w:t>NOTES TO FINANCIAL STATEMENTS</w:t>
            </w:r>
          </w:p>
        </w:tc>
        <w:tc>
          <w:tcPr>
            <w:tcW w:w="680" w:type="dxa"/>
            <w:vAlign w:val="bottom"/>
            <w:gridSpan w:val="2"/>
          </w:tcPr>
          <w:p>
            <w:pPr>
              <w:jc w:val="right"/>
              <w:spacing w:after="0"/>
              <w:rPr>
                <w:sz w:val="20"/>
                <w:szCs w:val="20"/>
                <w:color w:val="auto"/>
              </w:rPr>
            </w:pPr>
            <w:r>
              <w:rPr>
                <w:rFonts w:ascii="Arial" w:cs="Arial" w:eastAsia="Arial" w:hAnsi="Arial"/>
                <w:sz w:val="21"/>
                <w:szCs w:val="21"/>
                <w:color w:val="auto"/>
              </w:rPr>
              <w:t>4-9</w:t>
            </w:r>
          </w:p>
        </w:tc>
      </w:tr>
      <w:tr>
        <w:trPr>
          <w:trHeight w:val="534"/>
        </w:trPr>
        <w:tc>
          <w:tcPr>
            <w:tcW w:w="7620" w:type="dxa"/>
            <w:vAlign w:val="bottom"/>
          </w:tcPr>
          <w:p>
            <w:pPr>
              <w:spacing w:after="0"/>
              <w:rPr>
                <w:sz w:val="20"/>
                <w:szCs w:val="20"/>
                <w:color w:val="auto"/>
              </w:rPr>
            </w:pPr>
            <w:r>
              <w:rPr>
                <w:rFonts w:ascii="Arial" w:cs="Arial" w:eastAsia="Arial" w:hAnsi="Arial"/>
                <w:sz w:val="21"/>
                <w:szCs w:val="21"/>
                <w:color w:val="auto"/>
              </w:rPr>
              <w:t>SUPPLEMENTAL SCHEDULE:</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02"/>
        </w:trPr>
        <w:tc>
          <w:tcPr>
            <w:tcW w:w="7620" w:type="dxa"/>
            <w:vAlign w:val="bottom"/>
          </w:tcPr>
          <w:p>
            <w:pPr>
              <w:ind w:left="340"/>
              <w:spacing w:after="0"/>
              <w:rPr>
                <w:sz w:val="20"/>
                <w:szCs w:val="20"/>
                <w:color w:val="auto"/>
              </w:rPr>
            </w:pPr>
            <w:r>
              <w:rPr>
                <w:rFonts w:ascii="Arial" w:cs="Arial" w:eastAsia="Arial" w:hAnsi="Arial"/>
                <w:sz w:val="21"/>
                <w:szCs w:val="21"/>
                <w:color w:val="auto"/>
                <w:w w:val="93"/>
              </w:rPr>
              <w:t>Schedule H, Line 4i - Schedule of Assets (Held at End of Year) as of December 31,</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2"/>
        </w:trPr>
        <w:tc>
          <w:tcPr>
            <w:tcW w:w="7620" w:type="dxa"/>
            <w:vAlign w:val="bottom"/>
          </w:tcPr>
          <w:p>
            <w:pPr>
              <w:ind w:left="340"/>
              <w:spacing w:after="0"/>
              <w:rPr>
                <w:sz w:val="20"/>
                <w:szCs w:val="20"/>
                <w:color w:val="auto"/>
              </w:rPr>
            </w:pPr>
            <w:r>
              <w:rPr>
                <w:rFonts w:ascii="Arial" w:cs="Arial" w:eastAsia="Arial" w:hAnsi="Arial"/>
                <w:sz w:val="21"/>
                <w:szCs w:val="21"/>
                <w:color w:val="auto"/>
              </w:rPr>
              <w:t>2002</w:t>
            </w:r>
          </w:p>
        </w:tc>
        <w:tc>
          <w:tcPr>
            <w:tcW w:w="680" w:type="dxa"/>
            <w:vAlign w:val="bottom"/>
            <w:gridSpan w:val="2"/>
          </w:tcPr>
          <w:p>
            <w:pPr>
              <w:jc w:val="right"/>
              <w:spacing w:after="0"/>
              <w:rPr>
                <w:sz w:val="20"/>
                <w:szCs w:val="20"/>
                <w:color w:val="auto"/>
              </w:rPr>
            </w:pPr>
            <w:r>
              <w:rPr>
                <w:rFonts w:ascii="Arial" w:cs="Arial" w:eastAsia="Arial" w:hAnsi="Arial"/>
                <w:sz w:val="21"/>
                <w:szCs w:val="21"/>
                <w:color w:val="auto"/>
              </w:rPr>
              <w:t>10</w:t>
            </w:r>
          </w:p>
        </w:tc>
      </w:tr>
    </w:tbl>
    <w:p>
      <w:pPr>
        <w:sectPr>
          <w:pgSz w:w="11900" w:h="16838" w:orient="portrait"/>
          <w:cols w:equalWidth="0" w:num="1">
            <w:col w:w="9019"/>
          </w:cols>
          <w:pgMar w:left="1440" w:top="231" w:right="1440"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21"/>
          <w:szCs w:val="21"/>
          <w:u w:val="single" w:color="auto"/>
          <w:color w:val="auto"/>
        </w:rPr>
        <w:t>Report of Independent Auditors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color w:val="auto"/>
        </w:rPr>
        <w:t>To the Participants and Administrator of</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Vail Resorts 401(k) Retirement Plan:</w:t>
      </w:r>
    </w:p>
    <w:p>
      <w:pPr>
        <w:spacing w:after="0" w:line="212"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In our opinion, the accompanying statement of net assets available for benefits and the related statement of changes in net assets available for benefits present fairly, in all material respects, the net assets available for benefits of Vail Resorts 401(k) Retirement Plan (the "Plan") at December 31, 2002 and the changes in net assets available for benefits for the year ended December 31, 2002 in conformity with accounting principles generally accepted in the United States of America. These financial statements are the responsibility of the Plan's management; our responsibility is to express an opinion on these financial statements based on our audit. We conducted our audit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 The statement of net assets available for benefits of the Plan as of December 31, 2001 were audited by other independent accountants who have ceased operations. Those independent accountants expressed an unqualified opinion on those financial statements in their report dated June 27, 2002.</w:t>
      </w:r>
    </w:p>
    <w:p>
      <w:pPr>
        <w:spacing w:after="0" w:line="173"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Our audits were conducted for the purpose of forming an opinion on the basic financial statements taken as a whole. The supplemental schedule of assets (held at end of year) as of December 31, 2002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 of the basic financial statements and, in our opinion, are fairly stated in all material respects in relation to the basic financial statements taken as a whole.</w:t>
      </w:r>
    </w:p>
    <w:p>
      <w:pPr>
        <w:spacing w:after="0" w:line="200" w:lineRule="exact"/>
        <w:rPr>
          <w:sz w:val="20"/>
          <w:szCs w:val="20"/>
          <w:color w:val="auto"/>
        </w:rPr>
      </w:pPr>
    </w:p>
    <w:p>
      <w:pPr>
        <w:spacing w:after="0" w:line="385" w:lineRule="exact"/>
        <w:rPr>
          <w:sz w:val="20"/>
          <w:szCs w:val="20"/>
          <w:color w:val="auto"/>
        </w:rPr>
      </w:pPr>
    </w:p>
    <w:p>
      <w:pPr>
        <w:ind w:left="760"/>
        <w:spacing w:after="0"/>
        <w:rPr>
          <w:sz w:val="20"/>
          <w:szCs w:val="20"/>
          <w:color w:val="auto"/>
        </w:rPr>
      </w:pPr>
      <w:r>
        <w:rPr>
          <w:rFonts w:ascii="Arial" w:cs="Arial" w:eastAsia="Arial" w:hAnsi="Arial"/>
          <w:sz w:val="21"/>
          <w:szCs w:val="21"/>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-12065</wp:posOffset>
            </wp:positionV>
            <wp:extent cx="23228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Denver, Colorado</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July 11,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300" w:right="2800"/>
        <w:spacing w:after="0" w:line="455" w:lineRule="auto"/>
        <w:rPr>
          <w:sz w:val="20"/>
          <w:szCs w:val="20"/>
          <w:color w:val="auto"/>
        </w:rPr>
      </w:pPr>
      <w:r>
        <w:rPr>
          <w:rFonts w:ascii="Arial" w:cs="Arial" w:eastAsia="Arial" w:hAnsi="Arial"/>
          <w:sz w:val="21"/>
          <w:szCs w:val="21"/>
          <w:u w:val="single" w:color="auto"/>
          <w:color w:val="auto"/>
        </w:rPr>
        <w:t>VAIL RESORTS 401(k) RETIREMENT PLAN STATEMENTS OF NET ASSETS AVAILABLE FOR BENEFITS AS OF DECEMBER 31, 2002 AND 2001</w:t>
      </w:r>
    </w:p>
    <w:tbl>
      <w:tblPr>
        <w:tblLayout w:type="fixed"/>
        <w:tblInd w:w="1460" w:type="dxa"/>
        <w:tblCellMar>
          <w:top w:w="0" w:type="dxa"/>
          <w:left w:w="0" w:type="dxa"/>
          <w:bottom w:w="0" w:type="dxa"/>
          <w:right w:w="0" w:type="dxa"/>
        </w:tblCellMar>
      </w:tblPr>
      <w:tr>
        <w:trPr>
          <w:trHeight w:val="223"/>
        </w:trPr>
        <w:tc>
          <w:tcPr>
            <w:tcW w:w="2600" w:type="dxa"/>
            <w:vAlign w:val="bottom"/>
          </w:tcPr>
          <w:p>
            <w:pPr>
              <w:spacing w:after="0"/>
              <w:rPr>
                <w:sz w:val="19"/>
                <w:szCs w:val="19"/>
                <w:color w:val="auto"/>
              </w:rPr>
            </w:pPr>
          </w:p>
        </w:tc>
        <w:tc>
          <w:tcPr>
            <w:tcW w:w="780" w:type="dxa"/>
            <w:vAlign w:val="bottom"/>
          </w:tcPr>
          <w:p>
            <w:pPr>
              <w:spacing w:after="0" w:line="223" w:lineRule="exact"/>
              <w:rPr>
                <w:sz w:val="20"/>
                <w:szCs w:val="20"/>
                <w:color w:val="auto"/>
              </w:rPr>
            </w:pPr>
            <w:r>
              <w:rPr>
                <w:rFonts w:ascii="Arial" w:cs="Arial" w:eastAsia="Arial" w:hAnsi="Arial"/>
                <w:sz w:val="21"/>
                <w:szCs w:val="21"/>
                <w:color w:val="auto"/>
                <w:w w:val="91"/>
              </w:rPr>
              <w:t>ASSETS</w:t>
            </w:r>
          </w:p>
        </w:tc>
        <w:tc>
          <w:tcPr>
            <w:tcW w:w="1700" w:type="dxa"/>
            <w:vAlign w:val="bottom"/>
          </w:tcPr>
          <w:p>
            <w:pPr>
              <w:spacing w:after="0"/>
              <w:rPr>
                <w:sz w:val="19"/>
                <w:szCs w:val="19"/>
                <w:color w:val="auto"/>
              </w:rPr>
            </w:pPr>
          </w:p>
        </w:tc>
        <w:tc>
          <w:tcPr>
            <w:tcW w:w="2160" w:type="dxa"/>
            <w:vAlign w:val="bottom"/>
            <w:gridSpan w:val="4"/>
          </w:tcPr>
          <w:p>
            <w:pPr>
              <w:jc w:val="right"/>
              <w:ind w:right="420"/>
              <w:spacing w:after="0" w:line="223" w:lineRule="exact"/>
              <w:rPr>
                <w:sz w:val="20"/>
                <w:szCs w:val="20"/>
                <w:color w:val="auto"/>
              </w:rPr>
            </w:pPr>
            <w:r>
              <w:rPr>
                <w:rFonts w:ascii="Arial" w:cs="Arial" w:eastAsia="Arial" w:hAnsi="Arial"/>
                <w:sz w:val="21"/>
                <w:szCs w:val="21"/>
                <w:color w:val="auto"/>
              </w:rPr>
              <w:t>2002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400"/>
              <w:spacing w:after="0" w:line="223" w:lineRule="exact"/>
              <w:rPr>
                <w:sz w:val="20"/>
                <w:szCs w:val="20"/>
                <w:color w:val="auto"/>
              </w:rPr>
            </w:pPr>
            <w:r>
              <w:rPr>
                <w:rFonts w:ascii="Arial" w:cs="Arial" w:eastAsia="Arial" w:hAnsi="Arial"/>
                <w:sz w:val="21"/>
                <w:szCs w:val="21"/>
                <w:color w:val="auto"/>
              </w:rPr>
              <w:t>2001</w:t>
            </w:r>
          </w:p>
        </w:tc>
      </w:tr>
      <w:tr>
        <w:trPr>
          <w:trHeight w:val="20"/>
        </w:trPr>
        <w:tc>
          <w:tcPr>
            <w:tcW w:w="2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59"/>
        </w:trPr>
        <w:tc>
          <w:tcPr>
            <w:tcW w:w="5080" w:type="dxa"/>
            <w:vAlign w:val="bottom"/>
            <w:gridSpan w:val="3"/>
          </w:tcPr>
          <w:p>
            <w:pPr>
              <w:spacing w:after="0"/>
              <w:rPr>
                <w:sz w:val="20"/>
                <w:szCs w:val="20"/>
                <w:color w:val="auto"/>
              </w:rPr>
            </w:pPr>
            <w:r>
              <w:rPr>
                <w:rFonts w:ascii="Arial" w:cs="Arial" w:eastAsia="Arial" w:hAnsi="Arial"/>
                <w:sz w:val="21"/>
                <w:szCs w:val="21"/>
                <w:color w:val="auto"/>
              </w:rPr>
              <w:t>INVESTMENTS, at fair value (Notes 2 and 3):</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67"/>
        </w:trPr>
        <w:tc>
          <w:tcPr>
            <w:tcW w:w="5080" w:type="dxa"/>
            <w:vAlign w:val="bottom"/>
            <w:gridSpan w:val="3"/>
          </w:tcPr>
          <w:p>
            <w:pPr>
              <w:ind w:left="440"/>
              <w:spacing w:after="0"/>
              <w:rPr>
                <w:sz w:val="20"/>
                <w:szCs w:val="20"/>
                <w:color w:val="auto"/>
              </w:rPr>
            </w:pPr>
            <w:r>
              <w:rPr>
                <w:rFonts w:ascii="Arial" w:cs="Arial" w:eastAsia="Arial" w:hAnsi="Arial"/>
                <w:sz w:val="21"/>
                <w:szCs w:val="21"/>
                <w:color w:val="auto"/>
              </w:rPr>
              <w:t>Money market funds</w:t>
            </w:r>
          </w:p>
        </w:tc>
        <w:tc>
          <w:tcPr>
            <w:tcW w:w="2160" w:type="dxa"/>
            <w:vAlign w:val="bottom"/>
            <w:gridSpan w:val="4"/>
          </w:tcPr>
          <w:p>
            <w:pPr>
              <w:jc w:val="right"/>
              <w:spacing w:after="0"/>
              <w:rPr>
                <w:sz w:val="20"/>
                <w:szCs w:val="20"/>
                <w:color w:val="auto"/>
              </w:rPr>
            </w:pPr>
            <w:r>
              <w:rPr>
                <w:rFonts w:ascii="Arial" w:cs="Arial" w:eastAsia="Arial" w:hAnsi="Arial"/>
                <w:sz w:val="21"/>
                <w:szCs w:val="21"/>
                <w:color w:val="auto"/>
              </w:rPr>
              <w:t>$  7,581,498</w:t>
            </w:r>
          </w:p>
        </w:tc>
        <w:tc>
          <w:tcPr>
            <w:tcW w:w="280" w:type="dxa"/>
            <w:vAlign w:val="bottom"/>
            <w:gridSpan w:val="3"/>
          </w:tcPr>
          <w:p>
            <w:pPr>
              <w:jc w:val="right"/>
              <w:ind w:right="40"/>
              <w:spacing w:after="0"/>
              <w:rPr>
                <w:sz w:val="20"/>
                <w:szCs w:val="20"/>
                <w:color w:val="auto"/>
              </w:rPr>
            </w:pPr>
            <w:r>
              <w:rPr>
                <w:rFonts w:ascii="Arial" w:cs="Arial" w:eastAsia="Arial" w:hAnsi="Arial"/>
                <w:sz w:val="21"/>
                <w:szCs w:val="21"/>
                <w:color w:val="auto"/>
              </w:rPr>
              <w:t>$</w:t>
            </w:r>
          </w:p>
        </w:tc>
        <w:tc>
          <w:tcPr>
            <w:tcW w:w="980" w:type="dxa"/>
            <w:vAlign w:val="bottom"/>
            <w:gridSpan w:val="3"/>
          </w:tcPr>
          <w:p>
            <w:pPr>
              <w:jc w:val="right"/>
              <w:spacing w:after="0"/>
              <w:rPr>
                <w:sz w:val="20"/>
                <w:szCs w:val="20"/>
                <w:color w:val="auto"/>
              </w:rPr>
            </w:pPr>
            <w:r>
              <w:rPr>
                <w:rFonts w:ascii="Arial" w:cs="Arial" w:eastAsia="Arial" w:hAnsi="Arial"/>
                <w:sz w:val="21"/>
                <w:szCs w:val="21"/>
                <w:color w:val="auto"/>
              </w:rPr>
              <w:t>4,968,662</w:t>
            </w:r>
          </w:p>
        </w:tc>
      </w:tr>
      <w:tr>
        <w:trPr>
          <w:trHeight w:val="267"/>
        </w:trPr>
        <w:tc>
          <w:tcPr>
            <w:tcW w:w="5080" w:type="dxa"/>
            <w:vAlign w:val="bottom"/>
            <w:gridSpan w:val="3"/>
          </w:tcPr>
          <w:p>
            <w:pPr>
              <w:ind w:left="440"/>
              <w:spacing w:after="0"/>
              <w:rPr>
                <w:sz w:val="20"/>
                <w:szCs w:val="20"/>
                <w:color w:val="auto"/>
              </w:rPr>
            </w:pPr>
            <w:r>
              <w:rPr>
                <w:rFonts w:ascii="Arial" w:cs="Arial" w:eastAsia="Arial" w:hAnsi="Arial"/>
                <w:sz w:val="21"/>
                <w:szCs w:val="21"/>
                <w:color w:val="auto"/>
              </w:rPr>
              <w:t>Mutual funds</w:t>
            </w:r>
          </w:p>
        </w:tc>
        <w:tc>
          <w:tcPr>
            <w:tcW w:w="2160" w:type="dxa"/>
            <w:vAlign w:val="bottom"/>
            <w:gridSpan w:val="4"/>
          </w:tcPr>
          <w:p>
            <w:pPr>
              <w:jc w:val="right"/>
              <w:spacing w:after="0"/>
              <w:rPr>
                <w:sz w:val="20"/>
                <w:szCs w:val="20"/>
                <w:color w:val="auto"/>
              </w:rPr>
            </w:pPr>
            <w:r>
              <w:rPr>
                <w:rFonts w:ascii="Arial" w:cs="Arial" w:eastAsia="Arial" w:hAnsi="Arial"/>
                <w:sz w:val="21"/>
                <w:szCs w:val="21"/>
                <w:color w:val="auto"/>
              </w:rPr>
              <w:t>46,133,600</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3"/>
          </w:tcPr>
          <w:p>
            <w:pPr>
              <w:jc w:val="right"/>
              <w:spacing w:after="0"/>
              <w:rPr>
                <w:sz w:val="20"/>
                <w:szCs w:val="20"/>
                <w:color w:val="auto"/>
              </w:rPr>
            </w:pPr>
            <w:r>
              <w:rPr>
                <w:rFonts w:ascii="Arial" w:cs="Arial" w:eastAsia="Arial" w:hAnsi="Arial"/>
                <w:sz w:val="21"/>
                <w:szCs w:val="21"/>
                <w:color w:val="auto"/>
                <w:w w:val="91"/>
              </w:rPr>
              <w:t>46,003,319</w:t>
            </w:r>
          </w:p>
        </w:tc>
      </w:tr>
      <w:tr>
        <w:trPr>
          <w:trHeight w:val="267"/>
        </w:trPr>
        <w:tc>
          <w:tcPr>
            <w:tcW w:w="5080" w:type="dxa"/>
            <w:vAlign w:val="bottom"/>
            <w:gridSpan w:val="3"/>
          </w:tcPr>
          <w:p>
            <w:pPr>
              <w:ind w:left="440"/>
              <w:spacing w:after="0"/>
              <w:rPr>
                <w:sz w:val="20"/>
                <w:szCs w:val="20"/>
                <w:color w:val="auto"/>
              </w:rPr>
            </w:pPr>
            <w:r>
              <w:rPr>
                <w:rFonts w:ascii="Arial" w:cs="Arial" w:eastAsia="Arial" w:hAnsi="Arial"/>
                <w:sz w:val="21"/>
                <w:szCs w:val="21"/>
                <w:color w:val="auto"/>
              </w:rPr>
              <w:t>Vail Resorts, Inc. common stock</w:t>
            </w:r>
          </w:p>
        </w:tc>
        <w:tc>
          <w:tcPr>
            <w:tcW w:w="2160" w:type="dxa"/>
            <w:vAlign w:val="bottom"/>
            <w:gridSpan w:val="4"/>
          </w:tcPr>
          <w:p>
            <w:pPr>
              <w:jc w:val="right"/>
              <w:spacing w:after="0"/>
              <w:rPr>
                <w:sz w:val="20"/>
                <w:szCs w:val="20"/>
                <w:color w:val="auto"/>
              </w:rPr>
            </w:pPr>
            <w:r>
              <w:rPr>
                <w:rFonts w:ascii="Arial" w:cs="Arial" w:eastAsia="Arial" w:hAnsi="Arial"/>
                <w:sz w:val="21"/>
                <w:szCs w:val="21"/>
                <w:color w:val="auto"/>
              </w:rPr>
              <w:t>809,753</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3"/>
          </w:tcPr>
          <w:p>
            <w:pPr>
              <w:jc w:val="right"/>
              <w:spacing w:after="0"/>
              <w:rPr>
                <w:sz w:val="20"/>
                <w:szCs w:val="20"/>
                <w:color w:val="auto"/>
              </w:rPr>
            </w:pPr>
            <w:r>
              <w:rPr>
                <w:rFonts w:ascii="Arial" w:cs="Arial" w:eastAsia="Arial" w:hAnsi="Arial"/>
                <w:sz w:val="21"/>
                <w:szCs w:val="21"/>
                <w:color w:val="auto"/>
              </w:rPr>
              <w:t>670,194</w:t>
            </w:r>
          </w:p>
        </w:tc>
      </w:tr>
      <w:tr>
        <w:trPr>
          <w:trHeight w:val="222"/>
        </w:trPr>
        <w:tc>
          <w:tcPr>
            <w:tcW w:w="5080" w:type="dxa"/>
            <w:vAlign w:val="bottom"/>
            <w:gridSpan w:val="3"/>
          </w:tcPr>
          <w:p>
            <w:pPr>
              <w:ind w:left="440"/>
              <w:spacing w:after="0" w:line="222" w:lineRule="exact"/>
              <w:rPr>
                <w:sz w:val="20"/>
                <w:szCs w:val="20"/>
                <w:color w:val="auto"/>
              </w:rPr>
            </w:pPr>
            <w:r>
              <w:rPr>
                <w:rFonts w:ascii="Arial" w:cs="Arial" w:eastAsia="Arial" w:hAnsi="Arial"/>
                <w:sz w:val="21"/>
                <w:szCs w:val="21"/>
                <w:color w:val="auto"/>
              </w:rPr>
              <w:t>Participant loans</w:t>
            </w:r>
          </w:p>
        </w:tc>
        <w:tc>
          <w:tcPr>
            <w:tcW w:w="1020" w:type="dxa"/>
            <w:vAlign w:val="bottom"/>
          </w:tcPr>
          <w:p>
            <w:pPr>
              <w:spacing w:after="0"/>
              <w:rPr>
                <w:sz w:val="19"/>
                <w:szCs w:val="19"/>
                <w:color w:val="auto"/>
              </w:rPr>
            </w:pPr>
          </w:p>
        </w:tc>
        <w:tc>
          <w:tcPr>
            <w:tcW w:w="1140" w:type="dxa"/>
            <w:vAlign w:val="bottom"/>
            <w:tcBorders>
              <w:bottom w:val="single" w:sz="8" w:color="auto"/>
            </w:tcBorders>
            <w:gridSpan w:val="3"/>
          </w:tcPr>
          <w:p>
            <w:pPr>
              <w:jc w:val="right"/>
              <w:spacing w:after="0" w:line="222" w:lineRule="exact"/>
              <w:rPr>
                <w:sz w:val="20"/>
                <w:szCs w:val="20"/>
                <w:color w:val="auto"/>
              </w:rPr>
            </w:pPr>
            <w:r>
              <w:rPr>
                <w:rFonts w:ascii="Arial" w:cs="Arial" w:eastAsia="Arial" w:hAnsi="Arial"/>
                <w:sz w:val="21"/>
                <w:szCs w:val="21"/>
                <w:color w:val="auto"/>
              </w:rPr>
              <w:t>1,425,908</w:t>
            </w:r>
          </w:p>
        </w:tc>
        <w:tc>
          <w:tcPr>
            <w:tcW w:w="1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line="222" w:lineRule="exact"/>
              <w:rPr>
                <w:sz w:val="20"/>
                <w:szCs w:val="20"/>
                <w:color w:val="auto"/>
              </w:rPr>
            </w:pPr>
            <w:r>
              <w:rPr>
                <w:rFonts w:ascii="Arial" w:cs="Arial" w:eastAsia="Arial" w:hAnsi="Arial"/>
                <w:sz w:val="21"/>
                <w:szCs w:val="21"/>
                <w:color w:val="auto"/>
              </w:rPr>
              <w:t>1,421,876</w:t>
            </w:r>
          </w:p>
        </w:tc>
      </w:tr>
      <w:tr>
        <w:trPr>
          <w:trHeight w:val="298"/>
        </w:trPr>
        <w:tc>
          <w:tcPr>
            <w:tcW w:w="5080" w:type="dxa"/>
            <w:vAlign w:val="bottom"/>
            <w:gridSpan w:val="3"/>
          </w:tcPr>
          <w:p>
            <w:pPr>
              <w:ind w:left="780"/>
              <w:spacing w:after="0"/>
              <w:rPr>
                <w:sz w:val="20"/>
                <w:szCs w:val="20"/>
                <w:color w:val="auto"/>
              </w:rPr>
            </w:pPr>
            <w:r>
              <w:rPr>
                <w:rFonts w:ascii="Arial" w:cs="Arial" w:eastAsia="Arial" w:hAnsi="Arial"/>
                <w:sz w:val="21"/>
                <w:szCs w:val="21"/>
                <w:color w:val="auto"/>
              </w:rPr>
              <w:t>Total investments</w:t>
            </w:r>
          </w:p>
        </w:tc>
        <w:tc>
          <w:tcPr>
            <w:tcW w:w="2160" w:type="dxa"/>
            <w:vAlign w:val="bottom"/>
            <w:gridSpan w:val="4"/>
          </w:tcPr>
          <w:p>
            <w:pPr>
              <w:jc w:val="right"/>
              <w:spacing w:after="0"/>
              <w:rPr>
                <w:sz w:val="20"/>
                <w:szCs w:val="20"/>
                <w:color w:val="auto"/>
              </w:rPr>
            </w:pPr>
            <w:r>
              <w:rPr>
                <w:rFonts w:ascii="Arial" w:cs="Arial" w:eastAsia="Arial" w:hAnsi="Arial"/>
                <w:sz w:val="21"/>
                <w:szCs w:val="21"/>
                <w:color w:val="auto"/>
              </w:rPr>
              <w:t>55,950,759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21"/>
                <w:szCs w:val="21"/>
                <w:color w:val="auto"/>
                <w:w w:val="91"/>
              </w:rPr>
              <w:t>53,064,051</w:t>
            </w:r>
          </w:p>
        </w:tc>
      </w:tr>
      <w:tr>
        <w:trPr>
          <w:trHeight w:val="529"/>
        </w:trPr>
        <w:tc>
          <w:tcPr>
            <w:tcW w:w="5080" w:type="dxa"/>
            <w:vAlign w:val="bottom"/>
            <w:gridSpan w:val="3"/>
          </w:tcPr>
          <w:p>
            <w:pPr>
              <w:spacing w:after="0"/>
              <w:rPr>
                <w:sz w:val="20"/>
                <w:szCs w:val="20"/>
                <w:color w:val="auto"/>
              </w:rPr>
            </w:pPr>
            <w:r>
              <w:rPr>
                <w:rFonts w:ascii="Arial" w:cs="Arial" w:eastAsia="Arial" w:hAnsi="Arial"/>
                <w:sz w:val="21"/>
                <w:szCs w:val="21"/>
                <w:color w:val="auto"/>
              </w:rPr>
              <w:t>RECEIVABLES:</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67"/>
        </w:trPr>
        <w:tc>
          <w:tcPr>
            <w:tcW w:w="5080" w:type="dxa"/>
            <w:vAlign w:val="bottom"/>
            <w:gridSpan w:val="3"/>
          </w:tcPr>
          <w:p>
            <w:pPr>
              <w:ind w:left="440"/>
              <w:spacing w:after="0"/>
              <w:rPr>
                <w:sz w:val="20"/>
                <w:szCs w:val="20"/>
                <w:color w:val="auto"/>
              </w:rPr>
            </w:pPr>
            <w:r>
              <w:rPr>
                <w:rFonts w:ascii="Arial" w:cs="Arial" w:eastAsia="Arial" w:hAnsi="Arial"/>
                <w:sz w:val="21"/>
                <w:szCs w:val="21"/>
                <w:color w:val="auto"/>
              </w:rPr>
              <w:t>Employee contributions</w:t>
            </w:r>
          </w:p>
        </w:tc>
        <w:tc>
          <w:tcPr>
            <w:tcW w:w="2160" w:type="dxa"/>
            <w:vAlign w:val="bottom"/>
            <w:gridSpan w:val="4"/>
          </w:tcPr>
          <w:p>
            <w:pPr>
              <w:jc w:val="right"/>
              <w:spacing w:after="0"/>
              <w:rPr>
                <w:sz w:val="20"/>
                <w:szCs w:val="20"/>
                <w:color w:val="auto"/>
              </w:rPr>
            </w:pPr>
            <w:r>
              <w:rPr>
                <w:rFonts w:ascii="Arial" w:cs="Arial" w:eastAsia="Arial" w:hAnsi="Arial"/>
                <w:sz w:val="21"/>
                <w:szCs w:val="21"/>
                <w:color w:val="auto"/>
              </w:rPr>
              <w:t>8,875</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3"/>
          </w:tcPr>
          <w:p>
            <w:pPr>
              <w:jc w:val="right"/>
              <w:spacing w:after="0"/>
              <w:rPr>
                <w:sz w:val="20"/>
                <w:szCs w:val="20"/>
                <w:color w:val="auto"/>
              </w:rPr>
            </w:pPr>
            <w:r>
              <w:rPr>
                <w:rFonts w:ascii="Arial" w:cs="Arial" w:eastAsia="Arial" w:hAnsi="Arial"/>
                <w:sz w:val="21"/>
                <w:szCs w:val="21"/>
                <w:color w:val="auto"/>
              </w:rPr>
              <w:t>276,321</w:t>
            </w:r>
          </w:p>
        </w:tc>
      </w:tr>
      <w:tr>
        <w:trPr>
          <w:trHeight w:val="267"/>
        </w:trPr>
        <w:tc>
          <w:tcPr>
            <w:tcW w:w="5080" w:type="dxa"/>
            <w:vAlign w:val="bottom"/>
            <w:gridSpan w:val="3"/>
          </w:tcPr>
          <w:p>
            <w:pPr>
              <w:ind w:left="440"/>
              <w:spacing w:after="0"/>
              <w:rPr>
                <w:sz w:val="20"/>
                <w:szCs w:val="20"/>
                <w:color w:val="auto"/>
              </w:rPr>
            </w:pPr>
            <w:r>
              <w:rPr>
                <w:rFonts w:ascii="Arial" w:cs="Arial" w:eastAsia="Arial" w:hAnsi="Arial"/>
                <w:sz w:val="21"/>
                <w:szCs w:val="21"/>
                <w:color w:val="auto"/>
              </w:rPr>
              <w:t>Employer contributions, net of forfeitures</w:t>
            </w:r>
          </w:p>
        </w:tc>
        <w:tc>
          <w:tcPr>
            <w:tcW w:w="2160" w:type="dxa"/>
            <w:vAlign w:val="bottom"/>
            <w:gridSpan w:val="4"/>
          </w:tcPr>
          <w:p>
            <w:pPr>
              <w:jc w:val="right"/>
              <w:spacing w:after="0"/>
              <w:rPr>
                <w:sz w:val="20"/>
                <w:szCs w:val="20"/>
                <w:color w:val="auto"/>
              </w:rPr>
            </w:pPr>
            <w:r>
              <w:rPr>
                <w:rFonts w:ascii="Arial" w:cs="Arial" w:eastAsia="Arial" w:hAnsi="Arial"/>
                <w:sz w:val="21"/>
                <w:szCs w:val="21"/>
                <w:color w:val="auto"/>
              </w:rPr>
              <w:t>285,720</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3"/>
          </w:tcPr>
          <w:p>
            <w:pPr>
              <w:jc w:val="right"/>
              <w:spacing w:after="0"/>
              <w:rPr>
                <w:sz w:val="20"/>
                <w:szCs w:val="20"/>
                <w:color w:val="auto"/>
              </w:rPr>
            </w:pPr>
            <w:r>
              <w:rPr>
                <w:rFonts w:ascii="Arial" w:cs="Arial" w:eastAsia="Arial" w:hAnsi="Arial"/>
                <w:sz w:val="21"/>
                <w:szCs w:val="21"/>
                <w:color w:val="auto"/>
              </w:rPr>
              <w:t>82,730</w:t>
            </w:r>
          </w:p>
        </w:tc>
      </w:tr>
      <w:tr>
        <w:trPr>
          <w:trHeight w:val="222"/>
        </w:trPr>
        <w:tc>
          <w:tcPr>
            <w:tcW w:w="5080" w:type="dxa"/>
            <w:vAlign w:val="bottom"/>
            <w:gridSpan w:val="3"/>
          </w:tcPr>
          <w:p>
            <w:pPr>
              <w:ind w:left="440"/>
              <w:spacing w:after="0" w:line="222" w:lineRule="exact"/>
              <w:rPr>
                <w:sz w:val="20"/>
                <w:szCs w:val="20"/>
                <w:color w:val="auto"/>
              </w:rPr>
            </w:pPr>
            <w:r>
              <w:rPr>
                <w:rFonts w:ascii="Arial" w:cs="Arial" w:eastAsia="Arial" w:hAnsi="Arial"/>
                <w:sz w:val="21"/>
                <w:szCs w:val="21"/>
                <w:color w:val="auto"/>
              </w:rPr>
              <w:t>Other receivables (Note 4)</w:t>
            </w:r>
          </w:p>
        </w:tc>
        <w:tc>
          <w:tcPr>
            <w:tcW w:w="1020" w:type="dxa"/>
            <w:vAlign w:val="bottom"/>
          </w:tcPr>
          <w:p>
            <w:pPr>
              <w:spacing w:after="0"/>
              <w:rPr>
                <w:sz w:val="19"/>
                <w:szCs w:val="19"/>
                <w:color w:val="auto"/>
              </w:rPr>
            </w:pPr>
          </w:p>
        </w:tc>
        <w:tc>
          <w:tcPr>
            <w:tcW w:w="1140" w:type="dxa"/>
            <w:vAlign w:val="bottom"/>
            <w:tcBorders>
              <w:bottom w:val="single" w:sz="8" w:color="auto"/>
            </w:tcBorders>
            <w:gridSpan w:val="3"/>
          </w:tcPr>
          <w:p>
            <w:pPr>
              <w:jc w:val="right"/>
              <w:spacing w:after="0" w:line="222" w:lineRule="exact"/>
              <w:rPr>
                <w:sz w:val="20"/>
                <w:szCs w:val="20"/>
                <w:color w:val="auto"/>
              </w:rPr>
            </w:pPr>
            <w:r>
              <w:rPr>
                <w:rFonts w:ascii="Arial" w:cs="Arial" w:eastAsia="Arial" w:hAnsi="Arial"/>
                <w:sz w:val="21"/>
                <w:szCs w:val="21"/>
                <w:color w:val="auto"/>
              </w:rPr>
              <w:t>239,468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line="222" w:lineRule="exact"/>
              <w:rPr>
                <w:sz w:val="20"/>
                <w:szCs w:val="20"/>
                <w:color w:val="auto"/>
              </w:rPr>
            </w:pPr>
            <w:r>
              <w:rPr>
                <w:rFonts w:ascii="Arial" w:cs="Arial" w:eastAsia="Arial" w:hAnsi="Arial"/>
                <w:sz w:val="21"/>
                <w:szCs w:val="21"/>
                <w:color w:val="auto"/>
              </w:rPr>
              <w:t>--</w:t>
            </w:r>
          </w:p>
        </w:tc>
      </w:tr>
      <w:tr>
        <w:trPr>
          <w:trHeight w:val="247"/>
        </w:trPr>
        <w:tc>
          <w:tcPr>
            <w:tcW w:w="5080" w:type="dxa"/>
            <w:vAlign w:val="bottom"/>
            <w:gridSpan w:val="3"/>
          </w:tcPr>
          <w:p>
            <w:pPr>
              <w:ind w:left="440"/>
              <w:spacing w:after="0"/>
              <w:rPr>
                <w:sz w:val="20"/>
                <w:szCs w:val="20"/>
                <w:color w:val="auto"/>
              </w:rPr>
            </w:pPr>
            <w:r>
              <w:rPr>
                <w:rFonts w:ascii="Arial" w:cs="Arial" w:eastAsia="Arial" w:hAnsi="Arial"/>
                <w:sz w:val="21"/>
                <w:szCs w:val="21"/>
                <w:color w:val="auto"/>
              </w:rPr>
              <w:t>Total receivables</w:t>
            </w:r>
          </w:p>
        </w:tc>
        <w:tc>
          <w:tcPr>
            <w:tcW w:w="1020" w:type="dxa"/>
            <w:vAlign w:val="bottom"/>
          </w:tcPr>
          <w:p>
            <w:pPr>
              <w:spacing w:after="0"/>
              <w:rPr>
                <w:sz w:val="21"/>
                <w:szCs w:val="21"/>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21"/>
                <w:szCs w:val="21"/>
                <w:color w:val="auto"/>
              </w:rPr>
              <w:t>534,063</w:t>
            </w:r>
          </w:p>
        </w:tc>
        <w:tc>
          <w:tcPr>
            <w:tcW w:w="1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21"/>
                <w:szCs w:val="21"/>
                <w:color w:val="auto"/>
              </w:rPr>
              <w:t>359,051</w:t>
            </w:r>
          </w:p>
        </w:tc>
      </w:tr>
      <w:tr>
        <w:trPr>
          <w:trHeight w:val="298"/>
        </w:trPr>
        <w:tc>
          <w:tcPr>
            <w:tcW w:w="5080" w:type="dxa"/>
            <w:vAlign w:val="bottom"/>
            <w:gridSpan w:val="3"/>
          </w:tcPr>
          <w:p>
            <w:pPr>
              <w:ind w:left="440"/>
              <w:spacing w:after="0"/>
              <w:rPr>
                <w:sz w:val="20"/>
                <w:szCs w:val="20"/>
                <w:color w:val="auto"/>
              </w:rPr>
            </w:pPr>
            <w:r>
              <w:rPr>
                <w:rFonts w:ascii="Arial" w:cs="Arial" w:eastAsia="Arial" w:hAnsi="Arial"/>
                <w:sz w:val="21"/>
                <w:szCs w:val="21"/>
                <w:color w:val="auto"/>
              </w:rPr>
              <w:t>Total assets</w:t>
            </w:r>
          </w:p>
        </w:tc>
        <w:tc>
          <w:tcPr>
            <w:tcW w:w="2160" w:type="dxa"/>
            <w:vAlign w:val="bottom"/>
            <w:gridSpan w:val="4"/>
          </w:tcPr>
          <w:p>
            <w:pPr>
              <w:jc w:val="right"/>
              <w:spacing w:after="0"/>
              <w:rPr>
                <w:sz w:val="20"/>
                <w:szCs w:val="20"/>
                <w:color w:val="auto"/>
              </w:rPr>
            </w:pPr>
            <w:r>
              <w:rPr>
                <w:rFonts w:ascii="Arial" w:cs="Arial" w:eastAsia="Arial" w:hAnsi="Arial"/>
                <w:sz w:val="21"/>
                <w:szCs w:val="21"/>
                <w:color w:val="auto"/>
              </w:rPr>
              <w:t>56,484,822</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21"/>
                <w:szCs w:val="21"/>
                <w:color w:val="auto"/>
                <w:w w:val="91"/>
              </w:rPr>
              <w:t>53,423,102</w:t>
            </w:r>
          </w:p>
        </w:tc>
      </w:tr>
    </w:tbl>
    <w:p>
      <w:pPr>
        <w:spacing w:after="0" w:line="262" w:lineRule="exact"/>
        <w:rPr>
          <w:sz w:val="20"/>
          <w:szCs w:val="20"/>
          <w:color w:val="auto"/>
        </w:rPr>
      </w:pPr>
    </w:p>
    <w:p>
      <w:pPr>
        <w:ind w:left="3840"/>
        <w:spacing w:after="0"/>
        <w:rPr>
          <w:sz w:val="20"/>
          <w:szCs w:val="20"/>
          <w:color w:val="auto"/>
        </w:rPr>
      </w:pPr>
      <w:r>
        <w:rPr>
          <w:rFonts w:ascii="Arial" w:cs="Arial" w:eastAsia="Arial" w:hAnsi="Arial"/>
          <w:sz w:val="21"/>
          <w:szCs w:val="21"/>
          <w:u w:val="single" w:color="auto"/>
          <w:color w:val="auto"/>
        </w:rPr>
        <w:t>LIABILITIES</w:t>
      </w:r>
    </w:p>
    <w:p>
      <w:pPr>
        <w:sectPr>
          <w:pgSz w:w="11900" w:h="16838" w:orient="portrait"/>
          <w:cols w:equalWidth="0" w:num="1">
            <w:col w:w="11360"/>
          </w:cols>
          <w:pgMar w:left="240" w:top="118" w:right="299" w:bottom="81" w:gutter="0" w:footer="0" w:header="0"/>
        </w:sectPr>
      </w:pPr>
    </w:p>
    <w:bookmarkStart w:id="2" w:name="page3"/>
    <w:bookmarkEnd w:id="2"/>
    <w:p>
      <w:pPr>
        <w:spacing w:after="0" w:line="82" w:lineRule="exact"/>
        <w:rPr>
          <w:sz w:val="20"/>
          <w:szCs w:val="20"/>
          <w:color w:val="auto"/>
        </w:rPr>
      </w:pPr>
    </w:p>
    <w:tbl>
      <w:tblPr>
        <w:tblLayout w:type="fixed"/>
        <w:tblInd w:w="1460" w:type="dxa"/>
        <w:tblCellMar>
          <w:top w:w="0" w:type="dxa"/>
          <w:left w:w="0" w:type="dxa"/>
          <w:bottom w:w="0" w:type="dxa"/>
          <w:right w:w="0" w:type="dxa"/>
        </w:tblCellMar>
      </w:tblPr>
      <w:tr>
        <w:trPr>
          <w:trHeight w:val="268"/>
        </w:trPr>
        <w:tc>
          <w:tcPr>
            <w:tcW w:w="6060" w:type="dxa"/>
            <w:vAlign w:val="bottom"/>
          </w:tcPr>
          <w:p>
            <w:pPr>
              <w:spacing w:after="0"/>
              <w:rPr>
                <w:sz w:val="20"/>
                <w:szCs w:val="20"/>
                <w:color w:val="auto"/>
              </w:rPr>
            </w:pPr>
            <w:r>
              <w:rPr>
                <w:rFonts w:ascii="Arial" w:cs="Arial" w:eastAsia="Arial" w:hAnsi="Arial"/>
                <w:sz w:val="21"/>
                <w:szCs w:val="21"/>
                <w:color w:val="auto"/>
              </w:rPr>
              <w:t>Accrued expenses</w:t>
            </w:r>
          </w:p>
        </w:tc>
        <w:tc>
          <w:tcPr>
            <w:tcW w:w="1180" w:type="dxa"/>
            <w:vAlign w:val="bottom"/>
            <w:gridSpan w:val="3"/>
          </w:tcPr>
          <w:p>
            <w:pPr>
              <w:jc w:val="right"/>
              <w:spacing w:after="0"/>
              <w:rPr>
                <w:sz w:val="20"/>
                <w:szCs w:val="20"/>
                <w:color w:val="auto"/>
              </w:rPr>
            </w:pPr>
            <w:r>
              <w:rPr>
                <w:rFonts w:ascii="Arial" w:cs="Arial" w:eastAsia="Arial" w:hAnsi="Arial"/>
                <w:sz w:val="21"/>
                <w:szCs w:val="21"/>
                <w:color w:val="auto"/>
              </w:rPr>
              <w:t>175,063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222"/>
        </w:trPr>
        <w:tc>
          <w:tcPr>
            <w:tcW w:w="6060" w:type="dxa"/>
            <w:vAlign w:val="bottom"/>
          </w:tcPr>
          <w:p>
            <w:pPr>
              <w:spacing w:after="0" w:line="222" w:lineRule="exact"/>
              <w:rPr>
                <w:sz w:val="20"/>
                <w:szCs w:val="20"/>
                <w:color w:val="auto"/>
              </w:rPr>
            </w:pPr>
            <w:r>
              <w:rPr>
                <w:rFonts w:ascii="Arial" w:cs="Arial" w:eastAsia="Arial" w:hAnsi="Arial"/>
                <w:sz w:val="21"/>
                <w:szCs w:val="21"/>
                <w:color w:val="auto"/>
              </w:rPr>
              <w:t>Excess participant contributions payable to participants (Note 4)</w:t>
            </w:r>
          </w:p>
        </w:tc>
        <w:tc>
          <w:tcPr>
            <w:tcW w:w="4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line="222" w:lineRule="exact"/>
              <w:rPr>
                <w:sz w:val="20"/>
                <w:szCs w:val="20"/>
                <w:color w:val="auto"/>
              </w:rPr>
            </w:pPr>
            <w:r>
              <w:rPr>
                <w:rFonts w:ascii="Arial" w:cs="Arial" w:eastAsia="Arial" w:hAnsi="Arial"/>
                <w:sz w:val="21"/>
                <w:szCs w:val="21"/>
                <w:color w:val="auto"/>
              </w:rPr>
              <w:t>430,248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1"/>
                <w:szCs w:val="21"/>
                <w:color w:val="auto"/>
              </w:rPr>
              <w:t>--</w:t>
            </w:r>
          </w:p>
        </w:tc>
      </w:tr>
      <w:tr>
        <w:trPr>
          <w:trHeight w:val="247"/>
        </w:trPr>
        <w:tc>
          <w:tcPr>
            <w:tcW w:w="6060" w:type="dxa"/>
            <w:vAlign w:val="bottom"/>
          </w:tcPr>
          <w:p>
            <w:pPr>
              <w:ind w:left="440"/>
              <w:spacing w:after="0"/>
              <w:rPr>
                <w:sz w:val="20"/>
                <w:szCs w:val="20"/>
                <w:color w:val="auto"/>
              </w:rPr>
            </w:pPr>
            <w:r>
              <w:rPr>
                <w:rFonts w:ascii="Arial" w:cs="Arial" w:eastAsia="Arial" w:hAnsi="Arial"/>
                <w:sz w:val="21"/>
                <w:szCs w:val="21"/>
                <w:color w:val="auto"/>
              </w:rPr>
              <w:t>Total liabilities</w:t>
            </w:r>
          </w:p>
        </w:tc>
        <w:tc>
          <w:tcPr>
            <w:tcW w:w="60" w:type="dxa"/>
            <w:vAlign w:val="bottom"/>
            <w:gridSpan w:val="2"/>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605,311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w:t>
            </w:r>
          </w:p>
        </w:tc>
      </w:tr>
      <w:tr>
        <w:trPr>
          <w:trHeight w:val="514"/>
        </w:trPr>
        <w:tc>
          <w:tcPr>
            <w:tcW w:w="6060" w:type="dxa"/>
            <w:vAlign w:val="bottom"/>
          </w:tcPr>
          <w:p>
            <w:pPr>
              <w:spacing w:after="0"/>
              <w:rPr>
                <w:sz w:val="20"/>
                <w:szCs w:val="20"/>
                <w:color w:val="auto"/>
              </w:rPr>
            </w:pPr>
            <w:r>
              <w:rPr>
                <w:rFonts w:ascii="Arial" w:cs="Arial" w:eastAsia="Arial" w:hAnsi="Arial"/>
                <w:sz w:val="21"/>
                <w:szCs w:val="21"/>
                <w:color w:val="auto"/>
              </w:rPr>
              <w:t>NET ASSETS AVAILABLE FOR BENEFITS</w:t>
            </w: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21"/>
                <w:szCs w:val="21"/>
                <w:color w:val="auto"/>
                <w:w w:val="94"/>
              </w:rPr>
              <w:t>$ 55,879,511</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w w:val="8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w w:val="98"/>
              </w:rPr>
              <w:t>53,423,102</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VAIL RESORTS 401(k) RETIREMENT PLAN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STATEMENT OF CHANGES IN NET ASSETS AVAILABLE FOR BENEFITS</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1840" w:type="dxa"/>
            <w:vAlign w:val="bottom"/>
          </w:tcPr>
          <w:p>
            <w:pPr>
              <w:spacing w:after="0"/>
              <w:rPr>
                <w:sz w:val="21"/>
                <w:szCs w:val="21"/>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96"/>
              </w:rPr>
              <w:t>FOR THE YEAR ENDED DECEMBER 31, 2002</w:t>
            </w: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493"/>
        </w:trPr>
        <w:tc>
          <w:tcPr>
            <w:tcW w:w="6540" w:type="dxa"/>
            <w:vAlign w:val="bottom"/>
            <w:gridSpan w:val="3"/>
          </w:tcPr>
          <w:p>
            <w:pPr>
              <w:spacing w:after="0"/>
              <w:rPr>
                <w:sz w:val="20"/>
                <w:szCs w:val="20"/>
                <w:color w:val="auto"/>
              </w:rPr>
            </w:pPr>
            <w:r>
              <w:rPr>
                <w:rFonts w:ascii="Arial" w:cs="Arial" w:eastAsia="Arial" w:hAnsi="Arial"/>
                <w:sz w:val="21"/>
                <w:szCs w:val="21"/>
                <w:color w:val="auto"/>
              </w:rPr>
              <w:t>ADDITIONS TO NET ASSETS ATTRIBUTED TO:</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7"/>
        </w:trPr>
        <w:tc>
          <w:tcPr>
            <w:tcW w:w="6540" w:type="dxa"/>
            <w:vAlign w:val="bottom"/>
            <w:gridSpan w:val="3"/>
          </w:tcPr>
          <w:p>
            <w:pPr>
              <w:ind w:left="400"/>
              <w:spacing w:after="0"/>
              <w:rPr>
                <w:sz w:val="20"/>
                <w:szCs w:val="20"/>
                <w:color w:val="auto"/>
              </w:rPr>
            </w:pPr>
            <w:r>
              <w:rPr>
                <w:rFonts w:ascii="Arial" w:cs="Arial" w:eastAsia="Arial" w:hAnsi="Arial"/>
                <w:sz w:val="21"/>
                <w:szCs w:val="21"/>
                <w:color w:val="auto"/>
              </w:rPr>
              <w:t>Contributions-</w:t>
            </w: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7"/>
        </w:trPr>
        <w:tc>
          <w:tcPr>
            <w:tcW w:w="6540" w:type="dxa"/>
            <w:vAlign w:val="bottom"/>
            <w:gridSpan w:val="3"/>
          </w:tcPr>
          <w:p>
            <w:pPr>
              <w:ind w:left="480"/>
              <w:spacing w:after="0"/>
              <w:rPr>
                <w:sz w:val="20"/>
                <w:szCs w:val="20"/>
                <w:color w:val="auto"/>
              </w:rPr>
            </w:pPr>
            <w:r>
              <w:rPr>
                <w:rFonts w:ascii="Arial" w:cs="Arial" w:eastAsia="Arial" w:hAnsi="Arial"/>
                <w:sz w:val="21"/>
                <w:szCs w:val="21"/>
                <w:color w:val="auto"/>
              </w:rPr>
              <w:t>Employees</w:t>
            </w:r>
          </w:p>
        </w:tc>
        <w:tc>
          <w:tcPr>
            <w:tcW w:w="440" w:type="dxa"/>
            <w:vAlign w:val="bottom"/>
            <w:gridSpan w:val="3"/>
          </w:tcPr>
          <w:p>
            <w:pPr>
              <w:jc w:val="right"/>
              <w:ind w:right="20"/>
              <w:spacing w:after="0"/>
              <w:rPr>
                <w:sz w:val="20"/>
                <w:szCs w:val="20"/>
                <w:color w:val="auto"/>
              </w:rPr>
            </w:pPr>
            <w:r>
              <w:rPr>
                <w:rFonts w:ascii="Arial" w:cs="Arial" w:eastAsia="Arial" w:hAnsi="Arial"/>
                <w:sz w:val="21"/>
                <w:szCs w:val="21"/>
                <w:color w:val="auto"/>
              </w:rPr>
              <w:t>$</w:t>
            </w:r>
          </w:p>
        </w:tc>
        <w:tc>
          <w:tcPr>
            <w:tcW w:w="1000" w:type="dxa"/>
            <w:vAlign w:val="bottom"/>
          </w:tcPr>
          <w:p>
            <w:pPr>
              <w:jc w:val="right"/>
              <w:spacing w:after="0"/>
              <w:rPr>
                <w:sz w:val="20"/>
                <w:szCs w:val="20"/>
                <w:color w:val="auto"/>
              </w:rPr>
            </w:pPr>
            <w:r>
              <w:rPr>
                <w:rFonts w:ascii="Arial" w:cs="Arial" w:eastAsia="Arial" w:hAnsi="Arial"/>
                <w:sz w:val="21"/>
                <w:szCs w:val="21"/>
                <w:color w:val="auto"/>
              </w:rPr>
              <w:t>7,055,375</w:t>
            </w:r>
          </w:p>
        </w:tc>
      </w:tr>
      <w:tr>
        <w:trPr>
          <w:trHeight w:val="267"/>
        </w:trPr>
        <w:tc>
          <w:tcPr>
            <w:tcW w:w="6540" w:type="dxa"/>
            <w:vAlign w:val="bottom"/>
            <w:gridSpan w:val="3"/>
          </w:tcPr>
          <w:p>
            <w:pPr>
              <w:ind w:left="480"/>
              <w:spacing w:after="0"/>
              <w:rPr>
                <w:sz w:val="20"/>
                <w:szCs w:val="20"/>
                <w:color w:val="auto"/>
              </w:rPr>
            </w:pPr>
            <w:r>
              <w:rPr>
                <w:rFonts w:ascii="Arial" w:cs="Arial" w:eastAsia="Arial" w:hAnsi="Arial"/>
                <w:sz w:val="21"/>
                <w:szCs w:val="21"/>
                <w:color w:val="auto"/>
              </w:rPr>
              <w:t>Employer</w:t>
            </w: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1"/>
                <w:szCs w:val="21"/>
                <w:color w:val="auto"/>
              </w:rPr>
              <w:t>2,517,595</w:t>
            </w:r>
          </w:p>
        </w:tc>
      </w:tr>
      <w:tr>
        <w:trPr>
          <w:trHeight w:val="222"/>
        </w:trPr>
        <w:tc>
          <w:tcPr>
            <w:tcW w:w="6540" w:type="dxa"/>
            <w:vAlign w:val="bottom"/>
            <w:gridSpan w:val="3"/>
          </w:tcPr>
          <w:p>
            <w:pPr>
              <w:ind w:left="480"/>
              <w:spacing w:after="0" w:line="222" w:lineRule="exact"/>
              <w:rPr>
                <w:sz w:val="20"/>
                <w:szCs w:val="20"/>
                <w:color w:val="auto"/>
              </w:rPr>
            </w:pPr>
            <w:r>
              <w:rPr>
                <w:rFonts w:ascii="Arial" w:cs="Arial" w:eastAsia="Arial" w:hAnsi="Arial"/>
                <w:sz w:val="21"/>
                <w:szCs w:val="21"/>
                <w:color w:val="auto"/>
              </w:rPr>
              <w:t>Rollover</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1"/>
                <w:szCs w:val="21"/>
                <w:color w:val="auto"/>
              </w:rPr>
              <w:t>4,056,159</w:t>
            </w:r>
          </w:p>
        </w:tc>
      </w:tr>
      <w:tr>
        <w:trPr>
          <w:trHeight w:val="298"/>
        </w:trPr>
        <w:tc>
          <w:tcPr>
            <w:tcW w:w="6540" w:type="dxa"/>
            <w:vAlign w:val="bottom"/>
            <w:gridSpan w:val="3"/>
          </w:tcPr>
          <w:p>
            <w:pPr>
              <w:ind w:left="860"/>
              <w:spacing w:after="0"/>
              <w:rPr>
                <w:sz w:val="20"/>
                <w:szCs w:val="20"/>
                <w:color w:val="auto"/>
              </w:rPr>
            </w:pPr>
            <w:r>
              <w:rPr>
                <w:rFonts w:ascii="Arial" w:cs="Arial" w:eastAsia="Arial" w:hAnsi="Arial"/>
                <w:sz w:val="21"/>
                <w:szCs w:val="21"/>
                <w:color w:val="auto"/>
              </w:rPr>
              <w:t>Total contributions</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1"/>
                <w:szCs w:val="21"/>
                <w:color w:val="auto"/>
                <w:w w:val="93"/>
              </w:rPr>
              <w:t>13,629,129</w:t>
            </w:r>
          </w:p>
        </w:tc>
      </w:tr>
      <w:tr>
        <w:trPr>
          <w:trHeight w:val="529"/>
        </w:trPr>
        <w:tc>
          <w:tcPr>
            <w:tcW w:w="6540" w:type="dxa"/>
            <w:vAlign w:val="bottom"/>
            <w:gridSpan w:val="3"/>
          </w:tcPr>
          <w:p>
            <w:pPr>
              <w:ind w:left="400"/>
              <w:spacing w:after="0"/>
              <w:rPr>
                <w:sz w:val="20"/>
                <w:szCs w:val="20"/>
                <w:color w:val="auto"/>
              </w:rPr>
            </w:pPr>
            <w:r>
              <w:rPr>
                <w:rFonts w:ascii="Arial" w:cs="Arial" w:eastAsia="Arial" w:hAnsi="Arial"/>
                <w:sz w:val="21"/>
                <w:szCs w:val="21"/>
                <w:color w:val="auto"/>
                <w:w w:val="97"/>
              </w:rPr>
              <w:t>Net depreciation in fair market value of investments (Notes 2 and 3)</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1"/>
                <w:szCs w:val="21"/>
                <w:color w:val="auto"/>
                <w:w w:val="91"/>
              </w:rPr>
              <w:t>(8,505,317)</w:t>
            </w:r>
          </w:p>
        </w:tc>
      </w:tr>
      <w:tr>
        <w:trPr>
          <w:trHeight w:val="267"/>
        </w:trPr>
        <w:tc>
          <w:tcPr>
            <w:tcW w:w="6540" w:type="dxa"/>
            <w:vAlign w:val="bottom"/>
            <w:gridSpan w:val="3"/>
          </w:tcPr>
          <w:p>
            <w:pPr>
              <w:ind w:left="400"/>
              <w:spacing w:after="0"/>
              <w:rPr>
                <w:sz w:val="20"/>
                <w:szCs w:val="20"/>
                <w:color w:val="auto"/>
              </w:rPr>
            </w:pPr>
            <w:r>
              <w:rPr>
                <w:rFonts w:ascii="Arial" w:cs="Arial" w:eastAsia="Arial" w:hAnsi="Arial"/>
                <w:sz w:val="21"/>
                <w:szCs w:val="21"/>
                <w:color w:val="auto"/>
              </w:rPr>
              <w:t>Other income</w:t>
            </w: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1"/>
                <w:szCs w:val="21"/>
                <w:color w:val="auto"/>
              </w:rPr>
              <w:t>6,765</w:t>
            </w:r>
          </w:p>
        </w:tc>
      </w:tr>
      <w:tr>
        <w:trPr>
          <w:trHeight w:val="222"/>
        </w:trPr>
        <w:tc>
          <w:tcPr>
            <w:tcW w:w="6540" w:type="dxa"/>
            <w:vAlign w:val="bottom"/>
            <w:gridSpan w:val="3"/>
          </w:tcPr>
          <w:p>
            <w:pPr>
              <w:ind w:left="400"/>
              <w:spacing w:after="0" w:line="222" w:lineRule="exact"/>
              <w:rPr>
                <w:sz w:val="20"/>
                <w:szCs w:val="20"/>
                <w:color w:val="auto"/>
              </w:rPr>
            </w:pPr>
            <w:r>
              <w:rPr>
                <w:rFonts w:ascii="Arial" w:cs="Arial" w:eastAsia="Arial" w:hAnsi="Arial"/>
                <w:sz w:val="21"/>
                <w:szCs w:val="21"/>
                <w:color w:val="auto"/>
              </w:rPr>
              <w:t>Interest and dividend income (Note 2)</w:t>
            </w:r>
          </w:p>
        </w:tc>
        <w:tc>
          <w:tcPr>
            <w:tcW w:w="3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1"/>
                <w:szCs w:val="21"/>
                <w:color w:val="auto"/>
              </w:rPr>
              <w:t>1,044,695</w:t>
            </w:r>
          </w:p>
        </w:tc>
      </w:tr>
      <w:tr>
        <w:trPr>
          <w:trHeight w:val="292"/>
        </w:trPr>
        <w:tc>
          <w:tcPr>
            <w:tcW w:w="6540" w:type="dxa"/>
            <w:vAlign w:val="bottom"/>
            <w:gridSpan w:val="3"/>
          </w:tcPr>
          <w:p>
            <w:pPr>
              <w:ind w:left="480"/>
              <w:spacing w:after="0"/>
              <w:rPr>
                <w:sz w:val="20"/>
                <w:szCs w:val="20"/>
                <w:color w:val="auto"/>
              </w:rPr>
            </w:pPr>
            <w:r>
              <w:rPr>
                <w:rFonts w:ascii="Arial" w:cs="Arial" w:eastAsia="Arial" w:hAnsi="Arial"/>
                <w:sz w:val="21"/>
                <w:szCs w:val="21"/>
                <w:color w:val="auto"/>
              </w:rPr>
              <w:t>Total additions</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1"/>
                <w:szCs w:val="21"/>
                <w:color w:val="auto"/>
              </w:rPr>
              <w:t>6,175,272</w:t>
            </w:r>
          </w:p>
        </w:tc>
      </w:tr>
      <w:tr>
        <w:trPr>
          <w:trHeight w:val="267"/>
        </w:trPr>
        <w:tc>
          <w:tcPr>
            <w:tcW w:w="6540" w:type="dxa"/>
            <w:vAlign w:val="bottom"/>
            <w:gridSpan w:val="3"/>
          </w:tcPr>
          <w:p>
            <w:pPr>
              <w:spacing w:after="0"/>
              <w:rPr>
                <w:sz w:val="20"/>
                <w:szCs w:val="20"/>
                <w:color w:val="auto"/>
              </w:rPr>
            </w:pPr>
            <w:r>
              <w:rPr>
                <w:rFonts w:ascii="Arial" w:cs="Arial" w:eastAsia="Arial" w:hAnsi="Arial"/>
                <w:sz w:val="21"/>
                <w:szCs w:val="21"/>
                <w:color w:val="auto"/>
              </w:rPr>
              <w:t>DEDUCTIONS FROM NET ASSETS ATTRIBUTED TO:</w:t>
            </w: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7"/>
        </w:trPr>
        <w:tc>
          <w:tcPr>
            <w:tcW w:w="6540" w:type="dxa"/>
            <w:vAlign w:val="bottom"/>
            <w:gridSpan w:val="3"/>
          </w:tcPr>
          <w:p>
            <w:pPr>
              <w:ind w:left="400"/>
              <w:spacing w:after="0"/>
              <w:rPr>
                <w:sz w:val="20"/>
                <w:szCs w:val="20"/>
                <w:color w:val="auto"/>
              </w:rPr>
            </w:pPr>
            <w:r>
              <w:rPr>
                <w:rFonts w:ascii="Arial" w:cs="Arial" w:eastAsia="Arial" w:hAnsi="Arial"/>
                <w:sz w:val="21"/>
                <w:szCs w:val="21"/>
                <w:color w:val="auto"/>
              </w:rPr>
              <w:t>Benefits paid to participants</w:t>
            </w: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1"/>
                <w:szCs w:val="21"/>
                <w:color w:val="auto"/>
              </w:rPr>
              <w:t>3,460,469</w:t>
            </w:r>
          </w:p>
        </w:tc>
      </w:tr>
      <w:tr>
        <w:trPr>
          <w:trHeight w:val="222"/>
        </w:trPr>
        <w:tc>
          <w:tcPr>
            <w:tcW w:w="6540" w:type="dxa"/>
            <w:vAlign w:val="bottom"/>
            <w:gridSpan w:val="3"/>
          </w:tcPr>
          <w:p>
            <w:pPr>
              <w:ind w:left="400"/>
              <w:spacing w:after="0" w:line="222" w:lineRule="exact"/>
              <w:rPr>
                <w:sz w:val="20"/>
                <w:szCs w:val="20"/>
                <w:color w:val="auto"/>
              </w:rPr>
            </w:pPr>
            <w:r>
              <w:rPr>
                <w:rFonts w:ascii="Arial" w:cs="Arial" w:eastAsia="Arial" w:hAnsi="Arial"/>
                <w:sz w:val="21"/>
                <w:szCs w:val="21"/>
                <w:color w:val="auto"/>
              </w:rPr>
              <w:t>Administrative expenses</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1"/>
                <w:szCs w:val="21"/>
                <w:color w:val="auto"/>
              </w:rPr>
              <w:t>258,394</w:t>
            </w:r>
          </w:p>
        </w:tc>
      </w:tr>
      <w:tr>
        <w:trPr>
          <w:trHeight w:val="247"/>
        </w:trPr>
        <w:tc>
          <w:tcPr>
            <w:tcW w:w="6540" w:type="dxa"/>
            <w:vAlign w:val="bottom"/>
            <w:gridSpan w:val="3"/>
          </w:tcPr>
          <w:p>
            <w:pPr>
              <w:ind w:left="480"/>
              <w:spacing w:after="0"/>
              <w:rPr>
                <w:sz w:val="20"/>
                <w:szCs w:val="20"/>
                <w:color w:val="auto"/>
              </w:rPr>
            </w:pPr>
            <w:r>
              <w:rPr>
                <w:rFonts w:ascii="Arial" w:cs="Arial" w:eastAsia="Arial" w:hAnsi="Arial"/>
                <w:sz w:val="21"/>
                <w:szCs w:val="21"/>
                <w:color w:val="auto"/>
              </w:rPr>
              <w:t>Total deductions</w:t>
            </w: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3,718,863</w:t>
            </w:r>
          </w:p>
        </w:tc>
      </w:tr>
      <w:tr>
        <w:trPr>
          <w:trHeight w:val="298"/>
        </w:trPr>
        <w:tc>
          <w:tcPr>
            <w:tcW w:w="6540" w:type="dxa"/>
            <w:vAlign w:val="bottom"/>
            <w:gridSpan w:val="3"/>
          </w:tcPr>
          <w:p>
            <w:pPr>
              <w:spacing w:after="0"/>
              <w:rPr>
                <w:sz w:val="20"/>
                <w:szCs w:val="20"/>
                <w:color w:val="auto"/>
              </w:rPr>
            </w:pPr>
            <w:r>
              <w:rPr>
                <w:rFonts w:ascii="Arial" w:cs="Arial" w:eastAsia="Arial" w:hAnsi="Arial"/>
                <w:sz w:val="21"/>
                <w:szCs w:val="21"/>
                <w:color w:val="auto"/>
              </w:rPr>
              <w:t>NET INCREASE</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1"/>
                <w:szCs w:val="21"/>
                <w:color w:val="auto"/>
              </w:rPr>
              <w:t>2,456,409</w:t>
            </w:r>
          </w:p>
        </w:tc>
      </w:tr>
      <w:tr>
        <w:trPr>
          <w:trHeight w:val="529"/>
        </w:trPr>
        <w:tc>
          <w:tcPr>
            <w:tcW w:w="6540" w:type="dxa"/>
            <w:vAlign w:val="bottom"/>
            <w:gridSpan w:val="3"/>
          </w:tcPr>
          <w:p>
            <w:pPr>
              <w:spacing w:after="0"/>
              <w:rPr>
                <w:sz w:val="20"/>
                <w:szCs w:val="20"/>
                <w:color w:val="auto"/>
              </w:rPr>
            </w:pPr>
            <w:r>
              <w:rPr>
                <w:rFonts w:ascii="Arial" w:cs="Arial" w:eastAsia="Arial" w:hAnsi="Arial"/>
                <w:sz w:val="21"/>
                <w:szCs w:val="21"/>
                <w:color w:val="auto"/>
              </w:rPr>
              <w:t>NET ASSETS AVAILABLE FOR BENEFITS,</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2"/>
        </w:trPr>
        <w:tc>
          <w:tcPr>
            <w:tcW w:w="6540" w:type="dxa"/>
            <w:vAlign w:val="bottom"/>
            <w:gridSpan w:val="3"/>
          </w:tcPr>
          <w:p>
            <w:pPr>
              <w:ind w:left="400"/>
              <w:spacing w:after="0" w:line="222" w:lineRule="exact"/>
              <w:rPr>
                <w:sz w:val="20"/>
                <w:szCs w:val="20"/>
                <w:color w:val="auto"/>
              </w:rPr>
            </w:pPr>
            <w:r>
              <w:rPr>
                <w:rFonts w:ascii="Arial" w:cs="Arial" w:eastAsia="Arial" w:hAnsi="Arial"/>
                <w:sz w:val="21"/>
                <w:szCs w:val="21"/>
                <w:color w:val="auto"/>
              </w:rPr>
              <w:t>Beginning of the year</w:t>
            </w:r>
          </w:p>
        </w:tc>
        <w:tc>
          <w:tcPr>
            <w:tcW w:w="3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1"/>
                <w:szCs w:val="21"/>
                <w:color w:val="auto"/>
                <w:w w:val="93"/>
              </w:rPr>
              <w:t>53,423,102</w:t>
            </w:r>
          </w:p>
        </w:tc>
      </w:tr>
      <w:tr>
        <w:trPr>
          <w:trHeight w:val="292"/>
        </w:trPr>
        <w:tc>
          <w:tcPr>
            <w:tcW w:w="6540" w:type="dxa"/>
            <w:vAlign w:val="bottom"/>
            <w:gridSpan w:val="3"/>
          </w:tcPr>
          <w:p>
            <w:pPr>
              <w:spacing w:after="0"/>
              <w:rPr>
                <w:sz w:val="20"/>
                <w:szCs w:val="20"/>
                <w:color w:val="auto"/>
              </w:rPr>
            </w:pPr>
            <w:r>
              <w:rPr>
                <w:rFonts w:ascii="Arial" w:cs="Arial" w:eastAsia="Arial" w:hAnsi="Arial"/>
                <w:sz w:val="21"/>
                <w:szCs w:val="21"/>
                <w:color w:val="auto"/>
              </w:rPr>
              <w:t>NET ASSETS AVAILABLE FOR BENEFITS,</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2"/>
        </w:trPr>
        <w:tc>
          <w:tcPr>
            <w:tcW w:w="6540" w:type="dxa"/>
            <w:vAlign w:val="bottom"/>
            <w:gridSpan w:val="3"/>
          </w:tcPr>
          <w:p>
            <w:pPr>
              <w:ind w:left="400"/>
              <w:spacing w:after="0" w:line="222" w:lineRule="exact"/>
              <w:rPr>
                <w:sz w:val="20"/>
                <w:szCs w:val="20"/>
                <w:color w:val="auto"/>
              </w:rPr>
            </w:pPr>
            <w:r>
              <w:rPr>
                <w:rFonts w:ascii="Arial" w:cs="Arial" w:eastAsia="Arial" w:hAnsi="Arial"/>
                <w:sz w:val="21"/>
                <w:szCs w:val="21"/>
                <w:color w:val="auto"/>
              </w:rPr>
              <w:t>End of the year</w:t>
            </w:r>
          </w:p>
        </w:tc>
        <w:tc>
          <w:tcPr>
            <w:tcW w:w="32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line="222" w:lineRule="exact"/>
              <w:rPr>
                <w:sz w:val="20"/>
                <w:szCs w:val="20"/>
                <w:color w:val="auto"/>
              </w:rPr>
            </w:pPr>
            <w:r>
              <w:rPr>
                <w:rFonts w:ascii="Arial" w:cs="Arial" w:eastAsia="Arial" w:hAnsi="Arial"/>
                <w:sz w:val="21"/>
                <w:szCs w:val="21"/>
                <w:color w:val="auto"/>
                <w:w w:val="85"/>
              </w:rPr>
              <w:t>$</w:t>
            </w:r>
          </w:p>
        </w:tc>
        <w:tc>
          <w:tcPr>
            <w:tcW w:w="100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1"/>
                <w:szCs w:val="21"/>
                <w:color w:val="auto"/>
                <w:w w:val="93"/>
              </w:rPr>
              <w:t>55,879,511</w:t>
            </w:r>
          </w:p>
        </w:tc>
      </w:tr>
    </w:tbl>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The accompanying notes are an integral part of this statement.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VAIL RESORTS 401(k) RETIREMENT PLAN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NOTES TO FINANCIAL STATEMENTS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DECEMBER 31, 2002 AND 2001</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1. </w:t>
      </w:r>
      <w:r>
        <w:rPr>
          <w:rFonts w:ascii="Arial" w:cs="Arial" w:eastAsia="Arial" w:hAnsi="Arial"/>
          <w:sz w:val="21"/>
          <w:szCs w:val="21"/>
          <w:u w:val="single" w:color="auto"/>
          <w:color w:val="auto"/>
        </w:rPr>
        <w:t>DESCRIPTION OF THE PLAN:</w:t>
      </w:r>
    </w:p>
    <w:p>
      <w:pPr>
        <w:spacing w:after="0" w:line="212" w:lineRule="exact"/>
        <w:rPr>
          <w:sz w:val="20"/>
          <w:szCs w:val="20"/>
          <w:color w:val="auto"/>
        </w:rPr>
      </w:pPr>
    </w:p>
    <w:p>
      <w:pPr>
        <w:ind w:right="180"/>
        <w:spacing w:after="0" w:line="246" w:lineRule="auto"/>
        <w:rPr>
          <w:sz w:val="20"/>
          <w:szCs w:val="20"/>
          <w:color w:val="auto"/>
        </w:rPr>
      </w:pPr>
      <w:r>
        <w:rPr>
          <w:rFonts w:ascii="Arial" w:cs="Arial" w:eastAsia="Arial" w:hAnsi="Arial"/>
          <w:sz w:val="21"/>
          <w:szCs w:val="21"/>
          <w:color w:val="auto"/>
        </w:rPr>
        <w:t>Vail Associates, Inc. (the "Company") is the plan sponsor for the Vail Resorts 401(k) Retirement Plan (the "Plan"). The Plan covers all eligible employees of the Company and participating employers and excludes leased employees, non-resident aliens, employees covered by a collective bargaining agreement and independent contractors. The following description of the Plan provides only general information. Participants and all others should refer to the Plan document for a more complete description of the Plan's provisions.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General</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20"/>
          <w:szCs w:val="20"/>
          <w:color w:val="auto"/>
        </w:rPr>
        <w:t>The Plan is a defined contribution plan administered by an Administrative Committee (the "Committee") appointed by the Board of Directors of the Company. The Plan is subject to the applicable provisions of the Employee Retirement Income Security Act of 1974, as amended ("ERISA"). Benefits under the Plan are not guaranteed by the Pension Benefit Guaranty Corporation.</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Plan Amendments</w:t>
      </w:r>
    </w:p>
    <w:p>
      <w:pPr>
        <w:spacing w:after="0" w:line="212" w:lineRule="exact"/>
        <w:rPr>
          <w:sz w:val="20"/>
          <w:szCs w:val="20"/>
          <w:color w:val="auto"/>
        </w:rPr>
      </w:pPr>
    </w:p>
    <w:p>
      <w:pPr>
        <w:ind w:right="460"/>
        <w:spacing w:after="0" w:line="269" w:lineRule="auto"/>
        <w:rPr>
          <w:sz w:val="20"/>
          <w:szCs w:val="20"/>
          <w:color w:val="auto"/>
        </w:rPr>
      </w:pPr>
      <w:r>
        <w:rPr>
          <w:rFonts w:ascii="Arial" w:cs="Arial" w:eastAsia="Arial" w:hAnsi="Arial"/>
          <w:sz w:val="21"/>
          <w:szCs w:val="21"/>
          <w:color w:val="auto"/>
        </w:rPr>
        <w:t>On January 31, 2002, the Company resolved to remove Advisors Trust Company as trustee of the Plan and to appoint Securities Trust Company as the successor trustee of the Plan.</w:t>
      </w:r>
    </w:p>
    <w:p>
      <w:pPr>
        <w:sectPr>
          <w:pgSz w:w="11900" w:h="16920" w:orient="portrait"/>
          <w:cols w:equalWidth="0" w:num="1">
            <w:col w:w="11400"/>
          </w:cols>
          <w:pgMar w:left="240" w:top="118" w:right="259" w:bottom="0" w:gutter="0" w:footer="0" w:header="0"/>
        </w:sectPr>
      </w:pPr>
    </w:p>
    <w:bookmarkStart w:id="3" w:name="page4"/>
    <w:bookmarkEnd w:id="3"/>
    <w:p>
      <w:pPr>
        <w:ind w:right="400"/>
        <w:spacing w:after="0" w:line="270" w:lineRule="auto"/>
        <w:rPr>
          <w:sz w:val="20"/>
          <w:szCs w:val="20"/>
          <w:color w:val="auto"/>
        </w:rPr>
      </w:pPr>
      <w:r>
        <w:rPr>
          <w:rFonts w:ascii="Arial" w:cs="Arial" w:eastAsia="Arial" w:hAnsi="Arial"/>
          <w:sz w:val="21"/>
          <w:szCs w:val="21"/>
          <w:color w:val="auto"/>
        </w:rPr>
        <w:t>During 2002, the Plan was amended to reflect a numbers of transactions the Company had with other entities. The effect of these transactions and amendments to the Plan are summarized as follows:</w:t>
      </w:r>
    </w:p>
    <w:p>
      <w:pPr>
        <w:spacing w:after="0" w:line="165" w:lineRule="exact"/>
        <w:rPr>
          <w:sz w:val="20"/>
          <w:szCs w:val="20"/>
          <w:color w:val="auto"/>
        </w:rPr>
      </w:pPr>
    </w:p>
    <w:p>
      <w:pPr>
        <w:ind w:left="2400" w:right="2640"/>
        <w:spacing w:after="0" w:line="269" w:lineRule="auto"/>
        <w:rPr>
          <w:sz w:val="20"/>
          <w:szCs w:val="20"/>
          <w:color w:val="auto"/>
        </w:rPr>
      </w:pPr>
      <w:r>
        <w:rPr>
          <w:rFonts w:ascii="Arial" w:cs="Arial" w:eastAsia="Arial" w:hAnsi="Arial"/>
          <w:sz w:val="21"/>
          <w:szCs w:val="21"/>
          <w:color w:val="auto"/>
        </w:rPr>
        <w:t>Effective January 1, 2002, Snake River Lodge &amp; Spa adopted the plan as a participating employer.</w:t>
      </w:r>
    </w:p>
    <w:p>
      <w:pPr>
        <w:spacing w:after="0" w:line="233" w:lineRule="exact"/>
        <w:rPr>
          <w:sz w:val="20"/>
          <w:szCs w:val="20"/>
          <w:color w:val="auto"/>
        </w:rPr>
      </w:pPr>
    </w:p>
    <w:p>
      <w:pPr>
        <w:ind w:left="2400" w:right="2420"/>
        <w:spacing w:after="0" w:line="272" w:lineRule="auto"/>
        <w:rPr>
          <w:sz w:val="20"/>
          <w:szCs w:val="20"/>
          <w:color w:val="auto"/>
        </w:rPr>
      </w:pPr>
      <w:r>
        <w:rPr>
          <w:rFonts w:ascii="Arial" w:cs="Arial" w:eastAsia="Arial" w:hAnsi="Arial"/>
          <w:sz w:val="20"/>
          <w:szCs w:val="20"/>
          <w:color w:val="auto"/>
        </w:rPr>
        <w:t>Effective May 9, 2002, Heavenly Valley Limited Partnership ("Heavenly") adopted the Plan as a participating employer. Prior service credit was granted for Heavenly employees for all purposes under the Plan.</w:t>
      </w:r>
    </w:p>
    <w:p>
      <w:pPr>
        <w:spacing w:after="0" w:line="166"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color w:val="auto"/>
        </w:rPr>
        <w:t>In December 2002, the Plan was amended to reflect new required minimum distribution regulations, new claims procedure regulations, certain provisions of the Economic Growth and Tax Relief Reconciliation Act of 2001, technical amendments to the Economic Growth and Tax Relief Reconciliation Act of 2001 contained in the Job Creation and Worker Assistance Act of 2002 and subsequent U.S. Department of Treasury and Internal Revenue Service guidance.</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Eligibility and Contributions</w:t>
      </w:r>
    </w:p>
    <w:p>
      <w:pPr>
        <w:spacing w:after="0" w:line="212" w:lineRule="exact"/>
        <w:rPr>
          <w:sz w:val="20"/>
          <w:szCs w:val="20"/>
          <w:color w:val="auto"/>
        </w:rPr>
      </w:pPr>
    </w:p>
    <w:p>
      <w:pPr>
        <w:jc w:val="both"/>
        <w:ind w:right="300"/>
        <w:spacing w:after="0" w:line="254" w:lineRule="auto"/>
        <w:rPr>
          <w:sz w:val="20"/>
          <w:szCs w:val="20"/>
          <w:color w:val="auto"/>
        </w:rPr>
      </w:pPr>
      <w:r>
        <w:rPr>
          <w:rFonts w:ascii="Arial" w:cs="Arial" w:eastAsia="Arial" w:hAnsi="Arial"/>
          <w:sz w:val="21"/>
          <w:szCs w:val="21"/>
          <w:color w:val="auto"/>
        </w:rPr>
        <w:t>Employees are eligible to participate in the Plan upon attaining the age of 21 and completing 12 consecutive months of service, as defined by the Plan document, including a minimum of 1,000 hours of service. Employees completing 1,500 cumulative hours of service in 12 non-consecutive months also are eligible to participate in the Plan.</w:t>
      </w:r>
    </w:p>
    <w:p>
      <w:pPr>
        <w:spacing w:after="0" w:line="168" w:lineRule="exact"/>
        <w:rPr>
          <w:sz w:val="20"/>
          <w:szCs w:val="20"/>
          <w:color w:val="auto"/>
        </w:rPr>
      </w:pPr>
    </w:p>
    <w:p>
      <w:pPr>
        <w:ind w:right="220"/>
        <w:spacing w:after="0" w:line="265" w:lineRule="auto"/>
        <w:rPr>
          <w:sz w:val="20"/>
          <w:szCs w:val="20"/>
          <w:color w:val="auto"/>
        </w:rPr>
      </w:pPr>
      <w:r>
        <w:rPr>
          <w:rFonts w:ascii="Arial" w:cs="Arial" w:eastAsia="Arial" w:hAnsi="Arial"/>
          <w:sz w:val="20"/>
          <w:szCs w:val="20"/>
          <w:color w:val="auto"/>
        </w:rPr>
        <w:t>Each participant may elect to contribute before-tax contributions from 2% to 100% of their compensation, as defined in the Plan document. However, before-tax contributions shall not exceed $11,000 in the calendar year ending December 31, 2002, as set forth by the Internal Revenue Code ("IRC"). In 2001, participants were able to make after-tax contributions to the Plan in whole percentages of their compensation. During 2002, the option to make after-tax contributions was removed from the Plan.</w:t>
      </w:r>
    </w:p>
    <w:p>
      <w:pPr>
        <w:spacing w:after="0" w:line="159"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The Company makes matching contributions of 50% of each participant's before-tax elective contributions, limited to 3% of the participant's compensation each pay period. Part time employees are not eligible for Company matching contributions. An additional true-up matching contribution will also be made at or after year-end, if necessary, to adjust the aggregate Company matching contribution for the year to equal the lesser of 3% of the employee's annual compensation or 50% of his or her before-tax contributions for the entire year.</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21"/>
          <w:szCs w:val="21"/>
          <w:color w:val="auto"/>
        </w:rPr>
        <w:t>Due to limitations imposed by the IRC, the sum of Company contributions and participant deferred contributions may not, in general, exceed the lesser of 100% of a participant's compensation for the year or $40,000 ("415 limits").</w:t>
      </w:r>
    </w:p>
    <w:p>
      <w:pPr>
        <w:spacing w:after="0" w:line="153" w:lineRule="exact"/>
        <w:rPr>
          <w:sz w:val="20"/>
          <w:szCs w:val="20"/>
          <w:color w:val="auto"/>
        </w:rPr>
      </w:pPr>
    </w:p>
    <w:p>
      <w:pPr>
        <w:ind w:right="260"/>
        <w:spacing w:after="0" w:line="269" w:lineRule="auto"/>
        <w:rPr>
          <w:sz w:val="20"/>
          <w:szCs w:val="20"/>
          <w:color w:val="auto"/>
        </w:rPr>
      </w:pPr>
      <w:r>
        <w:rPr>
          <w:rFonts w:ascii="Arial" w:cs="Arial" w:eastAsia="Arial" w:hAnsi="Arial"/>
          <w:sz w:val="21"/>
          <w:szCs w:val="21"/>
          <w:color w:val="auto"/>
        </w:rPr>
        <w:t>Subject to the Committee's approval, participants may elect rollovers of amounts from other qualified plans in accordance with the IRC.</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Participant Accounts</w:t>
      </w:r>
    </w:p>
    <w:p>
      <w:pPr>
        <w:spacing w:after="0" w:line="212" w:lineRule="exact"/>
        <w:rPr>
          <w:sz w:val="20"/>
          <w:szCs w:val="20"/>
          <w:color w:val="auto"/>
        </w:rPr>
      </w:pPr>
    </w:p>
    <w:p>
      <w:pPr>
        <w:ind w:right="40"/>
        <w:spacing w:after="0" w:line="254" w:lineRule="auto"/>
        <w:rPr>
          <w:sz w:val="20"/>
          <w:szCs w:val="20"/>
          <w:color w:val="auto"/>
        </w:rPr>
      </w:pPr>
      <w:r>
        <w:rPr>
          <w:rFonts w:ascii="Arial" w:cs="Arial" w:eastAsia="Arial" w:hAnsi="Arial"/>
          <w:sz w:val="21"/>
          <w:szCs w:val="21"/>
          <w:color w:val="auto"/>
        </w:rPr>
        <w:t>Each participant's account is credited with his or her contribution, the Company matching contribution, if any, rollovers and an allocation of Plan earnings/losses and expenses. Allocations are determined by the Plan document. The benefit to which a participant is entitled is the vested portion of the benefit that can be provided from the participant's account.</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Vesting</w:t>
      </w:r>
    </w:p>
    <w:p>
      <w:pPr>
        <w:spacing w:after="0" w:line="212" w:lineRule="exact"/>
        <w:rPr>
          <w:sz w:val="20"/>
          <w:szCs w:val="20"/>
          <w:color w:val="auto"/>
        </w:rPr>
      </w:pPr>
    </w:p>
    <w:p>
      <w:pPr>
        <w:ind w:right="620"/>
        <w:spacing w:after="0" w:line="269" w:lineRule="auto"/>
        <w:rPr>
          <w:sz w:val="20"/>
          <w:szCs w:val="20"/>
          <w:color w:val="auto"/>
        </w:rPr>
      </w:pPr>
      <w:r>
        <w:rPr>
          <w:rFonts w:ascii="Arial" w:cs="Arial" w:eastAsia="Arial" w:hAnsi="Arial"/>
          <w:sz w:val="21"/>
          <w:szCs w:val="21"/>
          <w:color w:val="auto"/>
        </w:rPr>
        <w:t>Participants' contributions are immediately 100% vested. Vesting in the Company's contributions is according to the following schedule:</w:t>
      </w:r>
    </w:p>
    <w:p>
      <w:pPr>
        <w:spacing w:after="0" w:line="146" w:lineRule="exact"/>
        <w:rPr>
          <w:sz w:val="20"/>
          <w:szCs w:val="20"/>
          <w:color w:val="auto"/>
        </w:rPr>
      </w:pPr>
    </w:p>
    <w:tbl>
      <w:tblPr>
        <w:tblLayout w:type="fixed"/>
        <w:tblInd w:w="3940" w:type="dxa"/>
        <w:tblCellMar>
          <w:top w:w="0" w:type="dxa"/>
          <w:left w:w="0" w:type="dxa"/>
          <w:bottom w:w="0" w:type="dxa"/>
          <w:right w:w="0" w:type="dxa"/>
        </w:tblCellMar>
      </w:tblPr>
      <w:tr>
        <w:trPr>
          <w:trHeight w:val="241"/>
        </w:trPr>
        <w:tc>
          <w:tcPr>
            <w:tcW w:w="1880" w:type="dxa"/>
            <w:vAlign w:val="bottom"/>
            <w:gridSpan w:val="2"/>
          </w:tcPr>
          <w:p>
            <w:pPr>
              <w:jc w:val="center"/>
              <w:ind w:right="480"/>
              <w:spacing w:after="0"/>
              <w:rPr>
                <w:sz w:val="20"/>
                <w:szCs w:val="20"/>
                <w:color w:val="auto"/>
              </w:rPr>
            </w:pPr>
            <w:r>
              <w:rPr>
                <w:rFonts w:ascii="Arial" w:cs="Arial" w:eastAsia="Arial" w:hAnsi="Arial"/>
                <w:sz w:val="21"/>
                <w:szCs w:val="21"/>
                <w:color w:val="auto"/>
                <w:w w:val="90"/>
              </w:rPr>
              <w:t>Years of Service</w:t>
            </w:r>
          </w:p>
        </w:tc>
        <w:tc>
          <w:tcPr>
            <w:tcW w:w="1680" w:type="dxa"/>
            <w:vAlign w:val="bottom"/>
            <w:gridSpan w:val="2"/>
          </w:tcPr>
          <w:p>
            <w:pPr>
              <w:jc w:val="right"/>
              <w:ind w:right="120"/>
              <w:spacing w:after="0"/>
              <w:rPr>
                <w:sz w:val="20"/>
                <w:szCs w:val="20"/>
                <w:color w:val="auto"/>
              </w:rPr>
            </w:pPr>
            <w:r>
              <w:rPr>
                <w:rFonts w:ascii="Arial" w:cs="Arial" w:eastAsia="Arial" w:hAnsi="Arial"/>
                <w:sz w:val="21"/>
                <w:szCs w:val="21"/>
                <w:color w:val="auto"/>
                <w:w w:val="86"/>
              </w:rPr>
              <w:t>Vested Percentage</w:t>
            </w:r>
          </w:p>
        </w:tc>
      </w:tr>
      <w:tr>
        <w:trPr>
          <w:trHeight w:val="20"/>
        </w:trPr>
        <w:tc>
          <w:tcPr>
            <w:tcW w:w="1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59"/>
        </w:trPr>
        <w:tc>
          <w:tcPr>
            <w:tcW w:w="1400" w:type="dxa"/>
            <w:vAlign w:val="bottom"/>
          </w:tcPr>
          <w:p>
            <w:pPr>
              <w:jc w:val="center"/>
              <w:spacing w:after="0"/>
              <w:rPr>
                <w:sz w:val="20"/>
                <w:szCs w:val="20"/>
                <w:color w:val="auto"/>
              </w:rPr>
            </w:pPr>
            <w:r>
              <w:rPr>
                <w:rFonts w:ascii="Arial" w:cs="Arial" w:eastAsia="Arial" w:hAnsi="Arial"/>
                <w:sz w:val="21"/>
                <w:szCs w:val="21"/>
                <w:color w:val="auto"/>
                <w:w w:val="91"/>
              </w:rPr>
              <w:t>Fewer than 1</w:t>
            </w:r>
          </w:p>
        </w:tc>
        <w:tc>
          <w:tcPr>
            <w:tcW w:w="48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21"/>
                <w:szCs w:val="21"/>
                <w:color w:val="auto"/>
              </w:rPr>
              <w:t>0%</w:t>
            </w:r>
          </w:p>
        </w:tc>
      </w:tr>
      <w:tr>
        <w:trPr>
          <w:trHeight w:val="267"/>
        </w:trPr>
        <w:tc>
          <w:tcPr>
            <w:tcW w:w="1400" w:type="dxa"/>
            <w:vAlign w:val="bottom"/>
          </w:tcPr>
          <w:p>
            <w:pPr>
              <w:jc w:val="center"/>
              <w:spacing w:after="0"/>
              <w:rPr>
                <w:sz w:val="20"/>
                <w:szCs w:val="20"/>
                <w:color w:val="auto"/>
              </w:rPr>
            </w:pPr>
            <w:r>
              <w:rPr>
                <w:rFonts w:ascii="Arial" w:cs="Arial" w:eastAsia="Arial" w:hAnsi="Arial"/>
                <w:sz w:val="21"/>
                <w:szCs w:val="21"/>
                <w:color w:val="auto"/>
              </w:rPr>
              <w:t>1</w:t>
            </w:r>
          </w:p>
        </w:tc>
        <w:tc>
          <w:tcPr>
            <w:tcW w:w="48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Arial" w:cs="Arial" w:eastAsia="Arial" w:hAnsi="Arial"/>
                <w:sz w:val="21"/>
                <w:szCs w:val="21"/>
                <w:color w:val="auto"/>
              </w:rPr>
              <w:t>25%</w:t>
            </w:r>
          </w:p>
        </w:tc>
      </w:tr>
      <w:tr>
        <w:trPr>
          <w:trHeight w:val="267"/>
        </w:trPr>
        <w:tc>
          <w:tcPr>
            <w:tcW w:w="1400" w:type="dxa"/>
            <w:vAlign w:val="bottom"/>
          </w:tcPr>
          <w:p>
            <w:pPr>
              <w:jc w:val="center"/>
              <w:spacing w:after="0"/>
              <w:rPr>
                <w:sz w:val="20"/>
                <w:szCs w:val="20"/>
                <w:color w:val="auto"/>
              </w:rPr>
            </w:pPr>
            <w:r>
              <w:rPr>
                <w:rFonts w:ascii="Arial" w:cs="Arial" w:eastAsia="Arial" w:hAnsi="Arial"/>
                <w:sz w:val="21"/>
                <w:szCs w:val="21"/>
                <w:color w:val="auto"/>
              </w:rPr>
              <w:t>2</w:t>
            </w:r>
          </w:p>
        </w:tc>
        <w:tc>
          <w:tcPr>
            <w:tcW w:w="48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Arial" w:cs="Arial" w:eastAsia="Arial" w:hAnsi="Arial"/>
                <w:sz w:val="21"/>
                <w:szCs w:val="21"/>
                <w:color w:val="auto"/>
              </w:rPr>
              <w:t>50%</w:t>
            </w:r>
          </w:p>
        </w:tc>
      </w:tr>
      <w:tr>
        <w:trPr>
          <w:trHeight w:val="267"/>
        </w:trPr>
        <w:tc>
          <w:tcPr>
            <w:tcW w:w="1400" w:type="dxa"/>
            <w:vAlign w:val="bottom"/>
          </w:tcPr>
          <w:p>
            <w:pPr>
              <w:jc w:val="center"/>
              <w:spacing w:after="0"/>
              <w:rPr>
                <w:sz w:val="20"/>
                <w:szCs w:val="20"/>
                <w:color w:val="auto"/>
              </w:rPr>
            </w:pPr>
            <w:r>
              <w:rPr>
                <w:rFonts w:ascii="Arial" w:cs="Arial" w:eastAsia="Arial" w:hAnsi="Arial"/>
                <w:sz w:val="21"/>
                <w:szCs w:val="21"/>
                <w:color w:val="auto"/>
              </w:rPr>
              <w:t>3</w:t>
            </w:r>
          </w:p>
        </w:tc>
        <w:tc>
          <w:tcPr>
            <w:tcW w:w="48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Arial" w:cs="Arial" w:eastAsia="Arial" w:hAnsi="Arial"/>
                <w:sz w:val="21"/>
                <w:szCs w:val="21"/>
                <w:color w:val="auto"/>
              </w:rPr>
              <w:t>75%</w:t>
            </w:r>
          </w:p>
        </w:tc>
      </w:tr>
      <w:tr>
        <w:trPr>
          <w:trHeight w:val="272"/>
        </w:trPr>
        <w:tc>
          <w:tcPr>
            <w:tcW w:w="1400" w:type="dxa"/>
            <w:vAlign w:val="bottom"/>
          </w:tcPr>
          <w:p>
            <w:pPr>
              <w:jc w:val="center"/>
              <w:spacing w:after="0"/>
              <w:rPr>
                <w:sz w:val="20"/>
                <w:szCs w:val="20"/>
                <w:color w:val="auto"/>
              </w:rPr>
            </w:pPr>
            <w:r>
              <w:rPr>
                <w:rFonts w:ascii="Arial" w:cs="Arial" w:eastAsia="Arial" w:hAnsi="Arial"/>
                <w:sz w:val="21"/>
                <w:szCs w:val="21"/>
                <w:color w:val="auto"/>
              </w:rPr>
              <w:t>4</w:t>
            </w:r>
          </w:p>
        </w:tc>
        <w:tc>
          <w:tcPr>
            <w:tcW w:w="48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Arial" w:cs="Arial" w:eastAsia="Arial" w:hAnsi="Arial"/>
                <w:sz w:val="21"/>
                <w:szCs w:val="21"/>
                <w:color w:val="auto"/>
              </w:rPr>
              <w:t>100%</w:t>
            </w:r>
          </w:p>
        </w:tc>
      </w:tr>
    </w:tbl>
    <w:p>
      <w:pPr>
        <w:spacing w:after="0" w:line="195"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When certain terminations of participation in the Plan occur, the non-vested portion of the participant's account represents a forfeiture. Forfeitures are applied toward payment of Company matching contributions otherwise required or are used to pay administrative expenses of the Plan. Forfeitures were not used to reduce Company contributions or pay administrative expenses for the year ended December 31, 2002. The employer contribution receivable as of December 31, 2001 has been shown net of forfeitures applied. There were no forfeitures applied towards the employer contribution amounts during the year ended December 31, 2002. Unallocated forfeitures as of December 31, 2002 and 2001 were approximately $41,000 and $21,000,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Termination Provisions</w:t>
      </w:r>
    </w:p>
    <w:p>
      <w:pPr>
        <w:spacing w:after="0" w:line="212" w:lineRule="exact"/>
        <w:rPr>
          <w:sz w:val="20"/>
          <w:szCs w:val="20"/>
          <w:color w:val="auto"/>
        </w:rPr>
      </w:pPr>
    </w:p>
    <w:p>
      <w:pPr>
        <w:ind w:right="140"/>
        <w:spacing w:after="0" w:line="254" w:lineRule="auto"/>
        <w:rPr>
          <w:sz w:val="20"/>
          <w:szCs w:val="20"/>
          <w:color w:val="auto"/>
        </w:rPr>
      </w:pPr>
      <w:r>
        <w:rPr>
          <w:rFonts w:ascii="Arial" w:cs="Arial" w:eastAsia="Arial" w:hAnsi="Arial"/>
          <w:sz w:val="21"/>
          <w:szCs w:val="21"/>
          <w:color w:val="auto"/>
        </w:rPr>
        <w:t>Although the Company has not expressed any intent to do so, it has the right, under the Plan document, to discontinue its contributions at any time and to terminate the Plan subject to the provisions of ERISA. In the event of Plan termination, participants will become 100% vested in their accounts.</w:t>
      </w:r>
    </w:p>
    <w:p>
      <w:pPr>
        <w:sectPr>
          <w:pgSz w:w="11900" w:h="16838" w:orient="portrait"/>
          <w:cols w:equalWidth="0" w:num="1">
            <w:col w:w="11420"/>
          </w:cols>
          <w:pgMar w:left="240" w:top="118" w:right="239" w:bottom="0" w:gutter="0" w:footer="0" w:header="0"/>
        </w:sectPr>
      </w:pPr>
    </w:p>
    <w:bookmarkStart w:id="4" w:name="page5"/>
    <w:bookmarkEnd w:id="4"/>
    <w:p>
      <w:pPr>
        <w:spacing w:after="0"/>
        <w:rPr>
          <w:sz w:val="20"/>
          <w:szCs w:val="20"/>
          <w:color w:val="auto"/>
        </w:rPr>
      </w:pPr>
      <w:r>
        <w:rPr>
          <w:rFonts w:ascii="Arial" w:cs="Arial" w:eastAsia="Arial" w:hAnsi="Arial"/>
          <w:sz w:val="21"/>
          <w:szCs w:val="21"/>
          <w:u w:val="single" w:color="auto"/>
          <w:color w:val="auto"/>
        </w:rPr>
        <w:t>Payments of Benefits</w:t>
      </w:r>
    </w:p>
    <w:p>
      <w:pPr>
        <w:spacing w:after="0" w:line="213"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A participant's entire interest in the Plan is payable by lump sum upon termination of employment, upon death of the participant, upon attaining normal retirement age (65), or upon being considered disabled as determined by the Committee. Effective July 2002, the annuity and installment payout options under the Plan were eliminated. Upon other terminations of service, a participant may elect to receive a distribution equal to his or her vested account balance. In addition, hardship distributions are permitted if certain criteria are met.</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Loans to Participants</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20"/>
          <w:szCs w:val="20"/>
          <w:color w:val="auto"/>
        </w:rPr>
        <w:t>A participant may borrow the lesser of $50,000 or 50% of his or her vested account balance with a minimum loan amount of $1,000. Loans are secured by the participant's account and bear a reasonable rate of interest as determined by the Committee. The loans are subject to certain restrictions, as defined by the Plan document and applicable restrictions under the IRC.</w:t>
      </w:r>
    </w:p>
    <w:p>
      <w:pPr>
        <w:spacing w:after="0" w:line="153" w:lineRule="exact"/>
        <w:rPr>
          <w:sz w:val="20"/>
          <w:szCs w:val="20"/>
          <w:color w:val="auto"/>
        </w:rPr>
      </w:pPr>
    </w:p>
    <w:p>
      <w:pPr>
        <w:ind w:right="5800" w:firstLine="7"/>
        <w:spacing w:after="0" w:line="451" w:lineRule="auto"/>
        <w:tabs>
          <w:tab w:leader="none" w:pos="214" w:val="left"/>
        </w:tabs>
        <w:numPr>
          <w:ilvl w:val="0"/>
          <w:numId w:val="3"/>
        </w:numPr>
        <w:rPr>
          <w:rFonts w:ascii="Arial" w:cs="Arial" w:eastAsia="Arial" w:hAnsi="Arial"/>
          <w:sz w:val="21"/>
          <w:szCs w:val="21"/>
          <w:color w:val="auto"/>
        </w:rPr>
      </w:pPr>
      <w:r>
        <w:rPr>
          <w:rFonts w:ascii="Arial" w:cs="Arial" w:eastAsia="Arial" w:hAnsi="Arial"/>
          <w:sz w:val="21"/>
          <w:szCs w:val="21"/>
          <w:u w:val="single" w:color="auto"/>
          <w:color w:val="auto"/>
        </w:rPr>
        <w:t>SUMMARY OF SIGNIFICANT ACCOUNTING POLICIES: Basis of Accounting</w:t>
      </w:r>
    </w:p>
    <w:p>
      <w:pPr>
        <w:ind w:right="3760"/>
        <w:spacing w:after="0" w:line="451" w:lineRule="auto"/>
        <w:rPr>
          <w:rFonts w:ascii="Arial" w:cs="Arial" w:eastAsia="Arial" w:hAnsi="Arial"/>
          <w:sz w:val="21"/>
          <w:szCs w:val="21"/>
          <w:color w:val="auto"/>
        </w:rPr>
      </w:pPr>
      <w:r>
        <w:rPr>
          <w:rFonts w:ascii="Arial" w:cs="Arial" w:eastAsia="Arial" w:hAnsi="Arial"/>
          <w:sz w:val="21"/>
          <w:szCs w:val="21"/>
          <w:color w:val="auto"/>
        </w:rPr>
        <w:t xml:space="preserve">The accompanying financial statements are presented on the accrual basis of accounting. </w:t>
      </w:r>
      <w:r>
        <w:rPr>
          <w:rFonts w:ascii="Arial" w:cs="Arial" w:eastAsia="Arial" w:hAnsi="Arial"/>
          <w:sz w:val="21"/>
          <w:szCs w:val="21"/>
          <w:u w:val="single" w:color="auto"/>
          <w:color w:val="auto"/>
        </w:rPr>
        <w:t>Use of Estimates</w:t>
      </w:r>
    </w:p>
    <w:p>
      <w:pPr>
        <w:jc w:val="both"/>
        <w:ind w:right="80"/>
        <w:spacing w:after="0" w:line="249" w:lineRule="auto"/>
        <w:rPr>
          <w:sz w:val="20"/>
          <w:szCs w:val="20"/>
          <w:color w:val="auto"/>
        </w:rPr>
      </w:pPr>
      <w:r>
        <w:rPr>
          <w:rFonts w:ascii="Arial" w:cs="Arial" w:eastAsia="Arial" w:hAnsi="Arial"/>
          <w:sz w:val="21"/>
          <w:szCs w:val="21"/>
          <w:color w:val="auto"/>
        </w:rPr>
        <w:t>The preparation of financial statements in conformity with generally accepted accounting principles requires management to make estimates and assumptions that affect the reported amounts of assets and liabilities, the disclosure of contingent assets and liabilities at December 31, 2002 and 2001 and the reported amounts of additions to and deductions from net assets. Actual results could differ from those estimates.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Investment Valuation and Income Recognition</w:t>
      </w:r>
    </w:p>
    <w:p>
      <w:pPr>
        <w:spacing w:after="0" w:line="212" w:lineRule="exact"/>
        <w:rPr>
          <w:sz w:val="20"/>
          <w:szCs w:val="20"/>
          <w:color w:val="auto"/>
        </w:rPr>
      </w:pPr>
    </w:p>
    <w:p>
      <w:pPr>
        <w:ind w:right="40"/>
        <w:spacing w:after="0" w:line="254" w:lineRule="auto"/>
        <w:rPr>
          <w:sz w:val="20"/>
          <w:szCs w:val="20"/>
          <w:color w:val="auto"/>
        </w:rPr>
      </w:pPr>
      <w:r>
        <w:rPr>
          <w:rFonts w:ascii="Arial" w:cs="Arial" w:eastAsia="Arial" w:hAnsi="Arial"/>
          <w:sz w:val="21"/>
          <w:szCs w:val="21"/>
          <w:color w:val="auto"/>
        </w:rPr>
        <w:t>The Plan's investments in money market funds and mutual funds are stated at fair value based on quoted market prices. Company common stock is traded on a national securities exchange and is valued at the last reported sales price on the last business day of the year. Loans are valued at cost which approximates fair market value.</w:t>
      </w:r>
    </w:p>
    <w:p>
      <w:pPr>
        <w:spacing w:after="0" w:line="168" w:lineRule="exact"/>
        <w:rPr>
          <w:sz w:val="20"/>
          <w:szCs w:val="20"/>
          <w:color w:val="auto"/>
        </w:rPr>
      </w:pPr>
    </w:p>
    <w:p>
      <w:pPr>
        <w:ind w:right="100"/>
        <w:spacing w:after="0" w:line="283" w:lineRule="auto"/>
        <w:rPr>
          <w:sz w:val="20"/>
          <w:szCs w:val="20"/>
          <w:color w:val="auto"/>
        </w:rPr>
      </w:pPr>
      <w:r>
        <w:rPr>
          <w:rFonts w:ascii="Arial" w:cs="Arial" w:eastAsia="Arial" w:hAnsi="Arial"/>
          <w:sz w:val="19"/>
          <w:szCs w:val="19"/>
          <w:color w:val="auto"/>
        </w:rPr>
        <w:t>Net realized and unrealized appreciation (depreciation) on investments is shown as net depreciation in fair market value of investments in the accompanying financial statements and is determined as the difference between market value at the beginning of the year (or date purchased during the year) and selling price or year end market value. Purchases and sales of investments are recorded on a trade date basis. Interest income is accrued when earned. Dividend income is recorded on the ex-dividend date.</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1"/>
          <w:szCs w:val="21"/>
          <w:u w:val="single" w:color="auto"/>
          <w:color w:val="auto"/>
        </w:rPr>
        <w:t>Administrative Expenses</w:t>
      </w:r>
    </w:p>
    <w:p>
      <w:pPr>
        <w:spacing w:after="0" w:line="212" w:lineRule="exact"/>
        <w:rPr>
          <w:sz w:val="20"/>
          <w:szCs w:val="20"/>
          <w:color w:val="auto"/>
        </w:rPr>
      </w:pPr>
    </w:p>
    <w:p>
      <w:pPr>
        <w:ind w:right="40"/>
        <w:spacing w:after="0" w:line="323" w:lineRule="auto"/>
        <w:rPr>
          <w:sz w:val="20"/>
          <w:szCs w:val="20"/>
          <w:color w:val="auto"/>
        </w:rPr>
      </w:pPr>
      <w:r>
        <w:rPr>
          <w:rFonts w:ascii="Arial" w:cs="Arial" w:eastAsia="Arial" w:hAnsi="Arial"/>
          <w:sz w:val="19"/>
          <w:szCs w:val="19"/>
          <w:color w:val="auto"/>
        </w:rPr>
        <w:t>Expenses of administering the Plan are paid by the Plan. Loan and investment fees are deducted from the participants' accounts on a pro-rata basis. For the year ended December 31, 2002 loan and investment fees paid by the Plan were $258,394.</w:t>
      </w:r>
    </w:p>
    <w:p>
      <w:pPr>
        <w:spacing w:after="0" w:line="10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Payment of Benefits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Benefits are recorded when paid.</w:t>
      </w:r>
    </w:p>
    <w:p>
      <w:pPr>
        <w:spacing w:after="0" w:line="212" w:lineRule="exact"/>
        <w:rPr>
          <w:sz w:val="20"/>
          <w:szCs w:val="20"/>
          <w:color w:val="auto"/>
        </w:rPr>
      </w:pPr>
    </w:p>
    <w:p>
      <w:pPr>
        <w:ind w:left="220" w:hanging="213"/>
        <w:spacing w:after="0"/>
        <w:tabs>
          <w:tab w:leader="none" w:pos="220"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INVESTMENTS:</w:t>
      </w:r>
    </w:p>
    <w:p>
      <w:pPr>
        <w:spacing w:after="0" w:line="212" w:lineRule="exact"/>
        <w:rPr>
          <w:sz w:val="20"/>
          <w:szCs w:val="20"/>
          <w:color w:val="auto"/>
        </w:rPr>
      </w:pPr>
    </w:p>
    <w:p>
      <w:pPr>
        <w:ind w:right="180"/>
        <w:spacing w:after="0" w:line="323" w:lineRule="auto"/>
        <w:rPr>
          <w:sz w:val="20"/>
          <w:szCs w:val="20"/>
          <w:color w:val="auto"/>
        </w:rPr>
      </w:pPr>
      <w:r>
        <w:rPr>
          <w:rFonts w:ascii="Arial" w:cs="Arial" w:eastAsia="Arial" w:hAnsi="Arial"/>
          <w:sz w:val="19"/>
          <w:szCs w:val="19"/>
          <w:color w:val="auto"/>
        </w:rPr>
        <w:t>Various investment advisors manage the Plan's assets. Participants may direct their investments in various investment options in mutual funds and money market funds. Participants may also invest in Vail Resorts, Inc. common stock, a publicly traded security.</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investments that exceed 5% of net assets available for benefits as of December 31, 2002 and 2001:</w:t>
      </w:r>
    </w:p>
    <w:p>
      <w:pPr>
        <w:spacing w:after="0" w:line="229" w:lineRule="exact"/>
        <w:rPr>
          <w:sz w:val="20"/>
          <w:szCs w:val="20"/>
          <w:color w:val="auto"/>
        </w:rPr>
      </w:pPr>
    </w:p>
    <w:tbl>
      <w:tblPr>
        <w:tblLayout w:type="fixed"/>
        <w:tblInd w:w="1480" w:type="dxa"/>
        <w:tblCellMar>
          <w:top w:w="0" w:type="dxa"/>
          <w:left w:w="0" w:type="dxa"/>
          <w:bottom w:w="0" w:type="dxa"/>
          <w:right w:w="0" w:type="dxa"/>
        </w:tblCellMar>
      </w:tblPr>
      <w:tr>
        <w:trPr>
          <w:trHeight w:val="241"/>
        </w:trPr>
        <w:tc>
          <w:tcPr>
            <w:tcW w:w="3320" w:type="dxa"/>
            <w:vAlign w:val="bottom"/>
          </w:tcPr>
          <w:p>
            <w:pPr>
              <w:spacing w:after="0"/>
              <w:rPr>
                <w:sz w:val="21"/>
                <w:szCs w:val="21"/>
                <w:color w:val="auto"/>
              </w:rPr>
            </w:pPr>
          </w:p>
        </w:tc>
        <w:tc>
          <w:tcPr>
            <w:tcW w:w="16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21"/>
                <w:szCs w:val="21"/>
                <w:b w:val="1"/>
                <w:bCs w:val="1"/>
                <w:color w:val="auto"/>
              </w:rPr>
              <w:t>2002</w:t>
            </w:r>
          </w:p>
        </w:tc>
        <w:tc>
          <w:tcPr>
            <w:tcW w:w="8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21"/>
                <w:szCs w:val="21"/>
                <w:b w:val="1"/>
                <w:bCs w:val="1"/>
                <w:color w:val="auto"/>
              </w:rPr>
              <w:t>2001</w:t>
            </w:r>
          </w:p>
        </w:tc>
        <w:tc>
          <w:tcPr>
            <w:tcW w:w="7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3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ind w:left="140"/>
              <w:spacing w:after="0"/>
              <w:rPr>
                <w:sz w:val="20"/>
                <w:szCs w:val="20"/>
                <w:color w:val="auto"/>
              </w:rPr>
            </w:pPr>
            <w:r>
              <w:rPr>
                <w:rFonts w:ascii="Arial" w:cs="Arial" w:eastAsia="Arial" w:hAnsi="Arial"/>
                <w:sz w:val="21"/>
                <w:szCs w:val="21"/>
                <w:b w:val="1"/>
                <w:bCs w:val="1"/>
                <w:color w:val="auto"/>
              </w:rPr>
              <w:t>Fair</w:t>
            </w: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21"/>
                <w:szCs w:val="21"/>
                <w:b w:val="1"/>
                <w:bCs w:val="1"/>
                <w:color w:val="auto"/>
              </w:rPr>
              <w:t>Fair</w:t>
            </w:r>
          </w:p>
        </w:tc>
        <w:tc>
          <w:tcPr>
            <w:tcW w:w="0" w:type="dxa"/>
            <w:vAlign w:val="bottom"/>
          </w:tcPr>
          <w:p>
            <w:pPr>
              <w:spacing w:after="0"/>
              <w:rPr>
                <w:sz w:val="1"/>
                <w:szCs w:val="1"/>
                <w:color w:val="auto"/>
              </w:rPr>
            </w:pPr>
          </w:p>
        </w:tc>
      </w:tr>
      <w:tr>
        <w:trPr>
          <w:trHeight w:val="228"/>
        </w:trPr>
        <w:tc>
          <w:tcPr>
            <w:tcW w:w="3320" w:type="dxa"/>
            <w:vAlign w:val="bottom"/>
            <w:vMerge w:val="restart"/>
          </w:tcPr>
          <w:p>
            <w:pPr>
              <w:spacing w:after="0"/>
              <w:rPr>
                <w:sz w:val="20"/>
                <w:szCs w:val="20"/>
                <w:color w:val="auto"/>
              </w:rPr>
            </w:pPr>
            <w:r>
              <w:rPr>
                <w:rFonts w:ascii="Arial" w:cs="Arial" w:eastAsia="Arial" w:hAnsi="Arial"/>
                <w:sz w:val="21"/>
                <w:szCs w:val="21"/>
                <w:color w:val="auto"/>
                <w:w w:val="99"/>
              </w:rPr>
              <w:t>Frank Russell Investment Company</w:t>
            </w:r>
          </w:p>
        </w:tc>
        <w:tc>
          <w:tcPr>
            <w:tcW w:w="60" w:type="dxa"/>
            <w:vAlign w:val="bottom"/>
          </w:tcPr>
          <w:p>
            <w:pPr>
              <w:spacing w:after="0"/>
              <w:rPr>
                <w:sz w:val="19"/>
                <w:szCs w:val="19"/>
                <w:color w:val="auto"/>
              </w:rPr>
            </w:pPr>
          </w:p>
        </w:tc>
        <w:tc>
          <w:tcPr>
            <w:tcW w:w="1300" w:type="dxa"/>
            <w:vAlign w:val="bottom"/>
            <w:gridSpan w:val="2"/>
          </w:tcPr>
          <w:p>
            <w:pPr>
              <w:jc w:val="right"/>
              <w:ind w:right="140"/>
              <w:spacing w:after="0" w:line="228" w:lineRule="exact"/>
              <w:rPr>
                <w:sz w:val="20"/>
                <w:szCs w:val="20"/>
                <w:color w:val="auto"/>
              </w:rPr>
            </w:pPr>
            <w:r>
              <w:rPr>
                <w:rFonts w:ascii="Arial" w:cs="Arial" w:eastAsia="Arial" w:hAnsi="Arial"/>
                <w:sz w:val="21"/>
                <w:szCs w:val="21"/>
                <w:b w:val="1"/>
                <w:bCs w:val="1"/>
                <w:color w:val="auto"/>
                <w:w w:val="88"/>
              </w:rPr>
              <w:t>Units/Shares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ind w:left="60"/>
              <w:spacing w:after="0" w:line="228" w:lineRule="exact"/>
              <w:rPr>
                <w:sz w:val="20"/>
                <w:szCs w:val="20"/>
                <w:color w:val="auto"/>
              </w:rPr>
            </w:pPr>
            <w:r>
              <w:rPr>
                <w:rFonts w:ascii="Arial" w:cs="Arial" w:eastAsia="Arial" w:hAnsi="Arial"/>
                <w:sz w:val="21"/>
                <w:szCs w:val="21"/>
                <w:b w:val="1"/>
                <w:bCs w:val="1"/>
                <w:color w:val="auto"/>
              </w:rPr>
              <w:t>Value</w:t>
            </w:r>
          </w:p>
        </w:tc>
        <w:tc>
          <w:tcPr>
            <w:tcW w:w="1360" w:type="dxa"/>
            <w:vAlign w:val="bottom"/>
            <w:gridSpan w:val="3"/>
          </w:tcPr>
          <w:p>
            <w:pPr>
              <w:jc w:val="right"/>
              <w:ind w:right="140"/>
              <w:spacing w:after="0" w:line="228" w:lineRule="exact"/>
              <w:rPr>
                <w:sz w:val="20"/>
                <w:szCs w:val="20"/>
                <w:color w:val="auto"/>
              </w:rPr>
            </w:pPr>
            <w:r>
              <w:rPr>
                <w:rFonts w:ascii="Arial" w:cs="Arial" w:eastAsia="Arial" w:hAnsi="Arial"/>
                <w:sz w:val="21"/>
                <w:szCs w:val="21"/>
                <w:b w:val="1"/>
                <w:bCs w:val="1"/>
                <w:color w:val="auto"/>
                <w:w w:val="93"/>
              </w:rPr>
              <w:t>Units/Shares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0"/>
              <w:spacing w:after="0" w:line="228" w:lineRule="exact"/>
              <w:rPr>
                <w:sz w:val="20"/>
                <w:szCs w:val="20"/>
                <w:color w:val="auto"/>
              </w:rPr>
            </w:pPr>
            <w:r>
              <w:rPr>
                <w:rFonts w:ascii="Arial" w:cs="Arial" w:eastAsia="Arial" w:hAnsi="Arial"/>
                <w:sz w:val="21"/>
                <w:szCs w:val="21"/>
                <w:b w:val="1"/>
                <w:bCs w:val="1"/>
                <w:color w:val="auto"/>
              </w:rPr>
              <w:t>Value</w:t>
            </w:r>
          </w:p>
        </w:tc>
        <w:tc>
          <w:tcPr>
            <w:tcW w:w="0" w:type="dxa"/>
            <w:vAlign w:val="bottom"/>
          </w:tcPr>
          <w:p>
            <w:pPr>
              <w:spacing w:after="0"/>
              <w:rPr>
                <w:sz w:val="1"/>
                <w:szCs w:val="1"/>
                <w:color w:val="auto"/>
              </w:rPr>
            </w:pPr>
          </w:p>
        </w:tc>
      </w:tr>
      <w:tr>
        <w:trPr>
          <w:trHeight w:val="292"/>
        </w:trPr>
        <w:tc>
          <w:tcPr>
            <w:tcW w:w="33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3320" w:type="dxa"/>
            <w:vAlign w:val="bottom"/>
          </w:tcPr>
          <w:p>
            <w:pPr>
              <w:ind w:left="340"/>
              <w:spacing w:after="0"/>
              <w:rPr>
                <w:sz w:val="20"/>
                <w:szCs w:val="20"/>
                <w:color w:val="auto"/>
              </w:rPr>
            </w:pPr>
            <w:r>
              <w:rPr>
                <w:rFonts w:ascii="Arial" w:cs="Arial" w:eastAsia="Arial" w:hAnsi="Arial"/>
                <w:sz w:val="21"/>
                <w:szCs w:val="21"/>
                <w:color w:val="auto"/>
              </w:rPr>
              <w:t>Money Market Fund-</w:t>
            </w: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3320" w:type="dxa"/>
            <w:vAlign w:val="bottom"/>
          </w:tcPr>
          <w:p>
            <w:pPr>
              <w:ind w:left="840"/>
              <w:spacing w:after="0" w:line="240" w:lineRule="exact"/>
              <w:rPr>
                <w:sz w:val="20"/>
                <w:szCs w:val="20"/>
                <w:color w:val="auto"/>
              </w:rPr>
            </w:pPr>
            <w:r>
              <w:rPr>
                <w:rFonts w:ascii="Arial" w:cs="Arial" w:eastAsia="Arial" w:hAnsi="Arial"/>
                <w:sz w:val="21"/>
                <w:szCs w:val="21"/>
                <w:color w:val="auto"/>
              </w:rPr>
              <w:t>Russell Money Market</w:t>
            </w:r>
          </w:p>
        </w:tc>
        <w:tc>
          <w:tcPr>
            <w:tcW w:w="1360" w:type="dxa"/>
            <w:vAlign w:val="bottom"/>
            <w:gridSpan w:val="3"/>
          </w:tcPr>
          <w:p>
            <w:pPr>
              <w:jc w:val="right"/>
              <w:ind w:right="100"/>
              <w:spacing w:after="0" w:line="240" w:lineRule="exact"/>
              <w:rPr>
                <w:sz w:val="20"/>
                <w:szCs w:val="20"/>
                <w:color w:val="auto"/>
              </w:rPr>
            </w:pPr>
            <w:r>
              <w:rPr>
                <w:rFonts w:ascii="Arial" w:cs="Arial" w:eastAsia="Arial" w:hAnsi="Arial"/>
                <w:sz w:val="21"/>
                <w:szCs w:val="21"/>
                <w:color w:val="auto"/>
              </w:rPr>
              <w:t>7,562,535</w:t>
            </w:r>
          </w:p>
        </w:tc>
        <w:tc>
          <w:tcPr>
            <w:tcW w:w="240" w:type="dxa"/>
            <w:vAlign w:val="bottom"/>
            <w:gridSpan w:val="2"/>
          </w:tcPr>
          <w:p>
            <w:pPr>
              <w:jc w:val="right"/>
              <w:ind w:right="60"/>
              <w:spacing w:after="0" w:line="240" w:lineRule="exact"/>
              <w:rPr>
                <w:sz w:val="20"/>
                <w:szCs w:val="20"/>
                <w:color w:val="auto"/>
              </w:rPr>
            </w:pPr>
            <w:r>
              <w:rPr>
                <w:rFonts w:ascii="Arial" w:cs="Arial" w:eastAsia="Arial" w:hAnsi="Arial"/>
                <w:sz w:val="21"/>
                <w:szCs w:val="21"/>
                <w:color w:val="auto"/>
              </w:rPr>
              <w:t>$</w:t>
            </w:r>
          </w:p>
        </w:tc>
        <w:tc>
          <w:tcPr>
            <w:tcW w:w="980" w:type="dxa"/>
            <w:vAlign w:val="bottom"/>
            <w:gridSpan w:val="3"/>
          </w:tcPr>
          <w:p>
            <w:pPr>
              <w:ind w:left="100"/>
              <w:spacing w:after="0" w:line="240" w:lineRule="exact"/>
              <w:rPr>
                <w:sz w:val="20"/>
                <w:szCs w:val="20"/>
                <w:color w:val="auto"/>
              </w:rPr>
            </w:pPr>
            <w:r>
              <w:rPr>
                <w:rFonts w:ascii="Arial" w:cs="Arial" w:eastAsia="Arial" w:hAnsi="Arial"/>
                <w:sz w:val="21"/>
                <w:szCs w:val="21"/>
                <w:color w:val="auto"/>
                <w:w w:val="92"/>
              </w:rPr>
              <w:t>7,562,535</w:t>
            </w:r>
          </w:p>
        </w:tc>
        <w:tc>
          <w:tcPr>
            <w:tcW w:w="1360" w:type="dxa"/>
            <w:vAlign w:val="bottom"/>
            <w:gridSpan w:val="3"/>
          </w:tcPr>
          <w:p>
            <w:pPr>
              <w:jc w:val="right"/>
              <w:ind w:right="80"/>
              <w:spacing w:after="0" w:line="240" w:lineRule="exact"/>
              <w:rPr>
                <w:sz w:val="20"/>
                <w:szCs w:val="20"/>
                <w:color w:val="auto"/>
              </w:rPr>
            </w:pPr>
            <w:r>
              <w:rPr>
                <w:rFonts w:ascii="Arial" w:cs="Arial" w:eastAsia="Arial" w:hAnsi="Arial"/>
                <w:sz w:val="21"/>
                <w:szCs w:val="21"/>
                <w:color w:val="auto"/>
              </w:rPr>
              <w:t>4,870,122</w:t>
            </w:r>
          </w:p>
        </w:tc>
        <w:tc>
          <w:tcPr>
            <w:tcW w:w="260" w:type="dxa"/>
            <w:vAlign w:val="bottom"/>
            <w:gridSpan w:val="2"/>
          </w:tcPr>
          <w:p>
            <w:pPr>
              <w:jc w:val="right"/>
              <w:ind w:right="60"/>
              <w:spacing w:after="0" w:line="240" w:lineRule="exact"/>
              <w:rPr>
                <w:sz w:val="20"/>
                <w:szCs w:val="20"/>
                <w:color w:val="auto"/>
              </w:rPr>
            </w:pPr>
            <w:r>
              <w:rPr>
                <w:rFonts w:ascii="Arial" w:cs="Arial" w:eastAsia="Arial" w:hAnsi="Arial"/>
                <w:sz w:val="21"/>
                <w:szCs w:val="21"/>
                <w:color w:val="auto"/>
              </w:rPr>
              <w:t>$</w:t>
            </w:r>
          </w:p>
        </w:tc>
        <w:tc>
          <w:tcPr>
            <w:tcW w:w="960" w:type="dxa"/>
            <w:vAlign w:val="bottom"/>
            <w:gridSpan w:val="2"/>
          </w:tcPr>
          <w:p>
            <w:pPr>
              <w:ind w:left="100"/>
              <w:spacing w:after="0" w:line="240" w:lineRule="exact"/>
              <w:rPr>
                <w:sz w:val="20"/>
                <w:szCs w:val="20"/>
                <w:color w:val="auto"/>
              </w:rPr>
            </w:pPr>
            <w:r>
              <w:rPr>
                <w:rFonts w:ascii="Arial" w:cs="Arial" w:eastAsia="Arial" w:hAnsi="Arial"/>
                <w:sz w:val="21"/>
                <w:szCs w:val="21"/>
                <w:color w:val="auto"/>
                <w:w w:val="89"/>
              </w:rPr>
              <w:t>4,870,122</w:t>
            </w:r>
          </w:p>
        </w:tc>
        <w:tc>
          <w:tcPr>
            <w:tcW w:w="0" w:type="dxa"/>
            <w:vAlign w:val="bottom"/>
          </w:tcPr>
          <w:p>
            <w:pPr>
              <w:spacing w:after="0"/>
              <w:rPr>
                <w:sz w:val="1"/>
                <w:szCs w:val="1"/>
                <w:color w:val="auto"/>
              </w:rPr>
            </w:pPr>
          </w:p>
        </w:tc>
      </w:tr>
      <w:tr>
        <w:trPr>
          <w:trHeight w:val="267"/>
        </w:trPr>
        <w:tc>
          <w:tcPr>
            <w:tcW w:w="3320" w:type="dxa"/>
            <w:vAlign w:val="bottom"/>
          </w:tcPr>
          <w:p>
            <w:pPr>
              <w:ind w:left="840"/>
              <w:spacing w:after="0"/>
              <w:rPr>
                <w:sz w:val="20"/>
                <w:szCs w:val="20"/>
                <w:color w:val="auto"/>
              </w:rPr>
            </w:pPr>
            <w:r>
              <w:rPr>
                <w:rFonts w:ascii="Arial" w:cs="Arial" w:eastAsia="Arial" w:hAnsi="Arial"/>
                <w:sz w:val="21"/>
                <w:szCs w:val="21"/>
                <w:color w:val="auto"/>
              </w:rPr>
              <w:t>Fund</w:t>
            </w: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320" w:type="dxa"/>
            <w:vAlign w:val="bottom"/>
          </w:tcPr>
          <w:p>
            <w:pPr>
              <w:ind w:left="340"/>
              <w:spacing w:after="0"/>
              <w:rPr>
                <w:sz w:val="20"/>
                <w:szCs w:val="20"/>
                <w:color w:val="auto"/>
              </w:rPr>
            </w:pPr>
            <w:r>
              <w:rPr>
                <w:rFonts w:ascii="Arial" w:cs="Arial" w:eastAsia="Arial" w:hAnsi="Arial"/>
                <w:sz w:val="21"/>
                <w:szCs w:val="21"/>
                <w:color w:val="auto"/>
              </w:rPr>
              <w:t>Mutual Funds-</w:t>
            </w: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320" w:type="dxa"/>
            <w:vAlign w:val="bottom"/>
          </w:tcPr>
          <w:p>
            <w:pPr>
              <w:ind w:left="840"/>
              <w:spacing w:after="0"/>
              <w:rPr>
                <w:sz w:val="20"/>
                <w:szCs w:val="20"/>
                <w:color w:val="auto"/>
              </w:rPr>
            </w:pPr>
            <w:r>
              <w:rPr>
                <w:rFonts w:ascii="Arial" w:cs="Arial" w:eastAsia="Arial" w:hAnsi="Arial"/>
                <w:sz w:val="21"/>
                <w:szCs w:val="21"/>
                <w:color w:val="auto"/>
              </w:rPr>
              <w:t>Russell Equity I</w:t>
            </w:r>
          </w:p>
        </w:tc>
        <w:tc>
          <w:tcPr>
            <w:tcW w:w="1360" w:type="dxa"/>
            <w:vAlign w:val="bottom"/>
            <w:gridSpan w:val="3"/>
          </w:tcPr>
          <w:p>
            <w:pPr>
              <w:jc w:val="right"/>
              <w:ind w:right="100"/>
              <w:spacing w:after="0"/>
              <w:rPr>
                <w:sz w:val="20"/>
                <w:szCs w:val="20"/>
                <w:color w:val="auto"/>
              </w:rPr>
            </w:pPr>
            <w:r>
              <w:rPr>
                <w:rFonts w:ascii="Arial" w:cs="Arial" w:eastAsia="Arial" w:hAnsi="Arial"/>
                <w:sz w:val="21"/>
                <w:szCs w:val="21"/>
                <w:color w:val="auto"/>
              </w:rPr>
              <w:t>804,114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3"/>
          </w:tcPr>
          <w:p>
            <w:pPr>
              <w:ind w:left="100"/>
              <w:spacing w:after="0"/>
              <w:rPr>
                <w:sz w:val="20"/>
                <w:szCs w:val="20"/>
                <w:color w:val="auto"/>
              </w:rPr>
            </w:pPr>
            <w:r>
              <w:rPr>
                <w:rFonts w:ascii="Arial" w:cs="Arial" w:eastAsia="Arial" w:hAnsi="Arial"/>
                <w:sz w:val="21"/>
                <w:szCs w:val="21"/>
                <w:color w:val="auto"/>
                <w:w w:val="92"/>
              </w:rPr>
              <w:t>6,069,924</w:t>
            </w:r>
          </w:p>
        </w:tc>
        <w:tc>
          <w:tcPr>
            <w:tcW w:w="1360" w:type="dxa"/>
            <w:vAlign w:val="bottom"/>
            <w:gridSpan w:val="3"/>
          </w:tcPr>
          <w:p>
            <w:pPr>
              <w:jc w:val="right"/>
              <w:ind w:right="80"/>
              <w:spacing w:after="0"/>
              <w:rPr>
                <w:sz w:val="20"/>
                <w:szCs w:val="20"/>
                <w:color w:val="auto"/>
              </w:rPr>
            </w:pPr>
            <w:r>
              <w:rPr>
                <w:rFonts w:ascii="Arial" w:cs="Arial" w:eastAsia="Arial" w:hAnsi="Arial"/>
                <w:sz w:val="21"/>
                <w:szCs w:val="21"/>
                <w:color w:val="auto"/>
              </w:rPr>
              <w:t>220,584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ind w:left="100"/>
              <w:spacing w:after="0"/>
              <w:rPr>
                <w:sz w:val="20"/>
                <w:szCs w:val="20"/>
                <w:color w:val="auto"/>
              </w:rPr>
            </w:pPr>
            <w:r>
              <w:rPr>
                <w:rFonts w:ascii="Arial" w:cs="Arial" w:eastAsia="Arial" w:hAnsi="Arial"/>
                <w:sz w:val="21"/>
                <w:szCs w:val="21"/>
                <w:color w:val="auto"/>
                <w:w w:val="89"/>
              </w:rPr>
              <w:t>6,046,201</w:t>
            </w:r>
          </w:p>
        </w:tc>
        <w:tc>
          <w:tcPr>
            <w:tcW w:w="0" w:type="dxa"/>
            <w:vAlign w:val="bottom"/>
          </w:tcPr>
          <w:p>
            <w:pPr>
              <w:spacing w:after="0"/>
              <w:rPr>
                <w:sz w:val="1"/>
                <w:szCs w:val="1"/>
                <w:color w:val="auto"/>
              </w:rPr>
            </w:pPr>
          </w:p>
        </w:tc>
      </w:tr>
      <w:tr>
        <w:trPr>
          <w:trHeight w:val="267"/>
        </w:trPr>
        <w:tc>
          <w:tcPr>
            <w:tcW w:w="3320" w:type="dxa"/>
            <w:vAlign w:val="bottom"/>
          </w:tcPr>
          <w:p>
            <w:pPr>
              <w:ind w:left="840"/>
              <w:spacing w:after="0"/>
              <w:rPr>
                <w:sz w:val="20"/>
                <w:szCs w:val="20"/>
                <w:color w:val="auto"/>
              </w:rPr>
            </w:pPr>
            <w:r>
              <w:rPr>
                <w:rFonts w:ascii="Arial" w:cs="Arial" w:eastAsia="Arial" w:hAnsi="Arial"/>
                <w:sz w:val="21"/>
                <w:szCs w:val="21"/>
                <w:color w:val="auto"/>
              </w:rPr>
              <w:t>Russell Equity Q</w:t>
            </w:r>
          </w:p>
        </w:tc>
        <w:tc>
          <w:tcPr>
            <w:tcW w:w="1360" w:type="dxa"/>
            <w:vAlign w:val="bottom"/>
            <w:gridSpan w:val="3"/>
          </w:tcPr>
          <w:p>
            <w:pPr>
              <w:jc w:val="right"/>
              <w:ind w:right="100"/>
              <w:spacing w:after="0"/>
              <w:rPr>
                <w:sz w:val="20"/>
                <w:szCs w:val="20"/>
                <w:color w:val="auto"/>
              </w:rPr>
            </w:pPr>
            <w:r>
              <w:rPr>
                <w:rFonts w:ascii="Arial" w:cs="Arial" w:eastAsia="Arial" w:hAnsi="Arial"/>
                <w:sz w:val="21"/>
                <w:szCs w:val="21"/>
                <w:color w:val="auto"/>
              </w:rPr>
              <w:t>805,625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3"/>
          </w:tcPr>
          <w:p>
            <w:pPr>
              <w:ind w:left="100"/>
              <w:spacing w:after="0"/>
              <w:rPr>
                <w:sz w:val="20"/>
                <w:szCs w:val="20"/>
                <w:color w:val="auto"/>
              </w:rPr>
            </w:pPr>
            <w:r>
              <w:rPr>
                <w:rFonts w:ascii="Arial" w:cs="Arial" w:eastAsia="Arial" w:hAnsi="Arial"/>
                <w:sz w:val="21"/>
                <w:szCs w:val="21"/>
                <w:color w:val="auto"/>
                <w:w w:val="92"/>
              </w:rPr>
              <w:t>6,084,994</w:t>
            </w:r>
          </w:p>
        </w:tc>
        <w:tc>
          <w:tcPr>
            <w:tcW w:w="1360" w:type="dxa"/>
            <w:vAlign w:val="bottom"/>
            <w:gridSpan w:val="3"/>
          </w:tcPr>
          <w:p>
            <w:pPr>
              <w:jc w:val="right"/>
              <w:ind w:right="80"/>
              <w:spacing w:after="0"/>
              <w:rPr>
                <w:sz w:val="20"/>
                <w:szCs w:val="20"/>
                <w:color w:val="auto"/>
              </w:rPr>
            </w:pPr>
            <w:r>
              <w:rPr>
                <w:rFonts w:ascii="Arial" w:cs="Arial" w:eastAsia="Arial" w:hAnsi="Arial"/>
                <w:sz w:val="21"/>
                <w:szCs w:val="21"/>
                <w:color w:val="auto"/>
              </w:rPr>
              <w:t>186,658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ind w:left="100"/>
              <w:spacing w:after="0"/>
              <w:rPr>
                <w:sz w:val="20"/>
                <w:szCs w:val="20"/>
                <w:color w:val="auto"/>
              </w:rPr>
            </w:pPr>
            <w:r>
              <w:rPr>
                <w:rFonts w:ascii="Arial" w:cs="Arial" w:eastAsia="Arial" w:hAnsi="Arial"/>
                <w:sz w:val="21"/>
                <w:szCs w:val="21"/>
                <w:color w:val="auto"/>
                <w:w w:val="89"/>
              </w:rPr>
              <w:t>6,019,718</w:t>
            </w:r>
          </w:p>
        </w:tc>
        <w:tc>
          <w:tcPr>
            <w:tcW w:w="0" w:type="dxa"/>
            <w:vAlign w:val="bottom"/>
          </w:tcPr>
          <w:p>
            <w:pPr>
              <w:spacing w:after="0"/>
              <w:rPr>
                <w:sz w:val="1"/>
                <w:szCs w:val="1"/>
                <w:color w:val="auto"/>
              </w:rPr>
            </w:pPr>
          </w:p>
        </w:tc>
      </w:tr>
      <w:tr>
        <w:trPr>
          <w:trHeight w:val="267"/>
        </w:trPr>
        <w:tc>
          <w:tcPr>
            <w:tcW w:w="3320" w:type="dxa"/>
            <w:vAlign w:val="bottom"/>
          </w:tcPr>
          <w:p>
            <w:pPr>
              <w:ind w:left="840"/>
              <w:spacing w:after="0"/>
              <w:rPr>
                <w:sz w:val="20"/>
                <w:szCs w:val="20"/>
                <w:color w:val="auto"/>
              </w:rPr>
            </w:pPr>
            <w:r>
              <w:rPr>
                <w:rFonts w:ascii="Arial" w:cs="Arial" w:eastAsia="Arial" w:hAnsi="Arial"/>
                <w:sz w:val="21"/>
                <w:szCs w:val="21"/>
                <w:color w:val="auto"/>
              </w:rPr>
              <w:t>Russell International Fund</w:t>
            </w:r>
          </w:p>
        </w:tc>
        <w:tc>
          <w:tcPr>
            <w:tcW w:w="1360" w:type="dxa"/>
            <w:vAlign w:val="bottom"/>
            <w:gridSpan w:val="3"/>
          </w:tcPr>
          <w:p>
            <w:pPr>
              <w:jc w:val="right"/>
              <w:ind w:right="100"/>
              <w:spacing w:after="0"/>
              <w:rPr>
                <w:sz w:val="20"/>
                <w:szCs w:val="20"/>
                <w:color w:val="auto"/>
              </w:rPr>
            </w:pPr>
            <w:r>
              <w:rPr>
                <w:rFonts w:ascii="Arial" w:cs="Arial" w:eastAsia="Arial" w:hAnsi="Arial"/>
                <w:sz w:val="21"/>
                <w:szCs w:val="21"/>
                <w:color w:val="auto"/>
              </w:rPr>
              <w:t>660,869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3"/>
          </w:tcPr>
          <w:p>
            <w:pPr>
              <w:ind w:left="100"/>
              <w:spacing w:after="0"/>
              <w:rPr>
                <w:sz w:val="20"/>
                <w:szCs w:val="20"/>
                <w:color w:val="auto"/>
              </w:rPr>
            </w:pPr>
            <w:r>
              <w:rPr>
                <w:rFonts w:ascii="Arial" w:cs="Arial" w:eastAsia="Arial" w:hAnsi="Arial"/>
                <w:sz w:val="21"/>
                <w:szCs w:val="21"/>
                <w:color w:val="auto"/>
                <w:w w:val="92"/>
              </w:rPr>
              <w:t>5,031,180</w:t>
            </w:r>
          </w:p>
        </w:tc>
        <w:tc>
          <w:tcPr>
            <w:tcW w:w="1360" w:type="dxa"/>
            <w:vAlign w:val="bottom"/>
            <w:gridSpan w:val="3"/>
          </w:tcPr>
          <w:p>
            <w:pPr>
              <w:jc w:val="right"/>
              <w:ind w:right="80"/>
              <w:spacing w:after="0"/>
              <w:rPr>
                <w:sz w:val="20"/>
                <w:szCs w:val="20"/>
                <w:color w:val="auto"/>
              </w:rPr>
            </w:pPr>
            <w:r>
              <w:rPr>
                <w:rFonts w:ascii="Arial" w:cs="Arial" w:eastAsia="Arial" w:hAnsi="Arial"/>
                <w:sz w:val="21"/>
                <w:szCs w:val="21"/>
                <w:color w:val="auto"/>
              </w:rPr>
              <w:t>169,785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ind w:left="100"/>
              <w:spacing w:after="0"/>
              <w:rPr>
                <w:sz w:val="20"/>
                <w:szCs w:val="20"/>
                <w:color w:val="auto"/>
              </w:rPr>
            </w:pPr>
            <w:r>
              <w:rPr>
                <w:rFonts w:ascii="Arial" w:cs="Arial" w:eastAsia="Arial" w:hAnsi="Arial"/>
                <w:sz w:val="21"/>
                <w:szCs w:val="21"/>
                <w:color w:val="auto"/>
                <w:w w:val="89"/>
              </w:rPr>
              <w:t>5,018,836</w:t>
            </w:r>
          </w:p>
        </w:tc>
        <w:tc>
          <w:tcPr>
            <w:tcW w:w="0" w:type="dxa"/>
            <w:vAlign w:val="bottom"/>
          </w:tcPr>
          <w:p>
            <w:pPr>
              <w:spacing w:after="0"/>
              <w:rPr>
                <w:sz w:val="1"/>
                <w:szCs w:val="1"/>
                <w:color w:val="auto"/>
              </w:rPr>
            </w:pPr>
          </w:p>
        </w:tc>
      </w:tr>
      <w:tr>
        <w:trPr>
          <w:trHeight w:val="267"/>
        </w:trPr>
        <w:tc>
          <w:tcPr>
            <w:tcW w:w="3320" w:type="dxa"/>
            <w:vAlign w:val="bottom"/>
          </w:tcPr>
          <w:p>
            <w:pPr>
              <w:ind w:left="840"/>
              <w:spacing w:after="0"/>
              <w:rPr>
                <w:sz w:val="20"/>
                <w:szCs w:val="20"/>
                <w:color w:val="auto"/>
              </w:rPr>
            </w:pPr>
            <w:r>
              <w:rPr>
                <w:rFonts w:ascii="Arial" w:cs="Arial" w:eastAsia="Arial" w:hAnsi="Arial"/>
                <w:sz w:val="21"/>
                <w:szCs w:val="21"/>
                <w:color w:val="auto"/>
              </w:rPr>
              <w:t>Russell Fixed I</w:t>
            </w:r>
          </w:p>
        </w:tc>
        <w:tc>
          <w:tcPr>
            <w:tcW w:w="1360" w:type="dxa"/>
            <w:vAlign w:val="bottom"/>
            <w:gridSpan w:val="3"/>
          </w:tcPr>
          <w:p>
            <w:pPr>
              <w:jc w:val="right"/>
              <w:ind w:right="100"/>
              <w:spacing w:after="0"/>
              <w:rPr>
                <w:sz w:val="20"/>
                <w:szCs w:val="20"/>
                <w:color w:val="auto"/>
              </w:rPr>
            </w:pPr>
            <w:r>
              <w:rPr>
                <w:rFonts w:ascii="Arial" w:cs="Arial" w:eastAsia="Arial" w:hAnsi="Arial"/>
                <w:sz w:val="21"/>
                <w:szCs w:val="21"/>
                <w:color w:val="auto"/>
              </w:rPr>
              <w:t>347,098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3"/>
          </w:tcPr>
          <w:p>
            <w:pPr>
              <w:ind w:left="100"/>
              <w:spacing w:after="0"/>
              <w:rPr>
                <w:sz w:val="20"/>
                <w:szCs w:val="20"/>
                <w:color w:val="auto"/>
              </w:rPr>
            </w:pPr>
            <w:r>
              <w:rPr>
                <w:rFonts w:ascii="Arial" w:cs="Arial" w:eastAsia="Arial" w:hAnsi="Arial"/>
                <w:sz w:val="21"/>
                <w:szCs w:val="21"/>
                <w:color w:val="auto"/>
                <w:w w:val="92"/>
              </w:rPr>
              <w:t>3,004,718</w:t>
            </w:r>
          </w:p>
        </w:tc>
        <w:tc>
          <w:tcPr>
            <w:tcW w:w="1360" w:type="dxa"/>
            <w:vAlign w:val="bottom"/>
            <w:gridSpan w:val="3"/>
          </w:tcPr>
          <w:p>
            <w:pPr>
              <w:jc w:val="right"/>
              <w:ind w:right="80"/>
              <w:spacing w:after="0"/>
              <w:rPr>
                <w:sz w:val="20"/>
                <w:szCs w:val="20"/>
                <w:color w:val="auto"/>
              </w:rPr>
            </w:pPr>
            <w:r>
              <w:rPr>
                <w:rFonts w:ascii="Arial" w:cs="Arial" w:eastAsia="Arial" w:hAnsi="Arial"/>
                <w:sz w:val="21"/>
                <w:szCs w:val="21"/>
                <w:color w:val="auto"/>
              </w:rPr>
              <w:t>115,702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ind w:left="100"/>
              <w:spacing w:after="0"/>
              <w:rPr>
                <w:sz w:val="20"/>
                <w:szCs w:val="20"/>
                <w:color w:val="auto"/>
              </w:rPr>
            </w:pPr>
            <w:r>
              <w:rPr>
                <w:rFonts w:ascii="Arial" w:cs="Arial" w:eastAsia="Arial" w:hAnsi="Arial"/>
                <w:sz w:val="21"/>
                <w:szCs w:val="21"/>
                <w:color w:val="auto"/>
                <w:w w:val="89"/>
              </w:rPr>
              <w:t>2,469,071</w:t>
            </w:r>
          </w:p>
        </w:tc>
        <w:tc>
          <w:tcPr>
            <w:tcW w:w="0" w:type="dxa"/>
            <w:vAlign w:val="bottom"/>
          </w:tcPr>
          <w:p>
            <w:pPr>
              <w:spacing w:after="0"/>
              <w:rPr>
                <w:sz w:val="1"/>
                <w:szCs w:val="1"/>
                <w:color w:val="auto"/>
              </w:rPr>
            </w:pPr>
          </w:p>
        </w:tc>
      </w:tr>
      <w:tr>
        <w:trPr>
          <w:trHeight w:val="267"/>
        </w:trPr>
        <w:tc>
          <w:tcPr>
            <w:tcW w:w="3320" w:type="dxa"/>
            <w:vAlign w:val="bottom"/>
          </w:tcPr>
          <w:p>
            <w:pPr>
              <w:ind w:left="840"/>
              <w:spacing w:after="0"/>
              <w:rPr>
                <w:sz w:val="20"/>
                <w:szCs w:val="20"/>
                <w:color w:val="auto"/>
              </w:rPr>
            </w:pPr>
            <w:r>
              <w:rPr>
                <w:rFonts w:ascii="Arial" w:cs="Arial" w:eastAsia="Arial" w:hAnsi="Arial"/>
                <w:sz w:val="21"/>
                <w:szCs w:val="21"/>
                <w:color w:val="auto"/>
              </w:rPr>
              <w:t>Russell Fixed III</w:t>
            </w:r>
          </w:p>
        </w:tc>
        <w:tc>
          <w:tcPr>
            <w:tcW w:w="1360" w:type="dxa"/>
            <w:vAlign w:val="bottom"/>
            <w:gridSpan w:val="3"/>
          </w:tcPr>
          <w:p>
            <w:pPr>
              <w:jc w:val="right"/>
              <w:ind w:right="100"/>
              <w:spacing w:after="0"/>
              <w:rPr>
                <w:sz w:val="20"/>
                <w:szCs w:val="20"/>
                <w:color w:val="auto"/>
              </w:rPr>
            </w:pPr>
            <w:r>
              <w:rPr>
                <w:rFonts w:ascii="Arial" w:cs="Arial" w:eastAsia="Arial" w:hAnsi="Arial"/>
                <w:sz w:val="21"/>
                <w:szCs w:val="21"/>
                <w:color w:val="auto"/>
              </w:rPr>
              <w:t>174,463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3"/>
          </w:tcPr>
          <w:p>
            <w:pPr>
              <w:ind w:left="100"/>
              <w:spacing w:after="0"/>
              <w:rPr>
                <w:sz w:val="20"/>
                <w:szCs w:val="20"/>
                <w:color w:val="auto"/>
              </w:rPr>
            </w:pPr>
            <w:r>
              <w:rPr>
                <w:rFonts w:ascii="Arial" w:cs="Arial" w:eastAsia="Arial" w:hAnsi="Arial"/>
                <w:sz w:val="21"/>
                <w:szCs w:val="21"/>
                <w:color w:val="auto"/>
                <w:w w:val="92"/>
              </w:rPr>
              <w:t>1,670,708</w:t>
            </w:r>
          </w:p>
        </w:tc>
        <w:tc>
          <w:tcPr>
            <w:tcW w:w="1360" w:type="dxa"/>
            <w:vAlign w:val="bottom"/>
            <w:gridSpan w:val="3"/>
          </w:tcPr>
          <w:p>
            <w:pPr>
              <w:jc w:val="right"/>
              <w:ind w:right="80"/>
              <w:spacing w:after="0"/>
              <w:rPr>
                <w:sz w:val="20"/>
                <w:szCs w:val="20"/>
                <w:color w:val="auto"/>
              </w:rPr>
            </w:pPr>
            <w:r>
              <w:rPr>
                <w:rFonts w:ascii="Arial" w:cs="Arial" w:eastAsia="Arial" w:hAnsi="Arial"/>
                <w:sz w:val="21"/>
                <w:szCs w:val="21"/>
                <w:color w:val="auto"/>
              </w:rPr>
              <w:t>358,826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ind w:left="100"/>
              <w:spacing w:after="0"/>
              <w:rPr>
                <w:sz w:val="20"/>
                <w:szCs w:val="20"/>
                <w:color w:val="auto"/>
              </w:rPr>
            </w:pPr>
            <w:r>
              <w:rPr>
                <w:rFonts w:ascii="Arial" w:cs="Arial" w:eastAsia="Arial" w:hAnsi="Arial"/>
                <w:sz w:val="21"/>
                <w:szCs w:val="21"/>
                <w:color w:val="auto"/>
                <w:w w:val="89"/>
              </w:rPr>
              <w:t>3,559,552</w:t>
            </w:r>
          </w:p>
        </w:tc>
        <w:tc>
          <w:tcPr>
            <w:tcW w:w="0" w:type="dxa"/>
            <w:vAlign w:val="bottom"/>
          </w:tcPr>
          <w:p>
            <w:pPr>
              <w:spacing w:after="0"/>
              <w:rPr>
                <w:sz w:val="1"/>
                <w:szCs w:val="1"/>
                <w:color w:val="auto"/>
              </w:rPr>
            </w:pPr>
          </w:p>
        </w:tc>
      </w:tr>
      <w:tr>
        <w:trPr>
          <w:trHeight w:val="240"/>
        </w:trPr>
        <w:tc>
          <w:tcPr>
            <w:tcW w:w="3320" w:type="dxa"/>
            <w:vAlign w:val="bottom"/>
          </w:tcPr>
          <w:p>
            <w:pPr>
              <w:ind w:left="840"/>
              <w:spacing w:after="0" w:line="240" w:lineRule="exact"/>
              <w:rPr>
                <w:sz w:val="20"/>
                <w:szCs w:val="20"/>
                <w:color w:val="auto"/>
              </w:rPr>
            </w:pPr>
            <w:r>
              <w:rPr>
                <w:rFonts w:ascii="Arial" w:cs="Arial" w:eastAsia="Arial" w:hAnsi="Arial"/>
                <w:sz w:val="21"/>
                <w:szCs w:val="21"/>
                <w:color w:val="auto"/>
              </w:rPr>
              <w:t>Russell Short-Term Bond</w:t>
            </w:r>
          </w:p>
        </w:tc>
        <w:tc>
          <w:tcPr>
            <w:tcW w:w="1360" w:type="dxa"/>
            <w:vAlign w:val="bottom"/>
            <w:gridSpan w:val="3"/>
          </w:tcPr>
          <w:p>
            <w:pPr>
              <w:jc w:val="right"/>
              <w:ind w:right="100"/>
              <w:spacing w:after="0" w:line="240" w:lineRule="exact"/>
              <w:rPr>
                <w:sz w:val="20"/>
                <w:szCs w:val="20"/>
                <w:color w:val="auto"/>
              </w:rPr>
            </w:pPr>
            <w:r>
              <w:rPr>
                <w:rFonts w:ascii="Arial" w:cs="Arial" w:eastAsia="Arial" w:hAnsi="Arial"/>
                <w:sz w:val="21"/>
                <w:szCs w:val="21"/>
                <w:color w:val="auto"/>
              </w:rPr>
              <w:t>465,173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ind w:left="100"/>
              <w:spacing w:after="0" w:line="240" w:lineRule="exact"/>
              <w:rPr>
                <w:sz w:val="20"/>
                <w:szCs w:val="20"/>
                <w:color w:val="auto"/>
              </w:rPr>
            </w:pPr>
            <w:r>
              <w:rPr>
                <w:rFonts w:ascii="Arial" w:cs="Arial" w:eastAsia="Arial" w:hAnsi="Arial"/>
                <w:sz w:val="21"/>
                <w:szCs w:val="21"/>
                <w:color w:val="auto"/>
                <w:w w:val="92"/>
              </w:rPr>
              <w:t>3,651,664</w:t>
            </w:r>
          </w:p>
        </w:tc>
        <w:tc>
          <w:tcPr>
            <w:tcW w:w="1360" w:type="dxa"/>
            <w:vAlign w:val="bottom"/>
            <w:gridSpan w:val="3"/>
          </w:tcPr>
          <w:p>
            <w:pPr>
              <w:jc w:val="right"/>
              <w:ind w:right="80"/>
              <w:spacing w:after="0" w:line="240" w:lineRule="exact"/>
              <w:rPr>
                <w:sz w:val="20"/>
                <w:szCs w:val="20"/>
                <w:color w:val="auto"/>
              </w:rPr>
            </w:pPr>
            <w:r>
              <w:rPr>
                <w:rFonts w:ascii="Arial" w:cs="Arial" w:eastAsia="Arial" w:hAnsi="Arial"/>
                <w:sz w:val="21"/>
                <w:szCs w:val="21"/>
                <w:color w:val="auto"/>
              </w:rPr>
              <w:t>58,800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100"/>
              <w:spacing w:after="0" w:line="240" w:lineRule="exact"/>
              <w:rPr>
                <w:sz w:val="20"/>
                <w:szCs w:val="20"/>
                <w:color w:val="auto"/>
              </w:rPr>
            </w:pPr>
            <w:r>
              <w:rPr>
                <w:rFonts w:ascii="Arial" w:cs="Arial" w:eastAsia="Arial" w:hAnsi="Arial"/>
                <w:sz w:val="21"/>
                <w:szCs w:val="21"/>
                <w:color w:val="auto"/>
                <w:w w:val="89"/>
              </w:rPr>
              <w:t>1,097,800</w:t>
            </w:r>
          </w:p>
        </w:tc>
        <w:tc>
          <w:tcPr>
            <w:tcW w:w="0" w:type="dxa"/>
            <w:vAlign w:val="bottom"/>
          </w:tcPr>
          <w:p>
            <w:pPr>
              <w:spacing w:after="0"/>
              <w:rPr>
                <w:sz w:val="1"/>
                <w:szCs w:val="1"/>
                <w:color w:val="auto"/>
              </w:rPr>
            </w:pPr>
          </w:p>
        </w:tc>
      </w:tr>
      <w:tr>
        <w:trPr>
          <w:trHeight w:val="272"/>
        </w:trPr>
        <w:tc>
          <w:tcPr>
            <w:tcW w:w="3320" w:type="dxa"/>
            <w:vAlign w:val="bottom"/>
          </w:tcPr>
          <w:p>
            <w:pPr>
              <w:ind w:left="840"/>
              <w:spacing w:after="0"/>
              <w:rPr>
                <w:sz w:val="20"/>
                <w:szCs w:val="20"/>
                <w:color w:val="auto"/>
              </w:rPr>
            </w:pPr>
            <w:r>
              <w:rPr>
                <w:rFonts w:ascii="Arial" w:cs="Arial" w:eastAsia="Arial" w:hAnsi="Arial"/>
                <w:sz w:val="21"/>
                <w:szCs w:val="21"/>
                <w:color w:val="auto"/>
              </w:rPr>
              <w:t>Fund</w:t>
            </w: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18" w:right="319" w:bottom="0" w:gutter="0" w:footer="0" w:header="0"/>
        </w:sectPr>
      </w:pPr>
    </w:p>
    <w:bookmarkStart w:id="5" w:name="page6"/>
    <w:bookmarkEnd w:id="5"/>
    <w:p>
      <w:pPr>
        <w:spacing w:after="0" w:line="1" w:lineRule="exact"/>
        <w:rPr>
          <w:sz w:val="20"/>
          <w:szCs w:val="20"/>
          <w:color w:val="auto"/>
        </w:rPr>
      </w:pPr>
    </w:p>
    <w:tbl>
      <w:tblPr>
        <w:tblLayout w:type="fixed"/>
        <w:tblInd w:w="1480" w:type="dxa"/>
        <w:tblCellMar>
          <w:top w:w="0" w:type="dxa"/>
          <w:left w:w="0" w:type="dxa"/>
          <w:bottom w:w="0" w:type="dxa"/>
          <w:right w:w="0" w:type="dxa"/>
        </w:tblCellMar>
      </w:tblPr>
      <w:tr>
        <w:trPr>
          <w:trHeight w:val="267"/>
        </w:trPr>
        <w:tc>
          <w:tcPr>
            <w:tcW w:w="3540" w:type="dxa"/>
            <w:vAlign w:val="bottom"/>
          </w:tcPr>
          <w:p>
            <w:pPr>
              <w:spacing w:after="0"/>
              <w:rPr>
                <w:sz w:val="20"/>
                <w:szCs w:val="20"/>
                <w:color w:val="auto"/>
              </w:rPr>
            </w:pPr>
            <w:r>
              <w:rPr>
                <w:rFonts w:ascii="Arial" w:cs="Arial" w:eastAsia="Arial" w:hAnsi="Arial"/>
                <w:sz w:val="21"/>
                <w:szCs w:val="21"/>
                <w:color w:val="auto"/>
              </w:rPr>
              <w:t>The Vanguard Group</w:t>
            </w:r>
          </w:p>
        </w:tc>
        <w:tc>
          <w:tcPr>
            <w:tcW w:w="1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67"/>
        </w:trPr>
        <w:tc>
          <w:tcPr>
            <w:tcW w:w="3540" w:type="dxa"/>
            <w:vAlign w:val="bottom"/>
          </w:tcPr>
          <w:p>
            <w:pPr>
              <w:ind w:left="340"/>
              <w:spacing w:after="0"/>
              <w:rPr>
                <w:sz w:val="20"/>
                <w:szCs w:val="20"/>
                <w:color w:val="auto"/>
              </w:rPr>
            </w:pPr>
            <w:r>
              <w:rPr>
                <w:rFonts w:ascii="Arial" w:cs="Arial" w:eastAsia="Arial" w:hAnsi="Arial"/>
                <w:sz w:val="21"/>
                <w:szCs w:val="21"/>
                <w:color w:val="auto"/>
              </w:rPr>
              <w:t>Mutual Funds-</w:t>
            </w:r>
          </w:p>
        </w:tc>
        <w:tc>
          <w:tcPr>
            <w:tcW w:w="1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2"/>
        </w:trPr>
        <w:tc>
          <w:tcPr>
            <w:tcW w:w="3540" w:type="dxa"/>
            <w:vAlign w:val="bottom"/>
          </w:tcPr>
          <w:p>
            <w:pPr>
              <w:ind w:left="840"/>
              <w:spacing w:after="0"/>
              <w:rPr>
                <w:sz w:val="20"/>
                <w:szCs w:val="20"/>
                <w:color w:val="auto"/>
              </w:rPr>
            </w:pPr>
            <w:r>
              <w:rPr>
                <w:rFonts w:ascii="Arial" w:cs="Arial" w:eastAsia="Arial" w:hAnsi="Arial"/>
                <w:sz w:val="21"/>
                <w:szCs w:val="21"/>
                <w:color w:val="auto"/>
              </w:rPr>
              <w:t>Vanguard 500 Index Fund</w:t>
            </w:r>
          </w:p>
        </w:tc>
        <w:tc>
          <w:tcPr>
            <w:tcW w:w="1260" w:type="dxa"/>
            <w:vAlign w:val="bottom"/>
          </w:tcPr>
          <w:p>
            <w:pPr>
              <w:jc w:val="right"/>
              <w:ind w:right="113"/>
              <w:spacing w:after="0"/>
              <w:rPr>
                <w:sz w:val="20"/>
                <w:szCs w:val="20"/>
                <w:color w:val="auto"/>
              </w:rPr>
            </w:pPr>
            <w:r>
              <w:rPr>
                <w:rFonts w:ascii="Arial" w:cs="Arial" w:eastAsia="Arial" w:hAnsi="Arial"/>
                <w:sz w:val="21"/>
                <w:szCs w:val="21"/>
                <w:color w:val="auto"/>
              </w:rPr>
              <w:t>72,747</w:t>
            </w:r>
          </w:p>
        </w:tc>
        <w:tc>
          <w:tcPr>
            <w:tcW w:w="1380" w:type="dxa"/>
            <w:vAlign w:val="bottom"/>
          </w:tcPr>
          <w:p>
            <w:pPr>
              <w:jc w:val="right"/>
              <w:ind w:right="193"/>
              <w:spacing w:after="0"/>
              <w:rPr>
                <w:sz w:val="20"/>
                <w:szCs w:val="20"/>
                <w:color w:val="auto"/>
              </w:rPr>
            </w:pPr>
            <w:r>
              <w:rPr>
                <w:rFonts w:ascii="Arial" w:cs="Arial" w:eastAsia="Arial" w:hAnsi="Arial"/>
                <w:sz w:val="21"/>
                <w:szCs w:val="21"/>
                <w:color w:val="auto"/>
              </w:rPr>
              <w:t>5,903,407</w:t>
            </w:r>
          </w:p>
        </w:tc>
        <w:tc>
          <w:tcPr>
            <w:tcW w:w="1220" w:type="dxa"/>
            <w:vAlign w:val="bottom"/>
          </w:tcPr>
          <w:p>
            <w:pPr>
              <w:jc w:val="right"/>
              <w:ind w:right="113"/>
              <w:spacing w:after="0"/>
              <w:rPr>
                <w:sz w:val="20"/>
                <w:szCs w:val="20"/>
                <w:color w:val="auto"/>
              </w:rPr>
            </w:pPr>
            <w:r>
              <w:rPr>
                <w:rFonts w:ascii="Arial" w:cs="Arial" w:eastAsia="Arial" w:hAnsi="Arial"/>
                <w:sz w:val="21"/>
                <w:szCs w:val="21"/>
                <w:color w:val="auto"/>
              </w:rPr>
              <w:t>58,621</w:t>
            </w:r>
          </w:p>
        </w:tc>
        <w:tc>
          <w:tcPr>
            <w:tcW w:w="1080" w:type="dxa"/>
            <w:vAlign w:val="bottom"/>
          </w:tcPr>
          <w:p>
            <w:pPr>
              <w:jc w:val="right"/>
              <w:spacing w:after="0"/>
              <w:rPr>
                <w:sz w:val="20"/>
                <w:szCs w:val="20"/>
                <w:color w:val="auto"/>
              </w:rPr>
            </w:pPr>
            <w:r>
              <w:rPr>
                <w:rFonts w:ascii="Arial" w:cs="Arial" w:eastAsia="Arial" w:hAnsi="Arial"/>
                <w:sz w:val="21"/>
                <w:szCs w:val="21"/>
                <w:color w:val="auto"/>
              </w:rPr>
              <w:t>6,207,332</w:t>
            </w:r>
          </w:p>
        </w:tc>
      </w:tr>
      <w:tr>
        <w:trPr>
          <w:trHeight w:val="529"/>
        </w:trPr>
        <w:tc>
          <w:tcPr>
            <w:tcW w:w="3540" w:type="dxa"/>
            <w:vAlign w:val="bottom"/>
          </w:tcPr>
          <w:p>
            <w:pPr>
              <w:spacing w:after="0"/>
              <w:rPr>
                <w:sz w:val="20"/>
                <w:szCs w:val="20"/>
                <w:color w:val="auto"/>
              </w:rPr>
            </w:pPr>
            <w:r>
              <w:rPr>
                <w:rFonts w:ascii="Arial" w:cs="Arial" w:eastAsia="Arial" w:hAnsi="Arial"/>
                <w:sz w:val="21"/>
                <w:szCs w:val="21"/>
                <w:color w:val="auto"/>
              </w:rPr>
              <w:t>Putnam Investments</w:t>
            </w: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7"/>
        </w:trPr>
        <w:tc>
          <w:tcPr>
            <w:tcW w:w="3540" w:type="dxa"/>
            <w:vAlign w:val="bottom"/>
          </w:tcPr>
          <w:p>
            <w:pPr>
              <w:ind w:left="340"/>
              <w:spacing w:after="0"/>
              <w:rPr>
                <w:sz w:val="20"/>
                <w:szCs w:val="20"/>
                <w:color w:val="auto"/>
              </w:rPr>
            </w:pPr>
            <w:r>
              <w:rPr>
                <w:rFonts w:ascii="Arial" w:cs="Arial" w:eastAsia="Arial" w:hAnsi="Arial"/>
                <w:sz w:val="21"/>
                <w:szCs w:val="21"/>
                <w:color w:val="auto"/>
              </w:rPr>
              <w:t>Mutual Funds-</w:t>
            </w:r>
          </w:p>
        </w:tc>
        <w:tc>
          <w:tcPr>
            <w:tcW w:w="1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40"/>
        </w:trPr>
        <w:tc>
          <w:tcPr>
            <w:tcW w:w="3540" w:type="dxa"/>
            <w:vAlign w:val="bottom"/>
          </w:tcPr>
          <w:p>
            <w:pPr>
              <w:ind w:left="840"/>
              <w:spacing w:after="0" w:line="240" w:lineRule="exact"/>
              <w:rPr>
                <w:sz w:val="20"/>
                <w:szCs w:val="20"/>
                <w:color w:val="auto"/>
              </w:rPr>
            </w:pPr>
            <w:r>
              <w:rPr>
                <w:rFonts w:ascii="Arial" w:cs="Arial" w:eastAsia="Arial" w:hAnsi="Arial"/>
                <w:sz w:val="21"/>
                <w:szCs w:val="21"/>
                <w:color w:val="auto"/>
              </w:rPr>
              <w:t>Putnam New Opportunities</w:t>
            </w:r>
          </w:p>
        </w:tc>
        <w:tc>
          <w:tcPr>
            <w:tcW w:w="126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108,606</w:t>
            </w:r>
          </w:p>
        </w:tc>
        <w:tc>
          <w:tcPr>
            <w:tcW w:w="1380" w:type="dxa"/>
            <w:vAlign w:val="bottom"/>
          </w:tcPr>
          <w:p>
            <w:pPr>
              <w:jc w:val="right"/>
              <w:ind w:right="193"/>
              <w:spacing w:after="0" w:line="240" w:lineRule="exact"/>
              <w:rPr>
                <w:sz w:val="20"/>
                <w:szCs w:val="20"/>
                <w:color w:val="auto"/>
              </w:rPr>
            </w:pPr>
            <w:r>
              <w:rPr>
                <w:rFonts w:ascii="Arial" w:cs="Arial" w:eastAsia="Arial" w:hAnsi="Arial"/>
                <w:sz w:val="21"/>
                <w:szCs w:val="21"/>
                <w:color w:val="auto"/>
              </w:rPr>
              <w:t>3,087,669</w:t>
            </w:r>
          </w:p>
        </w:tc>
        <w:tc>
          <w:tcPr>
            <w:tcW w:w="122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105,502</w:t>
            </w:r>
          </w:p>
        </w:tc>
        <w:tc>
          <w:tcPr>
            <w:tcW w:w="1080" w:type="dxa"/>
            <w:vAlign w:val="bottom"/>
          </w:tcPr>
          <w:p>
            <w:pPr>
              <w:jc w:val="right"/>
              <w:spacing w:after="0" w:line="240" w:lineRule="exact"/>
              <w:rPr>
                <w:sz w:val="20"/>
                <w:szCs w:val="20"/>
                <w:color w:val="auto"/>
              </w:rPr>
            </w:pPr>
            <w:r>
              <w:rPr>
                <w:rFonts w:ascii="Arial" w:cs="Arial" w:eastAsia="Arial" w:hAnsi="Arial"/>
                <w:sz w:val="21"/>
                <w:szCs w:val="21"/>
                <w:color w:val="auto"/>
              </w:rPr>
              <w:t>4,323,487</w:t>
            </w:r>
          </w:p>
        </w:tc>
      </w:tr>
      <w:tr>
        <w:trPr>
          <w:trHeight w:val="272"/>
        </w:trPr>
        <w:tc>
          <w:tcPr>
            <w:tcW w:w="3540" w:type="dxa"/>
            <w:vAlign w:val="bottom"/>
          </w:tcPr>
          <w:p>
            <w:pPr>
              <w:ind w:left="840"/>
              <w:spacing w:after="0"/>
              <w:rPr>
                <w:sz w:val="20"/>
                <w:szCs w:val="20"/>
                <w:color w:val="auto"/>
              </w:rPr>
            </w:pPr>
            <w:r>
              <w:rPr>
                <w:rFonts w:ascii="Arial" w:cs="Arial" w:eastAsia="Arial" w:hAnsi="Arial"/>
                <w:sz w:val="21"/>
                <w:szCs w:val="21"/>
                <w:color w:val="auto"/>
              </w:rPr>
              <w:t>Fund</w:t>
            </w:r>
          </w:p>
        </w:tc>
        <w:tc>
          <w:tcPr>
            <w:tcW w:w="1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529"/>
        </w:trPr>
        <w:tc>
          <w:tcPr>
            <w:tcW w:w="3540" w:type="dxa"/>
            <w:vAlign w:val="bottom"/>
          </w:tcPr>
          <w:p>
            <w:pPr>
              <w:spacing w:after="0"/>
              <w:rPr>
                <w:sz w:val="20"/>
                <w:szCs w:val="20"/>
                <w:color w:val="auto"/>
              </w:rPr>
            </w:pPr>
            <w:r>
              <w:rPr>
                <w:rFonts w:ascii="Arial" w:cs="Arial" w:eastAsia="Arial" w:hAnsi="Arial"/>
                <w:sz w:val="21"/>
                <w:szCs w:val="21"/>
                <w:color w:val="auto"/>
              </w:rPr>
              <w:t>Davis Funds</w:t>
            </w: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7"/>
        </w:trPr>
        <w:tc>
          <w:tcPr>
            <w:tcW w:w="3540" w:type="dxa"/>
            <w:vAlign w:val="bottom"/>
          </w:tcPr>
          <w:p>
            <w:pPr>
              <w:ind w:left="340"/>
              <w:spacing w:after="0"/>
              <w:rPr>
                <w:sz w:val="20"/>
                <w:szCs w:val="20"/>
                <w:color w:val="auto"/>
              </w:rPr>
            </w:pPr>
            <w:r>
              <w:rPr>
                <w:rFonts w:ascii="Arial" w:cs="Arial" w:eastAsia="Arial" w:hAnsi="Arial"/>
                <w:sz w:val="21"/>
                <w:szCs w:val="21"/>
                <w:color w:val="auto"/>
              </w:rPr>
              <w:t>Mutual Funds-</w:t>
            </w:r>
          </w:p>
        </w:tc>
        <w:tc>
          <w:tcPr>
            <w:tcW w:w="1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40"/>
        </w:trPr>
        <w:tc>
          <w:tcPr>
            <w:tcW w:w="3540" w:type="dxa"/>
            <w:vAlign w:val="bottom"/>
          </w:tcPr>
          <w:p>
            <w:pPr>
              <w:ind w:left="840"/>
              <w:spacing w:after="0" w:line="240" w:lineRule="exact"/>
              <w:rPr>
                <w:sz w:val="20"/>
                <w:szCs w:val="20"/>
                <w:color w:val="auto"/>
              </w:rPr>
            </w:pPr>
            <w:r>
              <w:rPr>
                <w:rFonts w:ascii="Arial" w:cs="Arial" w:eastAsia="Arial" w:hAnsi="Arial"/>
                <w:sz w:val="21"/>
                <w:szCs w:val="21"/>
                <w:color w:val="auto"/>
              </w:rPr>
              <w:t>Davis New York Venture</w:t>
            </w:r>
          </w:p>
        </w:tc>
        <w:tc>
          <w:tcPr>
            <w:tcW w:w="126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165,722</w:t>
            </w:r>
          </w:p>
        </w:tc>
        <w:tc>
          <w:tcPr>
            <w:tcW w:w="1380" w:type="dxa"/>
            <w:vAlign w:val="bottom"/>
          </w:tcPr>
          <w:p>
            <w:pPr>
              <w:jc w:val="right"/>
              <w:ind w:right="193"/>
              <w:spacing w:after="0" w:line="240" w:lineRule="exact"/>
              <w:rPr>
                <w:sz w:val="20"/>
                <w:szCs w:val="20"/>
                <w:color w:val="auto"/>
              </w:rPr>
            </w:pPr>
            <w:r>
              <w:rPr>
                <w:rFonts w:ascii="Arial" w:cs="Arial" w:eastAsia="Arial" w:hAnsi="Arial"/>
                <w:sz w:val="21"/>
                <w:szCs w:val="21"/>
                <w:color w:val="auto"/>
              </w:rPr>
              <w:t>3,470,228</w:t>
            </w:r>
          </w:p>
        </w:tc>
        <w:tc>
          <w:tcPr>
            <w:tcW w:w="122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133,442</w:t>
            </w:r>
          </w:p>
        </w:tc>
        <w:tc>
          <w:tcPr>
            <w:tcW w:w="1080" w:type="dxa"/>
            <w:vAlign w:val="bottom"/>
          </w:tcPr>
          <w:p>
            <w:pPr>
              <w:jc w:val="right"/>
              <w:spacing w:after="0" w:line="240" w:lineRule="exact"/>
              <w:rPr>
                <w:sz w:val="20"/>
                <w:szCs w:val="20"/>
                <w:color w:val="auto"/>
              </w:rPr>
            </w:pPr>
            <w:r>
              <w:rPr>
                <w:rFonts w:ascii="Arial" w:cs="Arial" w:eastAsia="Arial" w:hAnsi="Arial"/>
                <w:sz w:val="21"/>
                <w:szCs w:val="21"/>
                <w:color w:val="auto"/>
              </w:rPr>
              <w:t>3,393,420</w:t>
            </w:r>
          </w:p>
        </w:tc>
      </w:tr>
      <w:tr>
        <w:trPr>
          <w:trHeight w:val="272"/>
        </w:trPr>
        <w:tc>
          <w:tcPr>
            <w:tcW w:w="3540" w:type="dxa"/>
            <w:vAlign w:val="bottom"/>
          </w:tcPr>
          <w:p>
            <w:pPr>
              <w:ind w:left="840"/>
              <w:spacing w:after="0"/>
              <w:rPr>
                <w:sz w:val="20"/>
                <w:szCs w:val="20"/>
                <w:color w:val="auto"/>
              </w:rPr>
            </w:pPr>
            <w:r>
              <w:rPr>
                <w:rFonts w:ascii="Arial" w:cs="Arial" w:eastAsia="Arial" w:hAnsi="Arial"/>
                <w:sz w:val="21"/>
                <w:szCs w:val="21"/>
                <w:color w:val="auto"/>
              </w:rPr>
              <w:t>Fund</w:t>
            </w:r>
          </w:p>
        </w:tc>
        <w:tc>
          <w:tcPr>
            <w:tcW w:w="1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r>
    </w:tbl>
    <w:p>
      <w:pPr>
        <w:spacing w:after="0" w:line="195" w:lineRule="exact"/>
        <w:rPr>
          <w:sz w:val="20"/>
          <w:szCs w:val="20"/>
          <w:color w:val="auto"/>
        </w:rPr>
      </w:pPr>
    </w:p>
    <w:p>
      <w:pPr>
        <w:ind w:right="320"/>
        <w:spacing w:after="0" w:line="269" w:lineRule="auto"/>
        <w:rPr>
          <w:sz w:val="20"/>
          <w:szCs w:val="20"/>
          <w:color w:val="auto"/>
        </w:rPr>
      </w:pPr>
      <w:r>
        <w:rPr>
          <w:rFonts w:ascii="Arial" w:cs="Arial" w:eastAsia="Arial" w:hAnsi="Arial"/>
          <w:sz w:val="21"/>
          <w:szCs w:val="21"/>
          <w:color w:val="auto"/>
        </w:rPr>
        <w:t>During the year ended December 31, 2002, the Plan's investments (including gains and losses on investments bought and sold, as well as held during the year) depreciated in value as follows:</w:t>
      </w:r>
    </w:p>
    <w:p>
      <w:pPr>
        <w:spacing w:after="0" w:line="166" w:lineRule="exact"/>
        <w:rPr>
          <w:sz w:val="20"/>
          <w:szCs w:val="20"/>
          <w:color w:val="auto"/>
        </w:rPr>
      </w:pPr>
    </w:p>
    <w:tbl>
      <w:tblPr>
        <w:tblLayout w:type="fixed"/>
        <w:tblInd w:w="3620" w:type="dxa"/>
        <w:tblCellMar>
          <w:top w:w="0" w:type="dxa"/>
          <w:left w:w="0" w:type="dxa"/>
          <w:bottom w:w="0" w:type="dxa"/>
          <w:right w:w="0" w:type="dxa"/>
        </w:tblCellMar>
      </w:tblPr>
      <w:tr>
        <w:trPr>
          <w:trHeight w:val="267"/>
        </w:trPr>
        <w:tc>
          <w:tcPr>
            <w:tcW w:w="2980" w:type="dxa"/>
            <w:vAlign w:val="bottom"/>
          </w:tcPr>
          <w:p>
            <w:pPr>
              <w:spacing w:after="0"/>
              <w:rPr>
                <w:sz w:val="20"/>
                <w:szCs w:val="20"/>
                <w:color w:val="auto"/>
              </w:rPr>
            </w:pPr>
            <w:r>
              <w:rPr>
                <w:rFonts w:ascii="Arial" w:cs="Arial" w:eastAsia="Arial" w:hAnsi="Arial"/>
                <w:sz w:val="21"/>
                <w:szCs w:val="21"/>
                <w:color w:val="auto"/>
              </w:rPr>
              <w:t>Mutual funds</w:t>
            </w:r>
          </w:p>
        </w:tc>
        <w:tc>
          <w:tcPr>
            <w:tcW w:w="160" w:type="dxa"/>
            <w:vAlign w:val="bottom"/>
            <w:gridSpan w:val="2"/>
          </w:tcPr>
          <w:p>
            <w:pPr>
              <w:jc w:val="right"/>
              <w:ind w:right="60"/>
              <w:spacing w:after="0"/>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rPr>
                <w:sz w:val="20"/>
                <w:szCs w:val="20"/>
                <w:color w:val="auto"/>
              </w:rPr>
            </w:pPr>
            <w:r>
              <w:rPr>
                <w:rFonts w:ascii="Arial" w:cs="Arial" w:eastAsia="Arial" w:hAnsi="Arial"/>
                <w:sz w:val="21"/>
                <w:szCs w:val="21"/>
                <w:color w:val="auto"/>
                <w:w w:val="96"/>
              </w:rPr>
              <w:t>(8,328,292)</w:t>
            </w:r>
          </w:p>
        </w:tc>
      </w:tr>
      <w:tr>
        <w:trPr>
          <w:trHeight w:val="222"/>
        </w:trPr>
        <w:tc>
          <w:tcPr>
            <w:tcW w:w="2980" w:type="dxa"/>
            <w:vAlign w:val="bottom"/>
          </w:tcPr>
          <w:p>
            <w:pPr>
              <w:spacing w:after="0" w:line="222" w:lineRule="exact"/>
              <w:rPr>
                <w:sz w:val="20"/>
                <w:szCs w:val="20"/>
                <w:color w:val="auto"/>
              </w:rPr>
            </w:pPr>
            <w:r>
              <w:rPr>
                <w:rFonts w:ascii="Arial" w:cs="Arial" w:eastAsia="Arial" w:hAnsi="Arial"/>
                <w:sz w:val="21"/>
                <w:szCs w:val="21"/>
                <w:color w:val="auto"/>
                <w:w w:val="98"/>
              </w:rPr>
              <w:t>Vail Resorts, Inc. common stock</w:t>
            </w: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21"/>
                <w:szCs w:val="21"/>
                <w:color w:val="auto"/>
              </w:rPr>
              <w:t>(177,025)</w:t>
            </w:r>
          </w:p>
        </w:tc>
      </w:tr>
      <w:tr>
        <w:trPr>
          <w:trHeight w:val="247"/>
        </w:trPr>
        <w:tc>
          <w:tcPr>
            <w:tcW w:w="2980" w:type="dxa"/>
            <w:vAlign w:val="bottom"/>
          </w:tcPr>
          <w:p>
            <w:pPr>
              <w:spacing w:after="0"/>
              <w:rPr>
                <w:sz w:val="21"/>
                <w:szCs w:val="21"/>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w w:val="96"/>
              </w:rPr>
              <w:t>(8,505,317)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hanging="213"/>
        <w:spacing w:after="0"/>
        <w:tabs>
          <w:tab w:leader="none" w:pos="220" w:val="left"/>
        </w:tabs>
        <w:numPr>
          <w:ilvl w:val="0"/>
          <w:numId w:val="5"/>
        </w:numPr>
        <w:rPr>
          <w:rFonts w:ascii="Arial" w:cs="Arial" w:eastAsia="Arial" w:hAnsi="Arial"/>
          <w:sz w:val="21"/>
          <w:szCs w:val="21"/>
          <w:color w:val="auto"/>
        </w:rPr>
      </w:pPr>
      <w:r>
        <w:rPr>
          <w:rFonts w:ascii="Arial" w:cs="Arial" w:eastAsia="Arial" w:hAnsi="Arial"/>
          <w:sz w:val="21"/>
          <w:szCs w:val="21"/>
          <w:u w:val="single" w:color="auto"/>
          <w:color w:val="auto"/>
        </w:rPr>
        <w:t>INCOME TAXES:</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The Company received a favorable determination letter from the IRS dated August 19, 2002, stating that the Plan meets the requirements of Section 401(a) of the IRC and is exempt from federal income taxes under Section 501(a) of the IRC. Although the Plan has been amended and restated since receiving the determination letter, the Plan administrator believes that the Plan is currently designed and being operated in compliance with the applicable requirements of the IRC. Therefore, the Plan administrator believes that the Plan was qualified and the related Trust was tax exempt as of December 31, 2002 and 2001.</w:t>
      </w:r>
    </w:p>
    <w:p>
      <w:pPr>
        <w:spacing w:after="0" w:line="165"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The Plan failed to pass the Actual Deferral Percentage Test, the Actual Contribution Percentage Test and the Multiple Use Test for the 2001 Plan Year. In order to correct these testing failures, federal law generally required that corrective distributions be made no later than December 31, 2002. However, the former third party record keeper for the Plan failed to complete the testing and furnish the necessary information to the Company so the testing failures could be corrected during the 12-month statutory correction period. As permitted under the applicable IRS guidance, the Company opted to correct the nondiscrimination testing failures in 2003 using the one-to-one correction method, which generally requires an excess contribution amount be refunded to highly compensated employees and a qualified non-elective contribution to be made to the Plan in the same amount and allocated to certain non-highly compensated employees. The amount recorded by the Plan related to the one-to-one correction method is $23 9,468 as of December 31, 2002 and is recorded in the Other Receivables line item of the accompanying Statements of Net Assets Available for Benefits.</w:t>
      </w:r>
    </w:p>
    <w:p>
      <w:pPr>
        <w:spacing w:after="0" w:line="156" w:lineRule="exact"/>
        <w:rPr>
          <w:sz w:val="20"/>
          <w:szCs w:val="20"/>
          <w:color w:val="auto"/>
        </w:rPr>
      </w:pPr>
    </w:p>
    <w:p>
      <w:pPr>
        <w:ind w:right="220"/>
        <w:spacing w:after="0" w:line="249" w:lineRule="auto"/>
        <w:rPr>
          <w:sz w:val="20"/>
          <w:szCs w:val="20"/>
          <w:color w:val="auto"/>
        </w:rPr>
      </w:pPr>
      <w:r>
        <w:rPr>
          <w:rFonts w:ascii="Arial" w:cs="Arial" w:eastAsia="Arial" w:hAnsi="Arial"/>
          <w:sz w:val="21"/>
          <w:szCs w:val="21"/>
          <w:color w:val="auto"/>
        </w:rPr>
        <w:t>The Plan also failed the nondiscrimination testing for the 2002 Plan year. Certain participants also exceeded the 415 limits of the IRC. The Company anticipates making the necessary corrective distributions within the 12-month statutory correction period. The amount recorded by the Plan related to the 2002 nondiscrimination testing is $190,780 as of December 31, 2002 and has been recorded in the accompanying Statements of Net Assets Available for Benefits.</w:t>
      </w:r>
    </w:p>
    <w:p>
      <w:pPr>
        <w:spacing w:after="0" w:line="173" w:lineRule="exact"/>
        <w:rPr>
          <w:sz w:val="20"/>
          <w:szCs w:val="20"/>
          <w:color w:val="auto"/>
        </w:rPr>
      </w:pPr>
    </w:p>
    <w:p>
      <w:pPr>
        <w:ind w:left="220" w:hanging="213"/>
        <w:spacing w:after="0"/>
        <w:tabs>
          <w:tab w:leader="none" w:pos="220" w:val="left"/>
        </w:tabs>
        <w:numPr>
          <w:ilvl w:val="0"/>
          <w:numId w:val="6"/>
        </w:numPr>
        <w:rPr>
          <w:rFonts w:ascii="Arial" w:cs="Arial" w:eastAsia="Arial" w:hAnsi="Arial"/>
          <w:sz w:val="21"/>
          <w:szCs w:val="21"/>
          <w:color w:val="auto"/>
        </w:rPr>
      </w:pPr>
      <w:r>
        <w:rPr>
          <w:rFonts w:ascii="Arial" w:cs="Arial" w:eastAsia="Arial" w:hAnsi="Arial"/>
          <w:sz w:val="21"/>
          <w:szCs w:val="21"/>
          <w:u w:val="single" w:color="auto"/>
          <w:color w:val="auto"/>
        </w:rPr>
        <w:t>PARTY-IN-INTEREST TRANSACTIONS:</w:t>
      </w:r>
    </w:p>
    <w:p>
      <w:pPr>
        <w:spacing w:after="0" w:line="212" w:lineRule="exact"/>
        <w:rPr>
          <w:sz w:val="20"/>
          <w:szCs w:val="20"/>
          <w:color w:val="auto"/>
        </w:rPr>
      </w:pPr>
    </w:p>
    <w:p>
      <w:pPr>
        <w:ind w:right="100"/>
        <w:spacing w:after="0" w:line="261" w:lineRule="auto"/>
        <w:rPr>
          <w:sz w:val="20"/>
          <w:szCs w:val="20"/>
          <w:color w:val="auto"/>
        </w:rPr>
      </w:pPr>
      <w:r>
        <w:rPr>
          <w:rFonts w:ascii="Arial" w:cs="Arial" w:eastAsia="Arial" w:hAnsi="Arial"/>
          <w:sz w:val="20"/>
          <w:szCs w:val="20"/>
          <w:color w:val="auto"/>
        </w:rPr>
        <w:t>Security Trust Company serves as the asset custodian for the Plan. As such, Security Trust Company qualifies as a party-in-interest. Service providers to the Plan (Ceridian Retirement Plan Services, Cole Taylor Bank and Advisors Trust Company) also qualify as parties-in-interest. The Company, certain of its wholly owned subsidiaries, certain of its majority owned subsidiaries and certain of its managed properties participate in the Plan and are therefore considered parties-in-interest. Certain Plan investments are also shares of Vail Resorts, Inc. common stock, qualifying Vail Resorts, Inc. as a party-in-interest.</w:t>
      </w:r>
    </w:p>
    <w:p>
      <w:pPr>
        <w:spacing w:after="0" w:line="165" w:lineRule="exact"/>
        <w:rPr>
          <w:sz w:val="20"/>
          <w:szCs w:val="20"/>
          <w:color w:val="auto"/>
        </w:rPr>
      </w:pPr>
    </w:p>
    <w:p>
      <w:pPr>
        <w:ind w:right="40"/>
        <w:spacing w:after="0" w:line="269" w:lineRule="auto"/>
        <w:rPr>
          <w:sz w:val="20"/>
          <w:szCs w:val="20"/>
          <w:color w:val="auto"/>
        </w:rPr>
      </w:pPr>
      <w:r>
        <w:rPr>
          <w:rFonts w:ascii="Arial" w:cs="Arial" w:eastAsia="Arial" w:hAnsi="Arial"/>
          <w:sz w:val="21"/>
          <w:szCs w:val="21"/>
          <w:color w:val="auto"/>
        </w:rPr>
        <w:t>The Plan paid fees of $258,394 during 2002 for investment and other services rendered by parties-in-interest. Those fees were based on customary and reasonable rates for such services.</w:t>
      </w:r>
    </w:p>
    <w:p>
      <w:pPr>
        <w:spacing w:after="0" w:line="153" w:lineRule="exact"/>
        <w:rPr>
          <w:sz w:val="20"/>
          <w:szCs w:val="20"/>
          <w:color w:val="auto"/>
        </w:rPr>
      </w:pPr>
    </w:p>
    <w:p>
      <w:pPr>
        <w:ind w:left="220" w:hanging="213"/>
        <w:spacing w:after="0"/>
        <w:tabs>
          <w:tab w:leader="none" w:pos="220" w:val="left"/>
        </w:tabs>
        <w:numPr>
          <w:ilvl w:val="0"/>
          <w:numId w:val="7"/>
        </w:numPr>
        <w:rPr>
          <w:rFonts w:ascii="Arial" w:cs="Arial" w:eastAsia="Arial" w:hAnsi="Arial"/>
          <w:sz w:val="21"/>
          <w:szCs w:val="21"/>
          <w:color w:val="auto"/>
        </w:rPr>
      </w:pPr>
      <w:r>
        <w:rPr>
          <w:rFonts w:ascii="Arial" w:cs="Arial" w:eastAsia="Arial" w:hAnsi="Arial"/>
          <w:sz w:val="21"/>
          <w:szCs w:val="21"/>
          <w:u w:val="single" w:color="auto"/>
          <w:color w:val="auto"/>
        </w:rPr>
        <w:t>RISKS AND UNCERTAINTIES:</w:t>
      </w:r>
    </w:p>
    <w:p>
      <w:pPr>
        <w:spacing w:after="0" w:line="212" w:lineRule="exact"/>
        <w:rPr>
          <w:sz w:val="20"/>
          <w:szCs w:val="20"/>
          <w:color w:val="auto"/>
        </w:rPr>
      </w:pPr>
    </w:p>
    <w:p>
      <w:pPr>
        <w:ind w:right="120"/>
        <w:spacing w:after="0" w:line="246" w:lineRule="auto"/>
        <w:rPr>
          <w:sz w:val="20"/>
          <w:szCs w:val="20"/>
          <w:color w:val="auto"/>
        </w:rPr>
      </w:pPr>
      <w:r>
        <w:rPr>
          <w:rFonts w:ascii="Arial" w:cs="Arial" w:eastAsia="Arial" w:hAnsi="Arial"/>
          <w:sz w:val="21"/>
          <w:szCs w:val="21"/>
          <w:color w:val="auto"/>
        </w:rPr>
        <w:t>The Plan provides for various investment options in money market funds, mutual funds and Vail Resorts, Inc. common stock. Investment securities, in general, are exposed to various risks, such as significant world events, interest rate, credit and overall market volatility.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w:t>
      </w:r>
    </w:p>
    <w:p>
      <w:pPr>
        <w:sectPr>
          <w:pgSz w:w="11900" w:h="16838" w:orient="portrait"/>
          <w:cols w:equalWidth="0" w:num="1">
            <w:col w:w="11360"/>
          </w:cols>
          <w:pgMar w:left="240" w:top="385" w:right="299" w:bottom="0" w:gutter="0" w:footer="0" w:header="0"/>
        </w:sectPr>
      </w:pPr>
    </w:p>
    <w:bookmarkStart w:id="6" w:name="page7"/>
    <w:bookmarkEnd w:id="6"/>
    <w:p>
      <w:pPr>
        <w:ind w:left="220" w:hanging="213"/>
        <w:spacing w:after="0"/>
        <w:tabs>
          <w:tab w:leader="none" w:pos="220" w:val="left"/>
        </w:tabs>
        <w:numPr>
          <w:ilvl w:val="0"/>
          <w:numId w:val="8"/>
        </w:numPr>
        <w:rPr>
          <w:rFonts w:ascii="Arial" w:cs="Arial" w:eastAsia="Arial" w:hAnsi="Arial"/>
          <w:sz w:val="21"/>
          <w:szCs w:val="21"/>
          <w:color w:val="auto"/>
        </w:rPr>
      </w:pPr>
      <w:r>
        <w:rPr>
          <w:rFonts w:ascii="Arial" w:cs="Arial" w:eastAsia="Arial" w:hAnsi="Arial"/>
          <w:sz w:val="21"/>
          <w:szCs w:val="21"/>
          <w:u w:val="single" w:color="auto"/>
          <w:color w:val="auto"/>
        </w:rPr>
        <w:t>SUBSEQUENT EVENTS:</w:t>
      </w:r>
    </w:p>
    <w:p>
      <w:pPr>
        <w:spacing w:after="0" w:line="213" w:lineRule="exact"/>
        <w:rPr>
          <w:sz w:val="20"/>
          <w:szCs w:val="20"/>
          <w:color w:val="auto"/>
        </w:rPr>
      </w:pPr>
    </w:p>
    <w:p>
      <w:pPr>
        <w:ind w:right="220"/>
        <w:spacing w:after="0" w:line="269" w:lineRule="auto"/>
        <w:rPr>
          <w:sz w:val="20"/>
          <w:szCs w:val="20"/>
          <w:color w:val="auto"/>
        </w:rPr>
      </w:pPr>
      <w:r>
        <w:rPr>
          <w:rFonts w:ascii="Arial" w:cs="Arial" w:eastAsia="Arial" w:hAnsi="Arial"/>
          <w:sz w:val="21"/>
          <w:szCs w:val="21"/>
          <w:color w:val="auto"/>
        </w:rPr>
        <w:t>In April 2003, the Company began to transition the Plan to a new third party administrator and record-keeper, T. Rowe Price Group, Inc. The transition was completed in June 2003.</w:t>
      </w:r>
    </w:p>
    <w:p>
      <w:pPr>
        <w:spacing w:after="0" w:line="153" w:lineRule="exact"/>
        <w:rPr>
          <w:sz w:val="20"/>
          <w:szCs w:val="20"/>
          <w:color w:val="auto"/>
        </w:rPr>
      </w:pPr>
    </w:p>
    <w:p>
      <w:pPr>
        <w:ind w:right="180"/>
        <w:spacing w:after="0" w:line="246" w:lineRule="auto"/>
        <w:rPr>
          <w:sz w:val="20"/>
          <w:szCs w:val="20"/>
          <w:color w:val="auto"/>
        </w:rPr>
      </w:pPr>
      <w:r>
        <w:rPr>
          <w:rFonts w:ascii="Arial" w:cs="Arial" w:eastAsia="Arial" w:hAnsi="Arial"/>
          <w:sz w:val="21"/>
          <w:szCs w:val="21"/>
          <w:color w:val="auto"/>
        </w:rPr>
        <w:t>In March 2003, the Plan was amended to adopt an additional provision of the Economic Growth and Tax Relief Reconciliation Act of 2001 permitting eligible Plan participants to make catch-up contributions to the Plan. In addition, the Plan was amended to permit enrollment in the Plan effective as of the first day of the calendar month next following the date an employee satisfies the eligibility requirements of the Plan and to modify the dates upon which participants can make changes to the rate of their before-tax contributions to the Plan.</w:t>
      </w:r>
    </w:p>
    <w:p>
      <w:pPr>
        <w:spacing w:after="0" w:line="178"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color w:val="auto"/>
        </w:rPr>
        <w:t>In June 2003, the employees of RockResorts Cheeca, LLC, a participating employer in the Plan were terminated from their employment with RockResorts Cheeca, LLC and became employed by Cheeca Holdings, LLC. In connection with this transaction, the Plan was amended to (1) permit Cheeca Holdings, LLC as a participating employer effective June 2003, (2) provide the employees of Cheeca Holding, LLC will lose no service credit under the Plan as a result of the severance of their employment with RockResorts Cheeca, LLC, (3) establish a special entry date under the Plan for Cheeca Holdings, LLC employees employed on June 24, 2003, (4) clarify that the Company can remove a participating employer in the Plan at any time and (5) clarify that the Company has the right to determine the portion of Plan administrative expenses that shall be paid by each participating employer, to the extent those expenses are not paid by the Trustee out of Trust assets.</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20"/>
          <w:szCs w:val="20"/>
          <w:color w:val="auto"/>
        </w:rPr>
        <w:t>In June 2003, the employees of RockResorts Cheeca, LLC, a participating employer in the Plan were terminated from their employment with RockResorts Cheeca, LLC and became employed by Cheeca Employment Company, LLC. In connection with this transaction, the Plan was amended to (1) permit Cheeca Employment Company, LLC to adopt the Plan as a participating employer effective July 2003, (2) provide that the employees of Cheeca Employment Company will lose no service credit under the Plan as a result of the severance of their employment with RockResorts Cheeca, LLC and (3) establish a special entry date under the Plan for Cheeca Employment Company, LLC employees employed on July 7, 2003.</w:t>
      </w:r>
    </w:p>
    <w:p>
      <w:pPr>
        <w:spacing w:after="0" w:line="166" w:lineRule="exact"/>
        <w:rPr>
          <w:sz w:val="20"/>
          <w:szCs w:val="20"/>
          <w:color w:val="auto"/>
        </w:rPr>
      </w:pPr>
    </w:p>
    <w:p>
      <w:pPr>
        <w:jc w:val="center"/>
        <w:ind w:right="80"/>
        <w:spacing w:after="0" w:line="489" w:lineRule="auto"/>
        <w:rPr>
          <w:sz w:val="20"/>
          <w:szCs w:val="20"/>
          <w:color w:val="auto"/>
        </w:rPr>
      </w:pPr>
      <w:r>
        <w:rPr>
          <w:rFonts w:ascii="Arial" w:cs="Arial" w:eastAsia="Arial" w:hAnsi="Arial"/>
          <w:sz w:val="21"/>
          <w:szCs w:val="21"/>
          <w:u w:val="single" w:color="auto"/>
          <w:color w:val="auto"/>
        </w:rPr>
        <w:t>VAIL RESORTS 401(k) RETIREMENT PLAN SCHEDULE H, LINE 4(i) -- SCHEDULE OF ASSETS (HELD AT END OF YEAR)* EMPLOYER ID #84-061461 PLAN -- #002 AS OF DECEMBER 31, 2002</w:t>
      </w: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(a)</w:t>
            </w:r>
          </w:p>
        </w:tc>
        <w:tc>
          <w:tcPr>
            <w:tcW w:w="1380" w:type="dxa"/>
            <w:vAlign w:val="bottom"/>
          </w:tcPr>
          <w:p>
            <w:pPr>
              <w:spacing w:after="0"/>
              <w:rPr>
                <w:sz w:val="15"/>
                <w:szCs w:val="15"/>
                <w:color w:val="auto"/>
              </w:rPr>
            </w:pPr>
          </w:p>
        </w:tc>
        <w:tc>
          <w:tcPr>
            <w:tcW w:w="2100" w:type="dxa"/>
            <w:vAlign w:val="bottom"/>
            <w:gridSpan w:val="2"/>
          </w:tcPr>
          <w:p>
            <w:pPr>
              <w:jc w:val="center"/>
              <w:ind w:right="740"/>
              <w:spacing w:after="0"/>
              <w:rPr>
                <w:sz w:val="20"/>
                <w:szCs w:val="20"/>
                <w:color w:val="auto"/>
              </w:rPr>
            </w:pPr>
            <w:r>
              <w:rPr>
                <w:rFonts w:ascii="Arial" w:cs="Arial" w:eastAsia="Arial" w:hAnsi="Arial"/>
                <w:sz w:val="13"/>
                <w:szCs w:val="13"/>
                <w:b w:val="1"/>
                <w:bCs w:val="1"/>
                <w:color w:val="auto"/>
                <w:w w:val="96"/>
              </w:rPr>
              <w:t>(b)</w:t>
            </w:r>
          </w:p>
        </w:tc>
        <w:tc>
          <w:tcPr>
            <w:tcW w:w="2220" w:type="dxa"/>
            <w:vAlign w:val="bottom"/>
          </w:tcPr>
          <w:p>
            <w:pPr>
              <w:spacing w:after="0"/>
              <w:rPr>
                <w:sz w:val="15"/>
                <w:szCs w:val="15"/>
                <w:color w:val="auto"/>
              </w:rPr>
            </w:pPr>
          </w:p>
        </w:tc>
        <w:tc>
          <w:tcPr>
            <w:tcW w:w="3220" w:type="dxa"/>
            <w:vAlign w:val="bottom"/>
            <w:gridSpan w:val="2"/>
          </w:tcPr>
          <w:p>
            <w:pPr>
              <w:ind w:left="820"/>
              <w:spacing w:after="0"/>
              <w:rPr>
                <w:sz w:val="20"/>
                <w:szCs w:val="20"/>
                <w:color w:val="auto"/>
              </w:rPr>
            </w:pPr>
            <w:r>
              <w:rPr>
                <w:rFonts w:ascii="Arial" w:cs="Arial" w:eastAsia="Arial" w:hAnsi="Arial"/>
                <w:sz w:val="13"/>
                <w:szCs w:val="13"/>
                <w:b w:val="1"/>
                <w:bCs w:val="1"/>
                <w:color w:val="auto"/>
              </w:rPr>
              <w:t>(c)</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96"/>
              </w:rPr>
              <w:t>(d)</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w w:val="87"/>
              </w:rPr>
              <w:t>(e)</w:t>
            </w:r>
          </w:p>
        </w:tc>
      </w:tr>
      <w:tr>
        <w:trPr>
          <w:trHeight w:val="267"/>
        </w:trPr>
        <w:tc>
          <w:tcPr>
            <w:tcW w:w="200" w:type="dxa"/>
            <w:vAlign w:val="bottom"/>
          </w:tcPr>
          <w:p>
            <w:pPr>
              <w:spacing w:after="0"/>
              <w:rPr>
                <w:sz w:val="23"/>
                <w:szCs w:val="23"/>
                <w:color w:val="auto"/>
              </w:rPr>
            </w:pPr>
          </w:p>
        </w:tc>
        <w:tc>
          <w:tcPr>
            <w:tcW w:w="3480" w:type="dxa"/>
            <w:vAlign w:val="bottom"/>
            <w:gridSpan w:val="3"/>
          </w:tcPr>
          <w:p>
            <w:pPr>
              <w:jc w:val="center"/>
              <w:ind w:left="573"/>
              <w:spacing w:after="0"/>
              <w:rPr>
                <w:sz w:val="20"/>
                <w:szCs w:val="20"/>
                <w:color w:val="auto"/>
              </w:rPr>
            </w:pPr>
            <w:r>
              <w:rPr>
                <w:rFonts w:ascii="Arial" w:cs="Arial" w:eastAsia="Arial" w:hAnsi="Arial"/>
                <w:sz w:val="13"/>
                <w:szCs w:val="13"/>
                <w:b w:val="1"/>
                <w:bCs w:val="1"/>
                <w:color w:val="auto"/>
                <w:w w:val="93"/>
              </w:rPr>
              <w:t>Identity of Issue, Borrower,</w:t>
            </w:r>
          </w:p>
        </w:tc>
        <w:tc>
          <w:tcPr>
            <w:tcW w:w="2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10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89"/>
              </w:rPr>
              <w:t>Shares or</w:t>
            </w:r>
          </w:p>
        </w:tc>
        <w:tc>
          <w:tcPr>
            <w:tcW w:w="1280" w:type="dxa"/>
            <w:vAlign w:val="bottom"/>
            <w:gridSpan w:val="6"/>
          </w:tcPr>
          <w:p>
            <w:pPr>
              <w:jc w:val="center"/>
              <w:spacing w:after="0"/>
              <w:rPr>
                <w:sz w:val="20"/>
                <w:szCs w:val="20"/>
                <w:color w:val="auto"/>
              </w:rPr>
            </w:pPr>
            <w:r>
              <w:rPr>
                <w:rFonts w:ascii="Arial" w:cs="Arial" w:eastAsia="Arial" w:hAnsi="Arial"/>
                <w:sz w:val="13"/>
                <w:szCs w:val="13"/>
                <w:b w:val="1"/>
                <w:bCs w:val="1"/>
                <w:color w:val="auto"/>
                <w:w w:val="97"/>
              </w:rPr>
              <w:t>Current</w:t>
            </w:r>
          </w:p>
        </w:tc>
      </w:tr>
      <w:tr>
        <w:trPr>
          <w:trHeight w:val="240"/>
        </w:trPr>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100" w:type="dxa"/>
            <w:vAlign w:val="bottom"/>
            <w:gridSpan w:val="2"/>
          </w:tcPr>
          <w:p>
            <w:pPr>
              <w:jc w:val="center"/>
              <w:ind w:right="760"/>
              <w:spacing w:after="0"/>
              <w:rPr>
                <w:sz w:val="20"/>
                <w:szCs w:val="20"/>
                <w:color w:val="auto"/>
              </w:rPr>
            </w:pPr>
            <w:r>
              <w:rPr>
                <w:rFonts w:ascii="Arial" w:cs="Arial" w:eastAsia="Arial" w:hAnsi="Arial"/>
                <w:sz w:val="13"/>
                <w:szCs w:val="13"/>
                <w:b w:val="1"/>
                <w:bCs w:val="1"/>
                <w:color w:val="auto"/>
                <w:w w:val="94"/>
              </w:rPr>
              <w:t>Lessor or Similar Party</w:t>
            </w:r>
          </w:p>
        </w:tc>
        <w:tc>
          <w:tcPr>
            <w:tcW w:w="222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3"/>
                <w:szCs w:val="13"/>
                <w:b w:val="1"/>
                <w:bCs w:val="1"/>
                <w:color w:val="auto"/>
              </w:rPr>
              <w:t>Description of Investment</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4"/>
          </w:tcPr>
          <w:p>
            <w:pPr>
              <w:jc w:val="center"/>
              <w:ind w:right="480"/>
              <w:spacing w:after="0"/>
              <w:rPr>
                <w:sz w:val="20"/>
                <w:szCs w:val="20"/>
                <w:color w:val="auto"/>
              </w:rPr>
            </w:pPr>
            <w:r>
              <w:rPr>
                <w:rFonts w:ascii="Arial" w:cs="Arial" w:eastAsia="Arial" w:hAnsi="Arial"/>
                <w:sz w:val="13"/>
                <w:szCs w:val="13"/>
                <w:b w:val="1"/>
                <w:bCs w:val="1"/>
                <w:color w:val="auto"/>
                <w:w w:val="92"/>
              </w:rPr>
              <w:t>Units</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4"/>
          </w:tcPr>
          <w:p>
            <w:pPr>
              <w:jc w:val="center"/>
              <w:ind w:right="480"/>
              <w:spacing w:after="0"/>
              <w:rPr>
                <w:sz w:val="20"/>
                <w:szCs w:val="20"/>
                <w:color w:val="auto"/>
              </w:rPr>
            </w:pPr>
            <w:r>
              <w:rPr>
                <w:rFonts w:ascii="Arial" w:cs="Arial" w:eastAsia="Arial" w:hAnsi="Arial"/>
                <w:sz w:val="13"/>
                <w:szCs w:val="13"/>
                <w:b w:val="1"/>
                <w:bCs w:val="1"/>
                <w:color w:val="auto"/>
                <w:w w:val="92"/>
              </w:rPr>
              <w:t>Value</w:t>
            </w:r>
          </w:p>
        </w:tc>
      </w:tr>
      <w:tr>
        <w:trPr>
          <w:trHeight w:val="541"/>
        </w:trPr>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tcPr>
          <w:p>
            <w:pPr>
              <w:ind w:left="640"/>
              <w:spacing w:after="0"/>
              <w:rPr>
                <w:sz w:val="20"/>
                <w:szCs w:val="20"/>
                <w:color w:val="auto"/>
              </w:rPr>
            </w:pPr>
            <w:r>
              <w:rPr>
                <w:rFonts w:ascii="Arial" w:cs="Arial" w:eastAsia="Arial" w:hAnsi="Arial"/>
                <w:sz w:val="13"/>
                <w:szCs w:val="13"/>
                <w:color w:val="auto"/>
              </w:rPr>
              <w:t>Money market funds:</w:t>
            </w:r>
          </w:p>
        </w:tc>
        <w:tc>
          <w:tcPr>
            <w:tcW w:w="1460" w:type="dxa"/>
            <w:vAlign w:val="bottom"/>
            <w:tcBorders>
              <w:top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67"/>
        </w:trPr>
        <w:tc>
          <w:tcPr>
            <w:tcW w:w="200" w:type="dxa"/>
            <w:vAlign w:val="bottom"/>
          </w:tcPr>
          <w:p>
            <w:pPr>
              <w:spacing w:after="0"/>
              <w:rPr>
                <w:sz w:val="23"/>
                <w:szCs w:val="23"/>
                <w:color w:val="auto"/>
              </w:rPr>
            </w:pPr>
          </w:p>
        </w:tc>
        <w:tc>
          <w:tcPr>
            <w:tcW w:w="3480" w:type="dxa"/>
            <w:vAlign w:val="bottom"/>
            <w:gridSpan w:val="3"/>
          </w:tcPr>
          <w:p>
            <w:pPr>
              <w:ind w:left="20"/>
              <w:spacing w:after="0"/>
              <w:rPr>
                <w:sz w:val="20"/>
                <w:szCs w:val="20"/>
                <w:color w:val="auto"/>
              </w:rPr>
            </w:pPr>
            <w:r>
              <w:rPr>
                <w:rFonts w:ascii="Arial" w:cs="Arial" w:eastAsia="Arial" w:hAnsi="Arial"/>
                <w:sz w:val="13"/>
                <w:szCs w:val="13"/>
                <w:color w:val="auto"/>
              </w:rPr>
              <w:t>Frank Russell Investment Company</w:t>
            </w:r>
          </w:p>
        </w:tc>
        <w:tc>
          <w:tcPr>
            <w:tcW w:w="5440" w:type="dxa"/>
            <w:vAlign w:val="bottom"/>
            <w:gridSpan w:val="3"/>
          </w:tcPr>
          <w:p>
            <w:pPr>
              <w:ind w:left="960"/>
              <w:spacing w:after="0"/>
              <w:rPr>
                <w:sz w:val="20"/>
                <w:szCs w:val="20"/>
                <w:color w:val="auto"/>
              </w:rPr>
            </w:pPr>
            <w:r>
              <w:rPr>
                <w:rFonts w:ascii="Arial" w:cs="Arial" w:eastAsia="Arial" w:hAnsi="Arial"/>
                <w:sz w:val="13"/>
                <w:szCs w:val="13"/>
                <w:color w:val="auto"/>
              </w:rPr>
              <w:t>Russell Money Market Fund</w:t>
            </w:r>
          </w:p>
        </w:tc>
        <w:tc>
          <w:tcPr>
            <w:tcW w:w="3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7,562,535</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7,562,535</w:t>
            </w:r>
          </w:p>
        </w:tc>
      </w:tr>
      <w:tr>
        <w:trPr>
          <w:trHeight w:val="240"/>
        </w:trPr>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40" w:type="dxa"/>
            <w:vAlign w:val="bottom"/>
            <w:gridSpan w:val="3"/>
          </w:tcPr>
          <w:p>
            <w:pPr>
              <w:ind w:left="960"/>
              <w:spacing w:after="0"/>
              <w:rPr>
                <w:sz w:val="20"/>
                <w:szCs w:val="20"/>
                <w:color w:val="auto"/>
              </w:rPr>
            </w:pPr>
            <w:r>
              <w:rPr>
                <w:rFonts w:ascii="Arial" w:cs="Arial" w:eastAsia="Arial" w:hAnsi="Arial"/>
                <w:sz w:val="13"/>
                <w:szCs w:val="13"/>
                <w:color w:val="auto"/>
              </w:rPr>
              <w:t>Schwab Money Market Fund</w:t>
            </w:r>
          </w:p>
        </w:tc>
        <w:tc>
          <w:tcPr>
            <w:tcW w:w="2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18,963</w:t>
            </w:r>
          </w:p>
        </w:tc>
        <w:tc>
          <w:tcPr>
            <w:tcW w:w="4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18,963</w:t>
            </w:r>
          </w:p>
        </w:tc>
      </w:tr>
      <w:tr>
        <w:trPr>
          <w:trHeight w:val="274"/>
        </w:trPr>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40" w:type="dxa"/>
            <w:vAlign w:val="bottom"/>
            <w:gridSpan w:val="3"/>
          </w:tcPr>
          <w:p>
            <w:pPr>
              <w:ind w:left="960"/>
              <w:spacing w:after="0"/>
              <w:rPr>
                <w:sz w:val="20"/>
                <w:szCs w:val="20"/>
                <w:color w:val="auto"/>
              </w:rPr>
            </w:pPr>
            <w:r>
              <w:rPr>
                <w:rFonts w:ascii="Arial" w:cs="Arial" w:eastAsia="Arial" w:hAnsi="Arial"/>
                <w:sz w:val="13"/>
                <w:szCs w:val="13"/>
                <w:color w:val="auto"/>
              </w:rPr>
              <w:t>Total Money Market Funds:</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7,581,498</w:t>
            </w: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7,581,498</w:t>
            </w:r>
          </w:p>
        </w:tc>
      </w:tr>
      <w:tr>
        <w:trPr>
          <w:trHeight w:val="534"/>
        </w:trPr>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40" w:type="dxa"/>
            <w:vAlign w:val="bottom"/>
            <w:gridSpan w:val="3"/>
          </w:tcPr>
          <w:p>
            <w:pPr>
              <w:ind w:left="640"/>
              <w:spacing w:after="0"/>
              <w:rPr>
                <w:sz w:val="20"/>
                <w:szCs w:val="20"/>
                <w:color w:val="auto"/>
              </w:rPr>
            </w:pPr>
            <w:r>
              <w:rPr>
                <w:rFonts w:ascii="Arial" w:cs="Arial" w:eastAsia="Arial" w:hAnsi="Arial"/>
                <w:sz w:val="13"/>
                <w:szCs w:val="13"/>
                <w:color w:val="auto"/>
              </w:rPr>
              <w:t>Mutual funds:</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67"/>
        </w:trPr>
        <w:tc>
          <w:tcPr>
            <w:tcW w:w="200" w:type="dxa"/>
            <w:vAlign w:val="bottom"/>
          </w:tcPr>
          <w:p>
            <w:pPr>
              <w:spacing w:after="0"/>
              <w:rPr>
                <w:sz w:val="23"/>
                <w:szCs w:val="23"/>
                <w:color w:val="auto"/>
              </w:rPr>
            </w:pPr>
          </w:p>
        </w:tc>
        <w:tc>
          <w:tcPr>
            <w:tcW w:w="3480" w:type="dxa"/>
            <w:vAlign w:val="bottom"/>
            <w:gridSpan w:val="3"/>
          </w:tcPr>
          <w:p>
            <w:pPr>
              <w:ind w:left="20"/>
              <w:spacing w:after="0"/>
              <w:rPr>
                <w:sz w:val="20"/>
                <w:szCs w:val="20"/>
                <w:color w:val="auto"/>
              </w:rPr>
            </w:pPr>
            <w:r>
              <w:rPr>
                <w:rFonts w:ascii="Arial" w:cs="Arial" w:eastAsia="Arial" w:hAnsi="Arial"/>
                <w:sz w:val="13"/>
                <w:szCs w:val="13"/>
                <w:color w:val="auto"/>
              </w:rPr>
              <w:t>Frank Russell Investment Company</w:t>
            </w:r>
          </w:p>
        </w:tc>
        <w:tc>
          <w:tcPr>
            <w:tcW w:w="5440" w:type="dxa"/>
            <w:vAlign w:val="bottom"/>
            <w:gridSpan w:val="3"/>
          </w:tcPr>
          <w:p>
            <w:pPr>
              <w:ind w:left="960"/>
              <w:spacing w:after="0"/>
              <w:rPr>
                <w:sz w:val="20"/>
                <w:szCs w:val="20"/>
                <w:color w:val="auto"/>
              </w:rPr>
            </w:pPr>
            <w:r>
              <w:rPr>
                <w:rFonts w:ascii="Arial" w:cs="Arial" w:eastAsia="Arial" w:hAnsi="Arial"/>
                <w:sz w:val="13"/>
                <w:szCs w:val="13"/>
                <w:color w:val="auto"/>
              </w:rPr>
              <w:t>Russell Emerging Markets</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163,404</w:t>
            </w: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1,238,089</w:t>
            </w:r>
          </w:p>
        </w:tc>
      </w:tr>
      <w:tr>
        <w:trPr>
          <w:trHeight w:val="267"/>
        </w:trPr>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40" w:type="dxa"/>
            <w:vAlign w:val="bottom"/>
            <w:gridSpan w:val="3"/>
          </w:tcPr>
          <w:p>
            <w:pPr>
              <w:ind w:left="960"/>
              <w:spacing w:after="0"/>
              <w:rPr>
                <w:sz w:val="20"/>
                <w:szCs w:val="20"/>
                <w:color w:val="auto"/>
              </w:rPr>
            </w:pPr>
            <w:r>
              <w:rPr>
                <w:rFonts w:ascii="Arial" w:cs="Arial" w:eastAsia="Arial" w:hAnsi="Arial"/>
                <w:sz w:val="13"/>
                <w:szCs w:val="13"/>
                <w:color w:val="auto"/>
              </w:rPr>
              <w:t>Russell Equity I</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804,114</w:t>
            </w: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6,069,924</w:t>
            </w:r>
          </w:p>
        </w:tc>
      </w:tr>
      <w:tr>
        <w:trPr>
          <w:trHeight w:val="267"/>
        </w:trPr>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40" w:type="dxa"/>
            <w:vAlign w:val="bottom"/>
            <w:gridSpan w:val="3"/>
          </w:tcPr>
          <w:p>
            <w:pPr>
              <w:ind w:left="960"/>
              <w:spacing w:after="0"/>
              <w:rPr>
                <w:sz w:val="20"/>
                <w:szCs w:val="20"/>
                <w:color w:val="auto"/>
              </w:rPr>
            </w:pPr>
            <w:r>
              <w:rPr>
                <w:rFonts w:ascii="Arial" w:cs="Arial" w:eastAsia="Arial" w:hAnsi="Arial"/>
                <w:sz w:val="13"/>
                <w:szCs w:val="13"/>
                <w:color w:val="auto"/>
              </w:rPr>
              <w:t>Russell Equity II</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325,561</w:t>
            </w: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2,443,308</w:t>
            </w:r>
          </w:p>
        </w:tc>
      </w:tr>
      <w:tr>
        <w:trPr>
          <w:trHeight w:val="267"/>
        </w:trPr>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40" w:type="dxa"/>
            <w:vAlign w:val="bottom"/>
            <w:gridSpan w:val="3"/>
          </w:tcPr>
          <w:p>
            <w:pPr>
              <w:ind w:left="960"/>
              <w:spacing w:after="0"/>
              <w:rPr>
                <w:sz w:val="20"/>
                <w:szCs w:val="20"/>
                <w:color w:val="auto"/>
              </w:rPr>
            </w:pPr>
            <w:r>
              <w:rPr>
                <w:rFonts w:ascii="Arial" w:cs="Arial" w:eastAsia="Arial" w:hAnsi="Arial"/>
                <w:sz w:val="13"/>
                <w:szCs w:val="13"/>
                <w:color w:val="auto"/>
              </w:rPr>
              <w:t>Russell Equity Q</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805,625</w:t>
            </w: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6,084,994</w:t>
            </w:r>
          </w:p>
        </w:tc>
      </w:tr>
      <w:tr>
        <w:trPr>
          <w:trHeight w:val="267"/>
        </w:trPr>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40" w:type="dxa"/>
            <w:vAlign w:val="bottom"/>
            <w:gridSpan w:val="3"/>
          </w:tcPr>
          <w:p>
            <w:pPr>
              <w:ind w:left="960"/>
              <w:spacing w:after="0"/>
              <w:rPr>
                <w:sz w:val="20"/>
                <w:szCs w:val="20"/>
                <w:color w:val="auto"/>
              </w:rPr>
            </w:pPr>
            <w:r>
              <w:rPr>
                <w:rFonts w:ascii="Arial" w:cs="Arial" w:eastAsia="Arial" w:hAnsi="Arial"/>
                <w:sz w:val="13"/>
                <w:szCs w:val="13"/>
                <w:color w:val="auto"/>
              </w:rPr>
              <w:t>Russell International Fund</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660,869</w:t>
            </w: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5,031,180</w:t>
            </w:r>
          </w:p>
        </w:tc>
      </w:tr>
      <w:tr>
        <w:trPr>
          <w:trHeight w:val="267"/>
        </w:trPr>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40" w:type="dxa"/>
            <w:vAlign w:val="bottom"/>
            <w:gridSpan w:val="3"/>
          </w:tcPr>
          <w:p>
            <w:pPr>
              <w:ind w:left="960"/>
              <w:spacing w:after="0"/>
              <w:rPr>
                <w:sz w:val="20"/>
                <w:szCs w:val="20"/>
                <w:color w:val="auto"/>
              </w:rPr>
            </w:pPr>
            <w:r>
              <w:rPr>
                <w:rFonts w:ascii="Arial" w:cs="Arial" w:eastAsia="Arial" w:hAnsi="Arial"/>
                <w:sz w:val="13"/>
                <w:szCs w:val="13"/>
                <w:color w:val="auto"/>
              </w:rPr>
              <w:t>Russell Real Estate Securities</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197,174</w:t>
            </w: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1,536,557</w:t>
            </w:r>
          </w:p>
        </w:tc>
      </w:tr>
      <w:tr>
        <w:trPr>
          <w:trHeight w:val="267"/>
        </w:trPr>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40" w:type="dxa"/>
            <w:vAlign w:val="bottom"/>
            <w:gridSpan w:val="3"/>
          </w:tcPr>
          <w:p>
            <w:pPr>
              <w:ind w:left="960"/>
              <w:spacing w:after="0"/>
              <w:rPr>
                <w:sz w:val="20"/>
                <w:szCs w:val="20"/>
                <w:color w:val="auto"/>
              </w:rPr>
            </w:pPr>
            <w:r>
              <w:rPr>
                <w:rFonts w:ascii="Arial" w:cs="Arial" w:eastAsia="Arial" w:hAnsi="Arial"/>
                <w:sz w:val="13"/>
                <w:szCs w:val="13"/>
                <w:color w:val="auto"/>
              </w:rPr>
              <w:t>Russell Fixed I</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347,098</w:t>
            </w: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3,004,718</w:t>
            </w:r>
          </w:p>
        </w:tc>
      </w:tr>
      <w:tr>
        <w:trPr>
          <w:trHeight w:val="267"/>
        </w:trPr>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40" w:type="dxa"/>
            <w:vAlign w:val="bottom"/>
            <w:gridSpan w:val="3"/>
          </w:tcPr>
          <w:p>
            <w:pPr>
              <w:ind w:left="960"/>
              <w:spacing w:after="0"/>
              <w:rPr>
                <w:sz w:val="20"/>
                <w:szCs w:val="20"/>
                <w:color w:val="auto"/>
              </w:rPr>
            </w:pPr>
            <w:r>
              <w:rPr>
                <w:rFonts w:ascii="Arial" w:cs="Arial" w:eastAsia="Arial" w:hAnsi="Arial"/>
                <w:sz w:val="13"/>
                <w:szCs w:val="13"/>
                <w:color w:val="auto"/>
              </w:rPr>
              <w:t>Russell Fixed III</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174,463</w:t>
            </w: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1,670,708</w:t>
            </w:r>
          </w:p>
        </w:tc>
      </w:tr>
      <w:tr>
        <w:trPr>
          <w:trHeight w:val="267"/>
        </w:trPr>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40" w:type="dxa"/>
            <w:vAlign w:val="bottom"/>
            <w:gridSpan w:val="3"/>
          </w:tcPr>
          <w:p>
            <w:pPr>
              <w:ind w:left="960"/>
              <w:spacing w:after="0"/>
              <w:rPr>
                <w:sz w:val="20"/>
                <w:szCs w:val="20"/>
                <w:color w:val="auto"/>
              </w:rPr>
            </w:pPr>
            <w:r>
              <w:rPr>
                <w:rFonts w:ascii="Arial" w:cs="Arial" w:eastAsia="Arial" w:hAnsi="Arial"/>
                <w:sz w:val="13"/>
                <w:szCs w:val="13"/>
                <w:color w:val="auto"/>
              </w:rPr>
              <w:t>Russell Short-Term Bond Fund</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465,173</w:t>
            </w: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3,651,664</w:t>
            </w:r>
          </w:p>
        </w:tc>
      </w:tr>
      <w:tr>
        <w:trPr>
          <w:trHeight w:val="267"/>
        </w:trPr>
        <w:tc>
          <w:tcPr>
            <w:tcW w:w="200" w:type="dxa"/>
            <w:vAlign w:val="bottom"/>
          </w:tcPr>
          <w:p>
            <w:pPr>
              <w:spacing w:after="0"/>
              <w:rPr>
                <w:sz w:val="23"/>
                <w:szCs w:val="23"/>
                <w:color w:val="auto"/>
              </w:rPr>
            </w:pPr>
          </w:p>
        </w:tc>
        <w:tc>
          <w:tcPr>
            <w:tcW w:w="3480" w:type="dxa"/>
            <w:vAlign w:val="bottom"/>
            <w:gridSpan w:val="3"/>
          </w:tcPr>
          <w:p>
            <w:pPr>
              <w:ind w:left="20"/>
              <w:spacing w:after="0"/>
              <w:rPr>
                <w:sz w:val="20"/>
                <w:szCs w:val="20"/>
                <w:color w:val="auto"/>
              </w:rPr>
            </w:pPr>
            <w:r>
              <w:rPr>
                <w:rFonts w:ascii="Arial" w:cs="Arial" w:eastAsia="Arial" w:hAnsi="Arial"/>
                <w:sz w:val="13"/>
                <w:szCs w:val="13"/>
                <w:color w:val="auto"/>
              </w:rPr>
              <w:t>The Vanguard Group</w:t>
            </w:r>
          </w:p>
        </w:tc>
        <w:tc>
          <w:tcPr>
            <w:tcW w:w="5440" w:type="dxa"/>
            <w:vAlign w:val="bottom"/>
            <w:gridSpan w:val="3"/>
          </w:tcPr>
          <w:p>
            <w:pPr>
              <w:ind w:left="960"/>
              <w:spacing w:after="0"/>
              <w:rPr>
                <w:sz w:val="20"/>
                <w:szCs w:val="20"/>
                <w:color w:val="auto"/>
              </w:rPr>
            </w:pPr>
            <w:r>
              <w:rPr>
                <w:rFonts w:ascii="Arial" w:cs="Arial" w:eastAsia="Arial" w:hAnsi="Arial"/>
                <w:sz w:val="13"/>
                <w:szCs w:val="13"/>
                <w:color w:val="auto"/>
              </w:rPr>
              <w:t>Vanguard 500 Index Fund</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72,747</w:t>
            </w: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5,903,407</w:t>
            </w:r>
          </w:p>
        </w:tc>
      </w:tr>
      <w:tr>
        <w:trPr>
          <w:trHeight w:val="267"/>
        </w:trPr>
        <w:tc>
          <w:tcPr>
            <w:tcW w:w="200" w:type="dxa"/>
            <w:vAlign w:val="bottom"/>
          </w:tcPr>
          <w:p>
            <w:pPr>
              <w:spacing w:after="0"/>
              <w:rPr>
                <w:sz w:val="23"/>
                <w:szCs w:val="23"/>
                <w:color w:val="auto"/>
              </w:rPr>
            </w:pPr>
          </w:p>
        </w:tc>
        <w:tc>
          <w:tcPr>
            <w:tcW w:w="3480" w:type="dxa"/>
            <w:vAlign w:val="bottom"/>
            <w:gridSpan w:val="3"/>
          </w:tcPr>
          <w:p>
            <w:pPr>
              <w:ind w:left="20"/>
              <w:spacing w:after="0"/>
              <w:rPr>
                <w:sz w:val="20"/>
                <w:szCs w:val="20"/>
                <w:color w:val="auto"/>
              </w:rPr>
            </w:pPr>
            <w:r>
              <w:rPr>
                <w:rFonts w:ascii="Arial" w:cs="Arial" w:eastAsia="Arial" w:hAnsi="Arial"/>
                <w:sz w:val="13"/>
                <w:szCs w:val="13"/>
                <w:color w:val="auto"/>
              </w:rPr>
              <w:t>The Franklin Templeton Group</w:t>
            </w:r>
          </w:p>
        </w:tc>
        <w:tc>
          <w:tcPr>
            <w:tcW w:w="5440" w:type="dxa"/>
            <w:vAlign w:val="bottom"/>
            <w:gridSpan w:val="3"/>
          </w:tcPr>
          <w:p>
            <w:pPr>
              <w:ind w:left="960"/>
              <w:spacing w:after="0"/>
              <w:rPr>
                <w:sz w:val="20"/>
                <w:szCs w:val="20"/>
                <w:color w:val="auto"/>
              </w:rPr>
            </w:pPr>
            <w:r>
              <w:rPr>
                <w:rFonts w:ascii="Arial" w:cs="Arial" w:eastAsia="Arial" w:hAnsi="Arial"/>
                <w:sz w:val="13"/>
                <w:szCs w:val="13"/>
                <w:color w:val="auto"/>
              </w:rPr>
              <w:t>Templeton Foreign Fund</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179,762</w:t>
            </w: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1,493,822</w:t>
            </w:r>
          </w:p>
        </w:tc>
      </w:tr>
      <w:tr>
        <w:trPr>
          <w:trHeight w:val="267"/>
        </w:trPr>
        <w:tc>
          <w:tcPr>
            <w:tcW w:w="200" w:type="dxa"/>
            <w:vAlign w:val="bottom"/>
          </w:tcPr>
          <w:p>
            <w:pPr>
              <w:spacing w:after="0"/>
              <w:rPr>
                <w:sz w:val="23"/>
                <w:szCs w:val="23"/>
                <w:color w:val="auto"/>
              </w:rPr>
            </w:pPr>
          </w:p>
        </w:tc>
        <w:tc>
          <w:tcPr>
            <w:tcW w:w="3480" w:type="dxa"/>
            <w:vAlign w:val="bottom"/>
            <w:gridSpan w:val="3"/>
          </w:tcPr>
          <w:p>
            <w:pPr>
              <w:ind w:left="20"/>
              <w:spacing w:after="0"/>
              <w:rPr>
                <w:sz w:val="20"/>
                <w:szCs w:val="20"/>
                <w:color w:val="auto"/>
              </w:rPr>
            </w:pPr>
            <w:r>
              <w:rPr>
                <w:rFonts w:ascii="Arial" w:cs="Arial" w:eastAsia="Arial" w:hAnsi="Arial"/>
                <w:sz w:val="13"/>
                <w:szCs w:val="13"/>
                <w:color w:val="auto"/>
              </w:rPr>
              <w:t>Putnam Investments</w:t>
            </w:r>
          </w:p>
        </w:tc>
        <w:tc>
          <w:tcPr>
            <w:tcW w:w="5440" w:type="dxa"/>
            <w:vAlign w:val="bottom"/>
            <w:gridSpan w:val="3"/>
          </w:tcPr>
          <w:p>
            <w:pPr>
              <w:ind w:left="960"/>
              <w:spacing w:after="0"/>
              <w:rPr>
                <w:sz w:val="20"/>
                <w:szCs w:val="20"/>
                <w:color w:val="auto"/>
              </w:rPr>
            </w:pPr>
            <w:r>
              <w:rPr>
                <w:rFonts w:ascii="Arial" w:cs="Arial" w:eastAsia="Arial" w:hAnsi="Arial"/>
                <w:sz w:val="13"/>
                <w:szCs w:val="13"/>
                <w:color w:val="auto"/>
              </w:rPr>
              <w:t>Putnam New Opportunities Fund</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108,606</w:t>
            </w: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3,087,669</w:t>
            </w:r>
          </w:p>
        </w:tc>
      </w:tr>
      <w:tr>
        <w:trPr>
          <w:trHeight w:val="267"/>
        </w:trPr>
        <w:tc>
          <w:tcPr>
            <w:tcW w:w="200" w:type="dxa"/>
            <w:vAlign w:val="bottom"/>
          </w:tcPr>
          <w:p>
            <w:pPr>
              <w:spacing w:after="0"/>
              <w:rPr>
                <w:sz w:val="23"/>
                <w:szCs w:val="23"/>
                <w:color w:val="auto"/>
              </w:rPr>
            </w:pPr>
          </w:p>
        </w:tc>
        <w:tc>
          <w:tcPr>
            <w:tcW w:w="3480" w:type="dxa"/>
            <w:vAlign w:val="bottom"/>
            <w:gridSpan w:val="3"/>
          </w:tcPr>
          <w:p>
            <w:pPr>
              <w:ind w:left="20"/>
              <w:spacing w:after="0"/>
              <w:rPr>
                <w:sz w:val="20"/>
                <w:szCs w:val="20"/>
                <w:color w:val="auto"/>
              </w:rPr>
            </w:pPr>
            <w:r>
              <w:rPr>
                <w:rFonts w:ascii="Arial" w:cs="Arial" w:eastAsia="Arial" w:hAnsi="Arial"/>
                <w:sz w:val="13"/>
                <w:szCs w:val="13"/>
                <w:color w:val="auto"/>
              </w:rPr>
              <w:t>Davis Funds</w:t>
            </w:r>
          </w:p>
        </w:tc>
        <w:tc>
          <w:tcPr>
            <w:tcW w:w="5440" w:type="dxa"/>
            <w:vAlign w:val="bottom"/>
            <w:gridSpan w:val="3"/>
          </w:tcPr>
          <w:p>
            <w:pPr>
              <w:ind w:left="960"/>
              <w:spacing w:after="0"/>
              <w:rPr>
                <w:sz w:val="20"/>
                <w:szCs w:val="20"/>
                <w:color w:val="auto"/>
              </w:rPr>
            </w:pPr>
            <w:r>
              <w:rPr>
                <w:rFonts w:ascii="Arial" w:cs="Arial" w:eastAsia="Arial" w:hAnsi="Arial"/>
                <w:sz w:val="13"/>
                <w:szCs w:val="13"/>
                <w:color w:val="auto"/>
              </w:rPr>
              <w:t>Davis New York Venture Fund</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165,722</w:t>
            </w: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3,470,228</w:t>
            </w:r>
          </w:p>
        </w:tc>
      </w:tr>
      <w:tr>
        <w:trPr>
          <w:trHeight w:val="267"/>
        </w:trPr>
        <w:tc>
          <w:tcPr>
            <w:tcW w:w="200" w:type="dxa"/>
            <w:vAlign w:val="bottom"/>
          </w:tcPr>
          <w:p>
            <w:pPr>
              <w:spacing w:after="0"/>
              <w:rPr>
                <w:sz w:val="23"/>
                <w:szCs w:val="23"/>
                <w:color w:val="auto"/>
              </w:rPr>
            </w:pPr>
          </w:p>
        </w:tc>
        <w:tc>
          <w:tcPr>
            <w:tcW w:w="3480" w:type="dxa"/>
            <w:vAlign w:val="bottom"/>
            <w:gridSpan w:val="3"/>
          </w:tcPr>
          <w:p>
            <w:pPr>
              <w:ind w:left="20"/>
              <w:spacing w:after="0"/>
              <w:rPr>
                <w:sz w:val="20"/>
                <w:szCs w:val="20"/>
                <w:color w:val="auto"/>
              </w:rPr>
            </w:pPr>
            <w:r>
              <w:rPr>
                <w:rFonts w:ascii="Arial" w:cs="Arial" w:eastAsia="Arial" w:hAnsi="Arial"/>
                <w:sz w:val="13"/>
                <w:szCs w:val="13"/>
                <w:color w:val="auto"/>
              </w:rPr>
              <w:t>Columbia Funds</w:t>
            </w:r>
          </w:p>
        </w:tc>
        <w:tc>
          <w:tcPr>
            <w:tcW w:w="5440" w:type="dxa"/>
            <w:vAlign w:val="bottom"/>
            <w:gridSpan w:val="3"/>
          </w:tcPr>
          <w:p>
            <w:pPr>
              <w:ind w:left="960"/>
              <w:spacing w:after="0"/>
              <w:rPr>
                <w:sz w:val="20"/>
                <w:szCs w:val="20"/>
                <w:color w:val="auto"/>
              </w:rPr>
            </w:pPr>
            <w:r>
              <w:rPr>
                <w:rFonts w:ascii="Arial" w:cs="Arial" w:eastAsia="Arial" w:hAnsi="Arial"/>
                <w:sz w:val="13"/>
                <w:szCs w:val="13"/>
                <w:color w:val="auto"/>
              </w:rPr>
              <w:t>Columbia High Yield Fund</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132,213</w:t>
            </w: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1,106,623</w:t>
            </w:r>
          </w:p>
        </w:tc>
      </w:tr>
      <w:tr>
        <w:trPr>
          <w:trHeight w:val="267"/>
        </w:trPr>
        <w:tc>
          <w:tcPr>
            <w:tcW w:w="200" w:type="dxa"/>
            <w:vAlign w:val="bottom"/>
          </w:tcPr>
          <w:p>
            <w:pPr>
              <w:spacing w:after="0"/>
              <w:rPr>
                <w:sz w:val="23"/>
                <w:szCs w:val="23"/>
                <w:color w:val="auto"/>
              </w:rPr>
            </w:pPr>
          </w:p>
        </w:tc>
        <w:tc>
          <w:tcPr>
            <w:tcW w:w="3480" w:type="dxa"/>
            <w:vAlign w:val="bottom"/>
            <w:gridSpan w:val="3"/>
          </w:tcPr>
          <w:p>
            <w:pPr>
              <w:ind w:left="20"/>
              <w:spacing w:after="0"/>
              <w:rPr>
                <w:sz w:val="20"/>
                <w:szCs w:val="20"/>
                <w:color w:val="auto"/>
              </w:rPr>
            </w:pPr>
            <w:r>
              <w:rPr>
                <w:rFonts w:ascii="Arial" w:cs="Arial" w:eastAsia="Arial" w:hAnsi="Arial"/>
                <w:sz w:val="13"/>
                <w:szCs w:val="13"/>
                <w:color w:val="auto"/>
              </w:rPr>
              <w:t>Quaker Family of Funds</w:t>
            </w:r>
          </w:p>
        </w:tc>
        <w:tc>
          <w:tcPr>
            <w:tcW w:w="5440" w:type="dxa"/>
            <w:vAlign w:val="bottom"/>
            <w:gridSpan w:val="3"/>
          </w:tcPr>
          <w:p>
            <w:pPr>
              <w:ind w:left="960"/>
              <w:spacing w:after="0"/>
              <w:rPr>
                <w:sz w:val="20"/>
                <w:szCs w:val="20"/>
                <w:color w:val="auto"/>
              </w:rPr>
            </w:pPr>
            <w:r>
              <w:rPr>
                <w:rFonts w:ascii="Arial" w:cs="Arial" w:eastAsia="Arial" w:hAnsi="Arial"/>
                <w:sz w:val="13"/>
                <w:szCs w:val="13"/>
                <w:color w:val="auto"/>
              </w:rPr>
              <w:t>Quaker Aggressive Growth</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6,818</w:t>
            </w: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101,522</w:t>
            </w:r>
          </w:p>
        </w:tc>
      </w:tr>
      <w:tr>
        <w:trPr>
          <w:trHeight w:val="240"/>
        </w:trPr>
        <w:tc>
          <w:tcPr>
            <w:tcW w:w="200" w:type="dxa"/>
            <w:vAlign w:val="bottom"/>
          </w:tcPr>
          <w:p>
            <w:pPr>
              <w:spacing w:after="0"/>
              <w:rPr>
                <w:sz w:val="20"/>
                <w:szCs w:val="20"/>
                <w:color w:val="auto"/>
              </w:rPr>
            </w:pPr>
          </w:p>
        </w:tc>
        <w:tc>
          <w:tcPr>
            <w:tcW w:w="3480" w:type="dxa"/>
            <w:vAlign w:val="bottom"/>
            <w:gridSpan w:val="3"/>
          </w:tcPr>
          <w:p>
            <w:pPr>
              <w:ind w:left="20"/>
              <w:spacing w:after="0"/>
              <w:rPr>
                <w:sz w:val="20"/>
                <w:szCs w:val="20"/>
                <w:color w:val="auto"/>
              </w:rPr>
            </w:pPr>
            <w:r>
              <w:rPr>
                <w:rFonts w:ascii="Arial" w:cs="Arial" w:eastAsia="Arial" w:hAnsi="Arial"/>
                <w:sz w:val="13"/>
                <w:szCs w:val="13"/>
                <w:color w:val="auto"/>
              </w:rPr>
              <w:t>Oak Associates Funds</w:t>
            </w:r>
          </w:p>
        </w:tc>
        <w:tc>
          <w:tcPr>
            <w:tcW w:w="5440" w:type="dxa"/>
            <w:vAlign w:val="bottom"/>
            <w:gridSpan w:val="3"/>
          </w:tcPr>
          <w:p>
            <w:pPr>
              <w:ind w:left="960"/>
              <w:spacing w:after="0"/>
              <w:rPr>
                <w:sz w:val="20"/>
                <w:szCs w:val="20"/>
                <w:color w:val="auto"/>
              </w:rPr>
            </w:pPr>
            <w:r>
              <w:rPr>
                <w:rFonts w:ascii="Arial" w:cs="Arial" w:eastAsia="Arial" w:hAnsi="Arial"/>
                <w:sz w:val="13"/>
                <w:szCs w:val="13"/>
                <w:color w:val="auto"/>
              </w:rPr>
              <w:t>Pin Oak Aggressive Stock Fund</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20,117</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239,187</w:t>
            </w:r>
          </w:p>
        </w:tc>
      </w:tr>
      <w:tr>
        <w:trPr>
          <w:trHeight w:val="20"/>
        </w:trPr>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274"/>
        </w:trPr>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40" w:type="dxa"/>
            <w:vAlign w:val="bottom"/>
            <w:gridSpan w:val="3"/>
          </w:tcPr>
          <w:p>
            <w:pPr>
              <w:ind w:left="960"/>
              <w:spacing w:after="0"/>
              <w:rPr>
                <w:sz w:val="20"/>
                <w:szCs w:val="20"/>
                <w:color w:val="auto"/>
              </w:rPr>
            </w:pPr>
            <w:r>
              <w:rPr>
                <w:rFonts w:ascii="Arial" w:cs="Arial" w:eastAsia="Arial" w:hAnsi="Arial"/>
                <w:sz w:val="13"/>
                <w:szCs w:val="13"/>
                <w:color w:val="auto"/>
              </w:rPr>
              <w:t>Total mutual funds</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4,629,466</w:t>
            </w: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46,133,600</w:t>
            </w:r>
          </w:p>
        </w:tc>
      </w:tr>
      <w:tr>
        <w:trPr>
          <w:trHeight w:val="534"/>
        </w:trPr>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3480" w:type="dxa"/>
            <w:vAlign w:val="bottom"/>
            <w:gridSpan w:val="3"/>
          </w:tcPr>
          <w:p>
            <w:pPr>
              <w:ind w:left="20"/>
              <w:spacing w:after="0"/>
              <w:rPr>
                <w:sz w:val="20"/>
                <w:szCs w:val="20"/>
                <w:color w:val="auto"/>
              </w:rPr>
            </w:pPr>
            <w:r>
              <w:rPr>
                <w:rFonts w:ascii="Arial" w:cs="Arial" w:eastAsia="Arial" w:hAnsi="Arial"/>
                <w:sz w:val="13"/>
                <w:szCs w:val="13"/>
                <w:color w:val="auto"/>
              </w:rPr>
              <w:t>Vail Resorts, Inc.</w:t>
            </w:r>
          </w:p>
        </w:tc>
        <w:tc>
          <w:tcPr>
            <w:tcW w:w="5440" w:type="dxa"/>
            <w:vAlign w:val="bottom"/>
            <w:gridSpan w:val="3"/>
          </w:tcPr>
          <w:p>
            <w:pPr>
              <w:ind w:left="640"/>
              <w:spacing w:after="0"/>
              <w:rPr>
                <w:sz w:val="20"/>
                <w:szCs w:val="20"/>
                <w:color w:val="auto"/>
              </w:rPr>
            </w:pPr>
            <w:r>
              <w:rPr>
                <w:rFonts w:ascii="Arial" w:cs="Arial" w:eastAsia="Arial" w:hAnsi="Arial"/>
                <w:sz w:val="13"/>
                <w:szCs w:val="13"/>
                <w:color w:val="auto"/>
              </w:rPr>
              <w:t>Common stock</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53,488</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809,753</w:t>
            </w:r>
          </w:p>
        </w:tc>
      </w:tr>
      <w:tr>
        <w:trPr>
          <w:trHeight w:val="416"/>
        </w:trPr>
        <w:tc>
          <w:tcPr>
            <w:tcW w:w="200" w:type="dxa"/>
            <w:vAlign w:val="bottom"/>
          </w:tcPr>
          <w:p>
            <w:pPr>
              <w:spacing w:after="0"/>
              <w:rPr>
                <w:sz w:val="24"/>
                <w:szCs w:val="24"/>
                <w:color w:val="auto"/>
              </w:rPr>
            </w:pPr>
          </w:p>
        </w:tc>
        <w:tc>
          <w:tcPr>
            <w:tcW w:w="3480" w:type="dxa"/>
            <w:vAlign w:val="bottom"/>
            <w:gridSpan w:val="3"/>
          </w:tcPr>
          <w:p>
            <w:pPr>
              <w:ind w:left="20"/>
              <w:spacing w:after="0"/>
              <w:rPr>
                <w:sz w:val="20"/>
                <w:szCs w:val="20"/>
                <w:color w:val="auto"/>
              </w:rPr>
            </w:pPr>
            <w:r>
              <w:rPr>
                <w:rFonts w:ascii="Arial" w:cs="Arial" w:eastAsia="Arial" w:hAnsi="Arial"/>
                <w:sz w:val="13"/>
                <w:szCs w:val="13"/>
                <w:color w:val="auto"/>
              </w:rPr>
              <w:t>Participant Loans</w:t>
            </w:r>
          </w:p>
        </w:tc>
        <w:tc>
          <w:tcPr>
            <w:tcW w:w="5440" w:type="dxa"/>
            <w:vAlign w:val="bottom"/>
            <w:gridSpan w:val="3"/>
          </w:tcPr>
          <w:p>
            <w:pPr>
              <w:ind w:left="640"/>
              <w:spacing w:after="0"/>
              <w:rPr>
                <w:sz w:val="20"/>
                <w:szCs w:val="20"/>
                <w:color w:val="auto"/>
              </w:rPr>
            </w:pPr>
            <w:r>
              <w:rPr>
                <w:rFonts w:ascii="Arial" w:cs="Arial" w:eastAsia="Arial" w:hAnsi="Arial"/>
                <w:sz w:val="13"/>
                <w:szCs w:val="13"/>
                <w:color w:val="auto"/>
                <w:w w:val="95"/>
              </w:rPr>
              <w:t>Loans secured by participant's vested accrued benefits, interest rates range from 6% to</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44"/>
        </w:trPr>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40" w:type="dxa"/>
            <w:vAlign w:val="bottom"/>
            <w:gridSpan w:val="3"/>
          </w:tcPr>
          <w:p>
            <w:pPr>
              <w:ind w:left="640"/>
              <w:spacing w:after="0" w:line="144" w:lineRule="exact"/>
              <w:rPr>
                <w:sz w:val="20"/>
                <w:szCs w:val="20"/>
                <w:color w:val="auto"/>
              </w:rPr>
            </w:pPr>
            <w:r>
              <w:rPr>
                <w:rFonts w:ascii="Arial" w:cs="Arial" w:eastAsia="Arial" w:hAnsi="Arial"/>
                <w:sz w:val="13"/>
                <w:szCs w:val="13"/>
                <w:color w:val="auto"/>
              </w:rPr>
              <w:t>9%, terms vary from 1 to 10 years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tcPr>
          <w:p>
            <w:pPr>
              <w:jc w:val="right"/>
              <w:spacing w:after="0" w:line="144" w:lineRule="exact"/>
              <w:rPr>
                <w:sz w:val="20"/>
                <w:szCs w:val="20"/>
                <w:color w:val="auto"/>
              </w:rPr>
            </w:pPr>
            <w:r>
              <w:rPr>
                <w:rFonts w:ascii="Arial" w:cs="Arial" w:eastAsia="Arial" w:hAnsi="Arial"/>
                <w:sz w:val="13"/>
                <w:szCs w:val="13"/>
                <w:color w:val="auto"/>
              </w:rPr>
              <w:t>1,425,908</w:t>
            </w:r>
          </w:p>
        </w:tc>
        <w:tc>
          <w:tcPr>
            <w:tcW w:w="4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spacing w:after="0" w:line="144" w:lineRule="exact"/>
              <w:rPr>
                <w:sz w:val="20"/>
                <w:szCs w:val="20"/>
                <w:color w:val="auto"/>
              </w:rPr>
            </w:pPr>
            <w:r>
              <w:rPr>
                <w:rFonts w:ascii="Arial" w:cs="Arial" w:eastAsia="Arial" w:hAnsi="Arial"/>
                <w:sz w:val="13"/>
                <w:szCs w:val="13"/>
                <w:color w:val="auto"/>
              </w:rPr>
              <w:t>1,425,908</w:t>
            </w:r>
          </w:p>
        </w:tc>
      </w:tr>
    </w:tbl>
    <w:p>
      <w:pPr>
        <w:sectPr>
          <w:pgSz w:w="11900" w:h="16838" w:orient="portrait"/>
          <w:cols w:equalWidth="0" w:num="1">
            <w:col w:w="11520"/>
          </w:cols>
          <w:pgMar w:left="240" w:top="118" w:right="139" w:bottom="0" w:gutter="0" w:footer="0" w:header="0"/>
        </w:sectPr>
      </w:pPr>
    </w:p>
    <w:bookmarkStart w:id="7" w:name="page8"/>
    <w:bookmarkEnd w:id="7"/>
    <w:p>
      <w:pPr>
        <w:spacing w:after="0" w:line="1" w:lineRule="exact"/>
        <w:rPr>
          <w:sz w:val="20"/>
          <w:szCs w:val="20"/>
          <w:color w:val="auto"/>
        </w:rPr>
      </w:pPr>
    </w:p>
    <w:tbl>
      <w:tblPr>
        <w:tblLayout w:type="fixed"/>
        <w:tblInd w:w="4340" w:type="dxa"/>
        <w:tblCellMar>
          <w:top w:w="0" w:type="dxa"/>
          <w:left w:w="0" w:type="dxa"/>
          <w:bottom w:w="0" w:type="dxa"/>
          <w:right w:w="0" w:type="dxa"/>
        </w:tblCellMar>
      </w:tblPr>
      <w:tr>
        <w:trPr>
          <w:trHeight w:val="149"/>
        </w:trPr>
        <w:tc>
          <w:tcPr>
            <w:tcW w:w="6340" w:type="dxa"/>
            <w:vAlign w:val="bottom"/>
          </w:tcPr>
          <w:p>
            <w:pPr>
              <w:spacing w:after="0"/>
              <w:rPr>
                <w:sz w:val="20"/>
                <w:szCs w:val="20"/>
                <w:color w:val="auto"/>
              </w:rPr>
            </w:pPr>
            <w:r>
              <w:rPr>
                <w:rFonts w:ascii="Arial" w:cs="Arial" w:eastAsia="Arial" w:hAnsi="Arial"/>
                <w:sz w:val="13"/>
                <w:szCs w:val="13"/>
                <w:color w:val="auto"/>
              </w:rPr>
              <w:t>Total investments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   55,950,759</w:t>
            </w:r>
          </w:p>
        </w:tc>
      </w:tr>
    </w:tbl>
    <w:p>
      <w:pPr>
        <w:spacing w:after="0" w:line="376" w:lineRule="exact"/>
        <w:rPr>
          <w:sz w:val="20"/>
          <w:szCs w:val="20"/>
          <w:color w:val="auto"/>
        </w:rPr>
      </w:pPr>
    </w:p>
    <w:p>
      <w:pPr>
        <w:ind w:left="240" w:right="80" w:firstLine="7"/>
        <w:spacing w:after="0" w:line="257" w:lineRule="auto"/>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Under ERISA, an asset held for investment purposes is any asset held by the Plan on the last day of the Plan's fiscal year or acquired at any time during the Plan's fiscal year and disposed of at any time before the last day of the Plan's fiscal year, with certain exceptions.</w:t>
      </w:r>
    </w:p>
    <w:p>
      <w:pPr>
        <w:ind w:left="240"/>
        <w:spacing w:after="0"/>
        <w:rPr>
          <w:rFonts w:ascii="Arial" w:cs="Arial" w:eastAsia="Arial" w:hAnsi="Arial"/>
          <w:sz w:val="13"/>
          <w:szCs w:val="13"/>
          <w:color w:val="auto"/>
        </w:rPr>
      </w:pPr>
      <w:r>
        <w:rPr>
          <w:rFonts w:ascii="Arial" w:cs="Arial" w:eastAsia="Arial" w:hAnsi="Arial"/>
          <w:sz w:val="13"/>
          <w:szCs w:val="13"/>
          <w:color w:val="auto"/>
        </w:rPr>
        <w:t>** Sponsor of the Plan and, therefore, a party-in-interest for which a statutory exemption exists.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20" w:type="dxa"/>
            <w:vAlign w:val="bottom"/>
            <w:gridSpan w:val="2"/>
          </w:tcPr>
          <w:p>
            <w:pPr>
              <w:ind w:left="860"/>
              <w:spacing w:after="0"/>
              <w:rPr>
                <w:sz w:val="20"/>
                <w:szCs w:val="20"/>
                <w:color w:val="auto"/>
              </w:rPr>
            </w:pPr>
            <w:r>
              <w:rPr>
                <w:rFonts w:ascii="Arial" w:cs="Arial" w:eastAsia="Arial" w:hAnsi="Arial"/>
                <w:sz w:val="21"/>
                <w:szCs w:val="21"/>
                <w:b w:val="1"/>
                <w:bCs w:val="1"/>
                <w:color w:val="auto"/>
              </w:rPr>
              <w:t>Exhibits.</w:t>
            </w:r>
          </w:p>
        </w:tc>
      </w:tr>
      <w:tr>
        <w:trPr>
          <w:trHeight w:val="454"/>
        </w:trPr>
        <w:tc>
          <w:tcPr>
            <w:tcW w:w="4440" w:type="dxa"/>
            <w:vAlign w:val="bottom"/>
            <w:gridSpan w:val="3"/>
          </w:tcPr>
          <w:p>
            <w:pPr>
              <w:spacing w:after="0"/>
              <w:rPr>
                <w:sz w:val="20"/>
                <w:szCs w:val="20"/>
                <w:color w:val="auto"/>
              </w:rPr>
            </w:pPr>
            <w:r>
              <w:rPr>
                <w:rFonts w:ascii="Arial" w:cs="Arial" w:eastAsia="Arial" w:hAnsi="Arial"/>
                <w:sz w:val="21"/>
                <w:szCs w:val="21"/>
                <w:color w:val="auto"/>
              </w:rPr>
              <w:t>The following exhibits are filed herewith:</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29"/>
        </w:trPr>
        <w:tc>
          <w:tcPr>
            <w:tcW w:w="1920" w:type="dxa"/>
            <w:vAlign w:val="bottom"/>
          </w:tcPr>
          <w:p>
            <w:pPr>
              <w:spacing w:after="0"/>
              <w:rPr>
                <w:sz w:val="24"/>
                <w:szCs w:val="24"/>
                <w:color w:val="auto"/>
              </w:rPr>
            </w:pPr>
          </w:p>
        </w:tc>
        <w:tc>
          <w:tcPr>
            <w:tcW w:w="2520" w:type="dxa"/>
            <w:vAlign w:val="bottom"/>
            <w:gridSpan w:val="2"/>
          </w:tcPr>
          <w:p>
            <w:pPr>
              <w:jc w:val="center"/>
              <w:ind w:right="1760"/>
              <w:spacing w:after="0"/>
              <w:rPr>
                <w:sz w:val="20"/>
                <w:szCs w:val="20"/>
                <w:color w:val="auto"/>
              </w:rPr>
            </w:pPr>
            <w:r>
              <w:rPr>
                <w:rFonts w:ascii="Arial" w:cs="Arial" w:eastAsia="Arial" w:hAnsi="Arial"/>
                <w:sz w:val="21"/>
                <w:szCs w:val="21"/>
                <w:b w:val="1"/>
                <w:bCs w:val="1"/>
                <w:color w:val="auto"/>
                <w:w w:val="97"/>
              </w:rPr>
              <w:t>Exhibit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8"/>
        </w:trPr>
        <w:tc>
          <w:tcPr>
            <w:tcW w:w="1920" w:type="dxa"/>
            <w:vAlign w:val="bottom"/>
          </w:tcPr>
          <w:p>
            <w:pPr>
              <w:spacing w:after="0"/>
              <w:rPr>
                <w:sz w:val="19"/>
                <w:szCs w:val="19"/>
                <w:color w:val="auto"/>
              </w:rPr>
            </w:pPr>
          </w:p>
        </w:tc>
        <w:tc>
          <w:tcPr>
            <w:tcW w:w="2520" w:type="dxa"/>
            <w:vAlign w:val="bottom"/>
            <w:gridSpan w:val="2"/>
          </w:tcPr>
          <w:p>
            <w:pPr>
              <w:jc w:val="center"/>
              <w:ind w:right="1760"/>
              <w:spacing w:after="0" w:line="228" w:lineRule="exact"/>
              <w:rPr>
                <w:sz w:val="20"/>
                <w:szCs w:val="20"/>
                <w:color w:val="auto"/>
              </w:rPr>
            </w:pPr>
            <w:r>
              <w:rPr>
                <w:rFonts w:ascii="Arial" w:cs="Arial" w:eastAsia="Arial" w:hAnsi="Arial"/>
                <w:sz w:val="21"/>
                <w:szCs w:val="21"/>
                <w:b w:val="1"/>
                <w:bCs w:val="1"/>
                <w:color w:val="auto"/>
                <w:w w:val="95"/>
              </w:rPr>
              <w:t>Number</w:t>
            </w:r>
          </w:p>
        </w:tc>
        <w:tc>
          <w:tcPr>
            <w:tcW w:w="2220" w:type="dxa"/>
            <w:vAlign w:val="bottom"/>
            <w:gridSpan w:val="2"/>
          </w:tcPr>
          <w:p>
            <w:pPr>
              <w:ind w:left="1180"/>
              <w:spacing w:after="0" w:line="228" w:lineRule="exact"/>
              <w:rPr>
                <w:sz w:val="20"/>
                <w:szCs w:val="20"/>
                <w:color w:val="auto"/>
              </w:rPr>
            </w:pPr>
            <w:r>
              <w:rPr>
                <w:rFonts w:ascii="Arial" w:cs="Arial" w:eastAsia="Arial" w:hAnsi="Arial"/>
                <w:sz w:val="21"/>
                <w:szCs w:val="21"/>
                <w:b w:val="1"/>
                <w:bCs w:val="1"/>
                <w:color w:val="auto"/>
                <w:w w:val="88"/>
              </w:rPr>
              <w:t>Description</w:t>
            </w:r>
          </w:p>
        </w:tc>
      </w:tr>
      <w:tr>
        <w:trPr>
          <w:trHeight w:val="20"/>
        </w:trPr>
        <w:tc>
          <w:tcPr>
            <w:tcW w:w="1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32" w:lineRule="exact"/>
        <w:rPr>
          <w:sz w:val="20"/>
          <w:szCs w:val="20"/>
          <w:color w:val="auto"/>
        </w:rPr>
      </w:pPr>
    </w:p>
    <w:p>
      <w:pPr>
        <w:ind w:left="2740" w:right="2340" w:hanging="544"/>
        <w:spacing w:after="0" w:line="254" w:lineRule="auto"/>
        <w:tabs>
          <w:tab w:leader="none" w:pos="27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Consent of Independent Accountants for report dated July 11, 2003 for Vail Resorts 401(k) Retirement Plan.</w:t>
      </w:r>
    </w:p>
    <w:p>
      <w:pPr>
        <w:spacing w:after="0" w:line="1" w:lineRule="exact"/>
        <w:rPr>
          <w:sz w:val="20"/>
          <w:szCs w:val="20"/>
          <w:color w:val="auto"/>
        </w:rPr>
      </w:pPr>
    </w:p>
    <w:p>
      <w:pPr>
        <w:ind w:left="2200"/>
        <w:spacing w:after="0"/>
        <w:tabs>
          <w:tab w:leader="none" w:pos="2720" w:val="left"/>
        </w:tabs>
        <w:rPr>
          <w:sz w:val="20"/>
          <w:szCs w:val="20"/>
          <w:color w:val="auto"/>
        </w:rPr>
      </w:pPr>
      <w:r>
        <w:rPr>
          <w:rFonts w:ascii="Arial" w:cs="Arial" w:eastAsia="Arial" w:hAnsi="Arial"/>
          <w:sz w:val="21"/>
          <w:szCs w:val="21"/>
          <w:color w:val="auto"/>
        </w:rPr>
        <w:t>99</w:t>
      </w:r>
      <w:r>
        <w:rPr>
          <w:sz w:val="20"/>
          <w:szCs w:val="20"/>
          <w:color w:val="auto"/>
        </w:rPr>
        <w:tab/>
      </w:r>
      <w:r>
        <w:rPr>
          <w:rFonts w:ascii="Arial" w:cs="Arial" w:eastAsia="Arial" w:hAnsi="Arial"/>
          <w:sz w:val="21"/>
          <w:szCs w:val="21"/>
          <w:color w:val="auto"/>
        </w:rPr>
        <w:t>Certification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SIGNATURES</w:t>
      </w:r>
    </w:p>
    <w:p>
      <w:pPr>
        <w:spacing w:after="0" w:line="218" w:lineRule="exact"/>
        <w:rPr>
          <w:sz w:val="20"/>
          <w:szCs w:val="20"/>
          <w:color w:val="auto"/>
        </w:rPr>
      </w:pPr>
    </w:p>
    <w:p>
      <w:pPr>
        <w:ind w:right="360"/>
        <w:spacing w:after="0" w:line="323" w:lineRule="auto"/>
        <w:rPr>
          <w:sz w:val="20"/>
          <w:szCs w:val="20"/>
          <w:color w:val="auto"/>
        </w:rPr>
      </w:pPr>
      <w:r>
        <w:rPr>
          <w:rFonts w:ascii="Arial" w:cs="Arial" w:eastAsia="Arial" w:hAnsi="Arial"/>
          <w:sz w:val="19"/>
          <w:szCs w:val="19"/>
          <w:i w:val="1"/>
          <w:iCs w:val="1"/>
          <w:color w:val="auto"/>
        </w:rPr>
        <w:t xml:space="preserve">The Plan. </w:t>
      </w:r>
      <w:r>
        <w:rPr>
          <w:rFonts w:ascii="Arial" w:cs="Arial" w:eastAsia="Arial" w:hAnsi="Arial"/>
          <w:sz w:val="19"/>
          <w:szCs w:val="19"/>
          <w:color w:val="auto"/>
        </w:rPr>
        <w:t>Pursuant to the requirements of the Securities Exchange Act of 1934, the trustees (or other persons who administer the</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 benefit plan) have duly caused this annual report to be signed on its behalf by the undersigned hereunto duly authorized.</w:t>
      </w:r>
    </w:p>
    <w:p>
      <w:pPr>
        <w:spacing w:after="0" w:line="119"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Vail Resorts 401(k) Retirement Plan</w:t>
      </w:r>
    </w:p>
    <w:p>
      <w:pPr>
        <w:spacing w:after="0" w:line="293" w:lineRule="exact"/>
        <w:rPr>
          <w:sz w:val="20"/>
          <w:szCs w:val="20"/>
          <w:color w:val="auto"/>
        </w:rPr>
      </w:pPr>
    </w:p>
    <w:p>
      <w:pPr>
        <w:ind w:left="1560"/>
        <w:spacing w:after="0"/>
        <w:tabs>
          <w:tab w:leader="none" w:pos="5380" w:val="left"/>
        </w:tabs>
        <w:rPr>
          <w:sz w:val="20"/>
          <w:szCs w:val="20"/>
          <w:color w:val="auto"/>
        </w:rPr>
      </w:pPr>
      <w:r>
        <w:rPr>
          <w:rFonts w:ascii="Arial" w:cs="Arial" w:eastAsia="Arial" w:hAnsi="Arial"/>
          <w:sz w:val="21"/>
          <w:szCs w:val="21"/>
          <w:color w:val="auto"/>
        </w:rPr>
        <w:t>July 15, 2003</w:t>
      </w:r>
      <w:r>
        <w:rPr>
          <w:sz w:val="20"/>
          <w:szCs w:val="20"/>
          <w:color w:val="auto"/>
        </w:rPr>
        <w:tab/>
      </w:r>
      <w:r>
        <w:rPr>
          <w:rFonts w:ascii="Arial" w:cs="Arial" w:eastAsia="Arial" w:hAnsi="Arial"/>
          <w:sz w:val="18"/>
          <w:szCs w:val="18"/>
          <w:i w:val="1"/>
          <w:iCs w:val="1"/>
          <w:color w:val="auto"/>
        </w:rPr>
        <w:t>/s/ James P.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-12065</wp:posOffset>
            </wp:positionV>
            <wp:extent cx="1775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5460" cy="8255"/>
                    </a:xfrm>
                    <a:prstGeom prst="rect">
                      <a:avLst/>
                    </a:prstGeom>
                    <a:noFill/>
                  </pic:spPr>
                </pic:pic>
              </a:graphicData>
            </a:graphic>
          </wp:anchor>
        </w:drawing>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James P. Donohue</w:t>
      </w:r>
    </w:p>
    <w:p>
      <w:pPr>
        <w:spacing w:after="0" w:line="26"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Plan Administrator</w:t>
      </w:r>
    </w:p>
    <w:p>
      <w:pPr>
        <w:sectPr>
          <w:pgSz w:w="11900" w:h="16838" w:orient="portrait"/>
          <w:cols w:equalWidth="0" w:num="1">
            <w:col w:w="11520"/>
          </w:cols>
          <w:pgMar w:left="240" w:top="390" w:right="139" w:bottom="1440" w:gutter="0" w:footer="0" w:header="0"/>
        </w:sectPr>
      </w:pPr>
    </w:p>
    <w:bookmarkStart w:id="8" w:name="page9"/>
    <w:bookmarkEnd w:id="8"/>
    <w:p>
      <w:pPr>
        <w:jc w:val="right"/>
        <w:spacing w:after="0"/>
        <w:rPr>
          <w:sz w:val="20"/>
          <w:szCs w:val="20"/>
          <w:color w:val="auto"/>
        </w:rPr>
      </w:pPr>
      <w:r>
        <w:rPr>
          <w:rFonts w:ascii="Arial" w:cs="Arial" w:eastAsia="Arial" w:hAnsi="Arial"/>
          <w:sz w:val="17"/>
          <w:szCs w:val="17"/>
          <w:b w:val="1"/>
          <w:bCs w:val="1"/>
          <w:color w:val="auto"/>
        </w:rPr>
        <w:t>Exhibit 23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CONSENT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0"/>
        <w:spacing w:after="0" w:line="254" w:lineRule="auto"/>
        <w:rPr>
          <w:sz w:val="20"/>
          <w:szCs w:val="20"/>
          <w:color w:val="auto"/>
        </w:rPr>
      </w:pPr>
      <w:r>
        <w:rPr>
          <w:rFonts w:ascii="Arial" w:cs="Arial" w:eastAsia="Arial" w:hAnsi="Arial"/>
          <w:sz w:val="21"/>
          <w:szCs w:val="21"/>
          <w:color w:val="auto"/>
        </w:rPr>
        <w:t>We hereby consent to the incorporation by reference in the Registration Statement on Form S-8 (No. 333-20523) of Vail Resorts, Inc. of our report dated July 11, 2003 relating to the financial statements of Vail Resorts 401(k) Retirement Plan, which appears in this Form 11-K.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-7620</wp:posOffset>
            </wp:positionV>
            <wp:extent cx="18872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722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Denver, Colorado</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July 11, 2003</w:t>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7"/>
          <w:szCs w:val="17"/>
          <w:b w:val="1"/>
          <w:bCs w:val="1"/>
          <w:color w:val="auto"/>
        </w:rPr>
        <w:t>Exhibit 99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THE CHIEF FINANCIAL OFFICER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38"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Pursuant to Section 906 of the Sarbanes-Oxley Act of 2002, each of the undersigned officers of the Vail Resorts 401(k) Retirement Plan (the "Plan") hereby certifies that to the extent of his respective knowledge, that the Annual Report of the the Plan on Form 11-K for the year ended December 31, 2002 (the "Report") fully complies with the requirements of Section 13(a) or 15(d) of the Securities Exchange Act of 1934 and that the information contained in such Report fairly presents, in all material respects, the financial condition of the Plan at the end of and for the periods covered by such Report.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July 15, 2003</w:t>
      </w:r>
    </w:p>
    <w:p>
      <w:pPr>
        <w:spacing w:after="0" w:line="245" w:lineRule="exact"/>
        <w:rPr>
          <w:sz w:val="20"/>
          <w:szCs w:val="20"/>
          <w:color w:val="auto"/>
        </w:rPr>
      </w:pPr>
    </w:p>
    <w:p>
      <w:pPr>
        <w:jc w:val="center"/>
        <w:ind w:left="8220"/>
        <w:spacing w:after="0"/>
        <w:rPr>
          <w:sz w:val="20"/>
          <w:szCs w:val="20"/>
          <w:color w:val="auto"/>
        </w:rPr>
      </w:pPr>
      <w:r>
        <w:rPr>
          <w:rFonts w:ascii="Arial" w:cs="Arial" w:eastAsia="Arial" w:hAnsi="Arial"/>
          <w:sz w:val="17"/>
          <w:szCs w:val="17"/>
          <w:i w:val="1"/>
          <w:iCs w:val="1"/>
          <w:color w:val="auto"/>
        </w:rPr>
        <w:t>/S/ FREDERICK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-7620</wp:posOffset>
            </wp:positionV>
            <wp:extent cx="1646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6555" cy="8255"/>
                    </a:xfrm>
                    <a:prstGeom prst="rect">
                      <a:avLst/>
                    </a:prstGeom>
                    <a:noFill/>
                  </pic:spPr>
                </pic:pic>
              </a:graphicData>
            </a:graphic>
          </wp:anchor>
        </w:drawing>
      </w:r>
    </w:p>
    <w:p>
      <w:pPr>
        <w:spacing w:after="0" w:line="12" w:lineRule="exact"/>
        <w:rPr>
          <w:sz w:val="20"/>
          <w:szCs w:val="20"/>
          <w:color w:val="auto"/>
        </w:rPr>
      </w:pPr>
    </w:p>
    <w:p>
      <w:pPr>
        <w:ind w:left="9020"/>
        <w:spacing w:after="0"/>
        <w:rPr>
          <w:sz w:val="20"/>
          <w:szCs w:val="20"/>
          <w:color w:val="auto"/>
        </w:rPr>
      </w:pPr>
      <w:r>
        <w:rPr>
          <w:rFonts w:ascii="Arial" w:cs="Arial" w:eastAsia="Arial" w:hAnsi="Arial"/>
          <w:sz w:val="21"/>
          <w:szCs w:val="21"/>
          <w:color w:val="auto"/>
        </w:rPr>
        <w:t>Frederick S. Smith</w:t>
      </w:r>
    </w:p>
    <w:p>
      <w:pPr>
        <w:spacing w:after="0" w:line="39" w:lineRule="exact"/>
        <w:rPr>
          <w:sz w:val="20"/>
          <w:szCs w:val="20"/>
          <w:color w:val="auto"/>
        </w:rPr>
      </w:pPr>
    </w:p>
    <w:p>
      <w:pPr>
        <w:ind w:left="9000"/>
        <w:spacing w:after="0"/>
        <w:rPr>
          <w:sz w:val="20"/>
          <w:szCs w:val="20"/>
          <w:color w:val="auto"/>
        </w:rPr>
      </w:pPr>
      <w:r>
        <w:rPr>
          <w:rFonts w:ascii="Arial" w:cs="Arial" w:eastAsia="Arial" w:hAnsi="Arial"/>
          <w:sz w:val="17"/>
          <w:szCs w:val="17"/>
          <w:color w:val="auto"/>
        </w:rPr>
        <w:t>Plan Administrator and</w:t>
      </w:r>
    </w:p>
    <w:p>
      <w:pPr>
        <w:spacing w:after="0" w:line="45" w:lineRule="exact"/>
        <w:rPr>
          <w:sz w:val="20"/>
          <w:szCs w:val="20"/>
          <w:color w:val="auto"/>
        </w:rPr>
      </w:pPr>
    </w:p>
    <w:p>
      <w:pPr>
        <w:ind w:left="9000"/>
        <w:spacing w:after="0"/>
        <w:rPr>
          <w:sz w:val="20"/>
          <w:szCs w:val="20"/>
          <w:color w:val="auto"/>
        </w:rPr>
      </w:pPr>
      <w:r>
        <w:rPr>
          <w:rFonts w:ascii="Arial" w:cs="Arial" w:eastAsia="Arial" w:hAnsi="Arial"/>
          <w:sz w:val="17"/>
          <w:szCs w:val="17"/>
          <w:color w:val="auto"/>
        </w:rPr>
        <w:t>functional equivalent of</w:t>
      </w:r>
    </w:p>
    <w:p>
      <w:pPr>
        <w:spacing w:after="0" w:line="45" w:lineRule="exact"/>
        <w:rPr>
          <w:sz w:val="20"/>
          <w:szCs w:val="20"/>
          <w:color w:val="auto"/>
        </w:rPr>
      </w:pPr>
    </w:p>
    <w:p>
      <w:pPr>
        <w:ind w:left="8980"/>
        <w:spacing w:after="0"/>
        <w:rPr>
          <w:sz w:val="20"/>
          <w:szCs w:val="20"/>
          <w:color w:val="auto"/>
        </w:rPr>
      </w:pPr>
      <w:r>
        <w:rPr>
          <w:rFonts w:ascii="Arial" w:cs="Arial" w:eastAsia="Arial" w:hAnsi="Arial"/>
          <w:sz w:val="17"/>
          <w:szCs w:val="17"/>
          <w:color w:val="auto"/>
        </w:rPr>
        <w:t>Chief Executive Officer</w:t>
      </w:r>
    </w:p>
    <w:p>
      <w:pPr>
        <w:spacing w:after="0" w:line="45" w:lineRule="exact"/>
        <w:rPr>
          <w:sz w:val="20"/>
          <w:szCs w:val="20"/>
          <w:color w:val="auto"/>
        </w:rPr>
      </w:pPr>
    </w:p>
    <w:p>
      <w:pPr>
        <w:ind w:left="8560"/>
        <w:spacing w:after="0"/>
        <w:rPr>
          <w:sz w:val="20"/>
          <w:szCs w:val="20"/>
          <w:color w:val="auto"/>
        </w:rPr>
      </w:pPr>
      <w:r>
        <w:rPr>
          <w:rFonts w:ascii="Arial" w:cs="Arial" w:eastAsia="Arial" w:hAnsi="Arial"/>
          <w:sz w:val="17"/>
          <w:szCs w:val="17"/>
          <w:color w:val="auto"/>
        </w:rPr>
        <w:t>Vail Resorts 401(k) Retirement Plan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July 15, 2003</w:t>
      </w:r>
    </w:p>
    <w:p>
      <w:pPr>
        <w:spacing w:after="0" w:line="245" w:lineRule="exact"/>
        <w:rPr>
          <w:sz w:val="20"/>
          <w:szCs w:val="20"/>
          <w:color w:val="auto"/>
        </w:rPr>
      </w:pPr>
    </w:p>
    <w:p>
      <w:pPr>
        <w:jc w:val="center"/>
        <w:ind w:left="8220"/>
        <w:spacing w:after="0"/>
        <w:rPr>
          <w:sz w:val="20"/>
          <w:szCs w:val="20"/>
          <w:color w:val="auto"/>
        </w:rPr>
      </w:pPr>
      <w:r>
        <w:rPr>
          <w:rFonts w:ascii="Arial" w:cs="Arial" w:eastAsia="Arial" w:hAnsi="Arial"/>
          <w:sz w:val="17"/>
          <w:szCs w:val="17"/>
          <w:i w:val="1"/>
          <w:iCs w:val="1"/>
          <w:color w:val="auto"/>
        </w:rPr>
        <w:t>/s/ JAMES P.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-7620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2" w:lineRule="exact"/>
        <w:rPr>
          <w:sz w:val="20"/>
          <w:szCs w:val="20"/>
          <w:color w:val="auto"/>
        </w:rPr>
      </w:pPr>
    </w:p>
    <w:p>
      <w:pPr>
        <w:ind w:left="9040"/>
        <w:spacing w:after="0"/>
        <w:rPr>
          <w:sz w:val="20"/>
          <w:szCs w:val="20"/>
          <w:color w:val="auto"/>
        </w:rPr>
      </w:pPr>
      <w:r>
        <w:rPr>
          <w:rFonts w:ascii="Arial" w:cs="Arial" w:eastAsia="Arial" w:hAnsi="Arial"/>
          <w:sz w:val="21"/>
          <w:szCs w:val="21"/>
          <w:color w:val="auto"/>
        </w:rPr>
        <w:t>James P. Donohue</w:t>
      </w:r>
    </w:p>
    <w:p>
      <w:pPr>
        <w:spacing w:after="0" w:line="39" w:lineRule="exact"/>
        <w:rPr>
          <w:sz w:val="20"/>
          <w:szCs w:val="20"/>
          <w:color w:val="auto"/>
        </w:rPr>
      </w:pPr>
    </w:p>
    <w:p>
      <w:pPr>
        <w:ind w:left="9000"/>
        <w:spacing w:after="0"/>
        <w:rPr>
          <w:sz w:val="20"/>
          <w:szCs w:val="20"/>
          <w:color w:val="auto"/>
        </w:rPr>
      </w:pPr>
      <w:r>
        <w:rPr>
          <w:rFonts w:ascii="Arial" w:cs="Arial" w:eastAsia="Arial" w:hAnsi="Arial"/>
          <w:sz w:val="17"/>
          <w:szCs w:val="17"/>
          <w:color w:val="auto"/>
        </w:rPr>
        <w:t>Plan Administrator and</w:t>
      </w:r>
    </w:p>
    <w:p>
      <w:pPr>
        <w:spacing w:after="0" w:line="45" w:lineRule="exact"/>
        <w:rPr>
          <w:sz w:val="20"/>
          <w:szCs w:val="20"/>
          <w:color w:val="auto"/>
        </w:rPr>
      </w:pPr>
    </w:p>
    <w:p>
      <w:pPr>
        <w:ind w:left="9000"/>
        <w:spacing w:after="0"/>
        <w:rPr>
          <w:sz w:val="20"/>
          <w:szCs w:val="20"/>
          <w:color w:val="auto"/>
        </w:rPr>
      </w:pPr>
      <w:r>
        <w:rPr>
          <w:rFonts w:ascii="Arial" w:cs="Arial" w:eastAsia="Arial" w:hAnsi="Arial"/>
          <w:sz w:val="17"/>
          <w:szCs w:val="17"/>
          <w:color w:val="auto"/>
        </w:rPr>
        <w:t>functional equivalent of</w:t>
      </w:r>
    </w:p>
    <w:p>
      <w:pPr>
        <w:spacing w:after="0" w:line="45" w:lineRule="exact"/>
        <w:rPr>
          <w:sz w:val="20"/>
          <w:szCs w:val="20"/>
          <w:color w:val="auto"/>
        </w:rPr>
      </w:pPr>
    </w:p>
    <w:p>
      <w:pPr>
        <w:ind w:left="9020"/>
        <w:spacing w:after="0"/>
        <w:rPr>
          <w:sz w:val="20"/>
          <w:szCs w:val="20"/>
          <w:color w:val="auto"/>
        </w:rPr>
      </w:pPr>
      <w:r>
        <w:rPr>
          <w:rFonts w:ascii="Arial" w:cs="Arial" w:eastAsia="Arial" w:hAnsi="Arial"/>
          <w:sz w:val="17"/>
          <w:szCs w:val="17"/>
          <w:color w:val="auto"/>
        </w:rPr>
        <w:t>Chief Financial Officer</w:t>
      </w:r>
    </w:p>
    <w:p>
      <w:pPr>
        <w:spacing w:after="0" w:line="45" w:lineRule="exact"/>
        <w:rPr>
          <w:sz w:val="20"/>
          <w:szCs w:val="20"/>
          <w:color w:val="auto"/>
        </w:rPr>
      </w:pPr>
    </w:p>
    <w:p>
      <w:pPr>
        <w:ind w:left="8560"/>
        <w:spacing w:after="0"/>
        <w:rPr>
          <w:sz w:val="20"/>
          <w:szCs w:val="20"/>
          <w:color w:val="auto"/>
        </w:rPr>
      </w:pPr>
      <w:r>
        <w:rPr>
          <w:rFonts w:ascii="Arial" w:cs="Arial" w:eastAsia="Arial" w:hAnsi="Arial"/>
          <w:sz w:val="17"/>
          <w:szCs w:val="17"/>
          <w:color w:val="auto"/>
        </w:rPr>
        <w:t>Vail Resorts 401(k) Retirement Plan</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3"/>
    </w:lvl>
  </w:abstractNum>
  <w:abstractNum w:abstractNumId="4">
    <w:nsid w:val="79E2A9E3"/>
    <w:multiLevelType w:val="hybridMultilevel"/>
    <w:lvl w:ilvl="0">
      <w:lvlJc w:val="left"/>
      <w:lvlText w:val="%1."/>
      <w:numFmt w:val="decimal"/>
      <w:start w:val="4"/>
    </w:lvl>
  </w:abstractNum>
  <w:abstractNum w:abstractNumId="5">
    <w:nsid w:val="7545E146"/>
    <w:multiLevelType w:val="hybridMultilevel"/>
    <w:lvl w:ilvl="0">
      <w:lvlJc w:val="left"/>
      <w:lvlText w:val="%1."/>
      <w:numFmt w:val="decimal"/>
      <w:start w:val="5"/>
    </w:lvl>
  </w:abstractNum>
  <w:abstractNum w:abstractNumId="6">
    <w:nsid w:val="515F007C"/>
    <w:multiLevelType w:val="hybridMultilevel"/>
    <w:lvl w:ilvl="0">
      <w:lvlJc w:val="left"/>
      <w:lvlText w:val="%1."/>
      <w:numFmt w:val="decimal"/>
      <w:start w:val="6"/>
    </w:lvl>
  </w:abstractNum>
  <w:abstractNum w:abstractNumId="7">
    <w:nsid w:val="5BD062C2"/>
    <w:multiLevelType w:val="hybridMultilevel"/>
    <w:lvl w:ilvl="0">
      <w:lvlJc w:val="left"/>
      <w:lvlText w:val="%1."/>
      <w:numFmt w:val="decimal"/>
      <w:start w:val="7"/>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2019-12-19T22:08:46Z</dcterms:created>
  <dcterms:modified xsi:type="dcterms:W3CDTF">2019-12-19T22:08:46Z</dcterms:modified>
</cp:coreProperties>
</file>