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June 24, 2005</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Vail Resorts, Inc.</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56" w:lineRule="exact"/>
        <w:rPr>
          <w:sz w:val="24"/>
          <w:szCs w:val="24"/>
          <w:color w:val="auto"/>
        </w:rPr>
      </w:pPr>
    </w:p>
    <w:tbl>
      <w:tblPr>
        <w:tblLayout w:type="fixed"/>
        <w:tblInd w:w="292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2"/>
          </w:tcPr>
          <w:p>
            <w:pPr>
              <w:jc w:val="center"/>
              <w:ind w:right="1120"/>
              <w:spacing w:after="0"/>
              <w:rPr>
                <w:sz w:val="20"/>
                <w:szCs w:val="20"/>
                <w:color w:val="auto"/>
              </w:rPr>
            </w:pPr>
            <w:r>
              <w:rPr>
                <w:rFonts w:ascii="Arial" w:cs="Arial" w:eastAsia="Arial" w:hAnsi="Arial"/>
                <w:sz w:val="18"/>
                <w:szCs w:val="18"/>
                <w:color w:val="auto"/>
                <w:w w:val="86"/>
              </w:rPr>
              <w:t>Delaware</w:t>
            </w:r>
          </w:p>
        </w:tc>
        <w:tc>
          <w:tcPr>
            <w:tcW w:w="1760" w:type="dxa"/>
            <w:vAlign w:val="bottom"/>
            <w:gridSpan w:val="4"/>
          </w:tcPr>
          <w:p>
            <w:pPr>
              <w:jc w:val="center"/>
              <w:ind w:left="172"/>
              <w:spacing w:after="0"/>
              <w:rPr>
                <w:sz w:val="20"/>
                <w:szCs w:val="20"/>
                <w:color w:val="auto"/>
              </w:rPr>
            </w:pPr>
            <w:r>
              <w:rPr>
                <w:rFonts w:ascii="Arial" w:cs="Arial" w:eastAsia="Arial" w:hAnsi="Arial"/>
                <w:sz w:val="18"/>
                <w:szCs w:val="18"/>
                <w:color w:val="auto"/>
                <w:w w:val="89"/>
              </w:rPr>
              <w:t>1-9614</w:t>
            </w:r>
          </w:p>
        </w:tc>
        <w:tc>
          <w:tcPr>
            <w:tcW w:w="1500" w:type="dxa"/>
            <w:vAlign w:val="bottom"/>
            <w:gridSpan w:val="6"/>
          </w:tcPr>
          <w:p>
            <w:pPr>
              <w:jc w:val="center"/>
              <w:ind w:left="272"/>
              <w:spacing w:after="0"/>
              <w:rPr>
                <w:sz w:val="20"/>
                <w:szCs w:val="20"/>
                <w:color w:val="auto"/>
              </w:rPr>
            </w:pPr>
            <w:r>
              <w:rPr>
                <w:rFonts w:ascii="Arial" w:cs="Arial" w:eastAsia="Arial" w:hAnsi="Arial"/>
                <w:sz w:val="18"/>
                <w:szCs w:val="18"/>
                <w:color w:val="auto"/>
                <w:w w:val="89"/>
              </w:rPr>
              <w:t>51-0291762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500" w:type="dxa"/>
            <w:vAlign w:val="bottom"/>
            <w:gridSpan w:val="4"/>
          </w:tcPr>
          <w:p>
            <w:pPr>
              <w:jc w:val="center"/>
              <w:ind w:right="400"/>
              <w:spacing w:after="0"/>
              <w:rPr>
                <w:sz w:val="20"/>
                <w:szCs w:val="20"/>
                <w:color w:val="auto"/>
              </w:rPr>
            </w:pPr>
            <w:r>
              <w:rPr>
                <w:rFonts w:ascii="Arial" w:cs="Arial" w:eastAsia="Arial" w:hAnsi="Arial"/>
                <w:sz w:val="18"/>
                <w:szCs w:val="18"/>
                <w:color w:val="auto"/>
                <w:w w:val="90"/>
              </w:rPr>
              <w:t>(State or other jurisdiction</w:t>
            </w:r>
          </w:p>
        </w:tc>
        <w:tc>
          <w:tcPr>
            <w:tcW w:w="1760" w:type="dxa"/>
            <w:vAlign w:val="bottom"/>
            <w:gridSpan w:val="4"/>
          </w:tcPr>
          <w:p>
            <w:pPr>
              <w:jc w:val="center"/>
              <w:ind w:left="172"/>
              <w:spacing w:after="0"/>
              <w:rPr>
                <w:sz w:val="20"/>
                <w:szCs w:val="20"/>
                <w:color w:val="auto"/>
              </w:rPr>
            </w:pPr>
            <w:r>
              <w:rPr>
                <w:rFonts w:ascii="Arial" w:cs="Arial" w:eastAsia="Arial" w:hAnsi="Arial"/>
                <w:sz w:val="18"/>
                <w:szCs w:val="18"/>
                <w:color w:val="auto"/>
                <w:w w:val="89"/>
              </w:rPr>
              <w:t>(Commission</w:t>
            </w:r>
          </w:p>
        </w:tc>
        <w:tc>
          <w:tcPr>
            <w:tcW w:w="1580" w:type="dxa"/>
            <w:vAlign w:val="bottom"/>
            <w:gridSpan w:val="7"/>
          </w:tcPr>
          <w:p>
            <w:pPr>
              <w:jc w:val="center"/>
              <w:ind w:left="192"/>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2500" w:type="dxa"/>
            <w:vAlign w:val="bottom"/>
            <w:gridSpan w:val="4"/>
          </w:tcPr>
          <w:p>
            <w:pPr>
              <w:jc w:val="center"/>
              <w:ind w:right="400"/>
              <w:spacing w:after="0"/>
              <w:rPr>
                <w:sz w:val="20"/>
                <w:szCs w:val="20"/>
                <w:color w:val="auto"/>
              </w:rPr>
            </w:pPr>
            <w:r>
              <w:rPr>
                <w:rFonts w:ascii="Arial" w:cs="Arial" w:eastAsia="Arial" w:hAnsi="Arial"/>
                <w:sz w:val="18"/>
                <w:szCs w:val="18"/>
                <w:color w:val="auto"/>
                <w:w w:val="90"/>
              </w:rPr>
              <w:t>of incorporation)</w:t>
            </w:r>
          </w:p>
        </w:tc>
        <w:tc>
          <w:tcPr>
            <w:tcW w:w="1760" w:type="dxa"/>
            <w:vAlign w:val="bottom"/>
            <w:gridSpan w:val="4"/>
          </w:tcPr>
          <w:p>
            <w:pPr>
              <w:jc w:val="center"/>
              <w:ind w:left="172"/>
              <w:spacing w:after="0"/>
              <w:rPr>
                <w:sz w:val="20"/>
                <w:szCs w:val="20"/>
                <w:color w:val="auto"/>
              </w:rPr>
            </w:pPr>
            <w:r>
              <w:rPr>
                <w:rFonts w:ascii="Arial" w:cs="Arial" w:eastAsia="Arial" w:hAnsi="Arial"/>
                <w:sz w:val="18"/>
                <w:szCs w:val="18"/>
                <w:color w:val="auto"/>
                <w:w w:val="90"/>
              </w:rPr>
              <w:t>File Number)</w:t>
            </w:r>
          </w:p>
        </w:tc>
        <w:tc>
          <w:tcPr>
            <w:tcW w:w="1580" w:type="dxa"/>
            <w:vAlign w:val="bottom"/>
            <w:gridSpan w:val="7"/>
            <w:vMerge w:val="restart"/>
          </w:tcPr>
          <w:p>
            <w:pPr>
              <w:jc w:val="center"/>
              <w:ind w:left="192"/>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460" w:type="dxa"/>
            <w:vAlign w:val="bottom"/>
          </w:tcPr>
          <w:p>
            <w:pPr>
              <w:spacing w:after="0"/>
              <w:rPr>
                <w:sz w:val="24"/>
                <w:szCs w:val="24"/>
                <w:color w:val="auto"/>
              </w:rPr>
            </w:pPr>
          </w:p>
        </w:tc>
        <w:tc>
          <w:tcPr>
            <w:tcW w:w="2700" w:type="dxa"/>
            <w:vAlign w:val="bottom"/>
            <w:gridSpan w:val="4"/>
          </w:tcPr>
          <w:p>
            <w:pPr>
              <w:jc w:val="center"/>
              <w:spacing w:after="0"/>
              <w:rPr>
                <w:sz w:val="20"/>
                <w:szCs w:val="20"/>
                <w:color w:val="auto"/>
              </w:rPr>
            </w:pPr>
            <w:r>
              <w:rPr>
                <w:rFonts w:ascii="Arial" w:cs="Arial" w:eastAsia="Arial" w:hAnsi="Arial"/>
                <w:sz w:val="18"/>
                <w:szCs w:val="18"/>
                <w:color w:val="auto"/>
                <w:w w:val="89"/>
              </w:rPr>
              <w:t>137 Benchmark Road Avon, Colorado</w:t>
            </w:r>
          </w:p>
        </w:tc>
        <w:tc>
          <w:tcPr>
            <w:tcW w:w="1100" w:type="dxa"/>
            <w:vAlign w:val="bottom"/>
            <w:gridSpan w:val="3"/>
          </w:tcPr>
          <w:p>
            <w:pPr>
              <w:spacing w:after="0"/>
              <w:rPr>
                <w:sz w:val="24"/>
                <w:szCs w:val="24"/>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81620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700" w:type="dxa"/>
            <w:vAlign w:val="bottom"/>
            <w:gridSpan w:val="4"/>
            <w:shd w:val="clear" w:color="auto" w:fill="000000"/>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260" w:type="dxa"/>
            <w:vAlign w:val="bottom"/>
            <w:gridSpan w:val="8"/>
          </w:tcPr>
          <w:p>
            <w:pPr>
              <w:jc w:val="center"/>
              <w:ind w:right="640"/>
              <w:spacing w:after="0"/>
              <w:rPr>
                <w:sz w:val="20"/>
                <w:szCs w:val="20"/>
                <w:color w:val="auto"/>
              </w:rPr>
            </w:pPr>
            <w:r>
              <w:rPr>
                <w:rFonts w:ascii="Arial" w:cs="Arial" w:eastAsia="Arial" w:hAnsi="Arial"/>
                <w:sz w:val="18"/>
                <w:szCs w:val="18"/>
                <w:color w:val="auto"/>
                <w:w w:val="90"/>
              </w:rPr>
              <w:t>(Address of principal executive offices)</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5"/>
          </w:tcPr>
          <w:p>
            <w:pPr>
              <w:ind w:left="80"/>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r>
        <w:trPr>
          <w:trHeight w:val="448"/>
        </w:trPr>
        <w:tc>
          <w:tcPr>
            <w:tcW w:w="4260" w:type="dxa"/>
            <w:vAlign w:val="bottom"/>
            <w:gridSpan w:val="8"/>
          </w:tcPr>
          <w:p>
            <w:pPr>
              <w:jc w:val="center"/>
              <w:ind w:right="640"/>
              <w:spacing w:after="0"/>
              <w:rPr>
                <w:sz w:val="20"/>
                <w:szCs w:val="20"/>
                <w:color w:val="auto"/>
              </w:rPr>
            </w:pPr>
            <w:r>
              <w:rPr>
                <w:rFonts w:ascii="Arial" w:cs="Arial" w:eastAsia="Arial" w:hAnsi="Arial"/>
                <w:sz w:val="18"/>
                <w:szCs w:val="18"/>
                <w:color w:val="auto"/>
                <w:w w:val="87"/>
              </w:rPr>
              <w:t>Registrant's telephone number, including area code:</w:t>
            </w:r>
          </w:p>
        </w:tc>
        <w:tc>
          <w:tcPr>
            <w:tcW w:w="400" w:type="dxa"/>
            <w:vAlign w:val="bottom"/>
          </w:tcPr>
          <w:p>
            <w:pPr>
              <w:spacing w:after="0"/>
              <w:rPr>
                <w:sz w:val="24"/>
                <w:szCs w:val="24"/>
                <w:color w:val="auto"/>
              </w:rPr>
            </w:pP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87"/>
              </w:rPr>
              <w:t>(970) 845-2500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06" w:lineRule="exact"/>
        <w:rPr>
          <w:sz w:val="24"/>
          <w:szCs w:val="24"/>
          <w:color w:val="auto"/>
        </w:rPr>
      </w:pPr>
    </w:p>
    <w:p>
      <w:pPr>
        <w:ind w:left="2360" w:right="2540"/>
        <w:spacing w:after="0" w:line="299"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460" w:hanging="95"/>
        <w:spacing w:after="0"/>
        <w:tabs>
          <w:tab w:leader="none" w:pos="2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w:t>
      </w:r>
    </w:p>
    <w:p>
      <w:pPr>
        <w:spacing w:after="0" w:line="36" w:lineRule="exact"/>
        <w:rPr>
          <w:rFonts w:ascii="Arial" w:cs="Arial" w:eastAsia="Arial" w:hAnsi="Arial"/>
          <w:sz w:val="18"/>
          <w:szCs w:val="18"/>
          <w:color w:val="auto"/>
        </w:rPr>
      </w:pPr>
    </w:p>
    <w:p>
      <w:pPr>
        <w:ind w:left="2460" w:hanging="95"/>
        <w:spacing w:after="0"/>
        <w:tabs>
          <w:tab w:leader="none" w:pos="2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materials pursuant to Rule 14a-12 under the Exchange Act</w:t>
      </w:r>
    </w:p>
    <w:p>
      <w:pPr>
        <w:spacing w:after="0" w:line="36" w:lineRule="exact"/>
        <w:rPr>
          <w:rFonts w:ascii="Arial" w:cs="Arial" w:eastAsia="Arial" w:hAnsi="Arial"/>
          <w:sz w:val="18"/>
          <w:szCs w:val="18"/>
          <w:color w:val="auto"/>
        </w:rPr>
      </w:pPr>
    </w:p>
    <w:p>
      <w:pPr>
        <w:ind w:left="2460" w:hanging="95"/>
        <w:spacing w:after="0"/>
        <w:tabs>
          <w:tab w:leader="none" w:pos="2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w:t>
      </w:r>
    </w:p>
    <w:p>
      <w:pPr>
        <w:spacing w:after="0" w:line="36" w:lineRule="exact"/>
        <w:rPr>
          <w:rFonts w:ascii="Arial" w:cs="Arial" w:eastAsia="Arial" w:hAnsi="Arial"/>
          <w:sz w:val="18"/>
          <w:szCs w:val="18"/>
          <w:color w:val="auto"/>
        </w:rPr>
      </w:pPr>
    </w:p>
    <w:p>
      <w:pPr>
        <w:ind w:left="2460" w:hanging="95"/>
        <w:spacing w:after="0"/>
        <w:tabs>
          <w:tab w:leader="none" w:pos="2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31" w:lineRule="exact"/>
        <w:rPr>
          <w:sz w:val="24"/>
          <w:szCs w:val="24"/>
          <w:color w:val="auto"/>
        </w:rPr>
      </w:pPr>
    </w:p>
    <w:p>
      <w:pPr>
        <w:spacing w:after="0" w:line="289" w:lineRule="auto"/>
        <w:rPr>
          <w:sz w:val="20"/>
          <w:szCs w:val="20"/>
          <w:color w:val="auto"/>
        </w:rPr>
      </w:pPr>
      <w:r>
        <w:rPr>
          <w:rFonts w:ascii="Arial" w:cs="Arial" w:eastAsia="Arial" w:hAnsi="Arial"/>
          <w:sz w:val="16"/>
          <w:szCs w:val="16"/>
          <w:color w:val="auto"/>
        </w:rPr>
        <w:t>On June 24, 2005, VAMHC, Inc. ("VAMHC"), a subsidiary of Vail Resorts, Inc. (the "Company"), sold the assets constituting the Vail Marriott Mountain Resort and Spa (the "Vail Marriott") to DiamondRock Hospitality Limited Partnership ("DiamondRock") for $62.0 million plus a $1.0 million working capital adjustment (subject to final true-up), resulting in net cash proceeds to the Company of $63.0 million, pursuant to a purchase and sale agreement between VAMHC and DiamondRock (the "Agreement"). The estimated carrying value of the assets sold (net of liabilities assumed) was $57.8 million. Additionally, the Company is required to complete certain capital projects that were part of the Company's 2005 capital plan as well as fund, in certain circumstances, certain other future improvements, the total of which is not expected to exceed $3.8 million. The Company anticipates recording an estimated $2.0 million pre-tax loss in its fourth fiscal quarter of 2005 after consideration of all costs involved. The Company will continue to manage the Vail Marriott pursuant to a 15-year management agreement with DiamondRock.</w:t>
      </w:r>
    </w:p>
    <w:p>
      <w:pPr>
        <w:spacing w:after="0" w:line="172" w:lineRule="exact"/>
        <w:rPr>
          <w:sz w:val="24"/>
          <w:szCs w:val="24"/>
          <w:color w:val="auto"/>
        </w:rPr>
      </w:pPr>
    </w:p>
    <w:p>
      <w:pPr>
        <w:ind w:right="340"/>
        <w:spacing w:after="0" w:line="306" w:lineRule="auto"/>
        <w:rPr>
          <w:sz w:val="20"/>
          <w:szCs w:val="20"/>
          <w:color w:val="auto"/>
        </w:rPr>
      </w:pPr>
      <w:r>
        <w:rPr>
          <w:rFonts w:ascii="Arial" w:cs="Arial" w:eastAsia="Arial" w:hAnsi="Arial"/>
          <w:sz w:val="16"/>
          <w:szCs w:val="16"/>
          <w:color w:val="auto"/>
        </w:rPr>
        <w:t>Each of the Purchase and Sale Agreement by and between VAHMC, Inc. and DiamondRock Hospitality Limited Partnership, dated May 3, 2005 and the First Amendment to Purchase and Sale Agreement by and between VAHMC, Inc. and DiamondRock Hospitality Limited Partnership, dated May 10, 2005, are attached as exhibits 10.1(a) and 10.1(b), respectively, to this Current Report on Form 8-K and are incorporated by reference herein.</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4"/>
          <w:szCs w:val="24"/>
          <w:color w:val="auto"/>
        </w:rPr>
      </w:pPr>
    </w:p>
    <w:p>
      <w:pPr>
        <w:ind w:right="120"/>
        <w:spacing w:after="0" w:line="294" w:lineRule="auto"/>
        <w:rPr>
          <w:sz w:val="20"/>
          <w:szCs w:val="20"/>
          <w:color w:val="auto"/>
        </w:rPr>
      </w:pPr>
      <w:r>
        <w:rPr>
          <w:rFonts w:ascii="Arial" w:cs="Arial" w:eastAsia="Arial" w:hAnsi="Arial"/>
          <w:sz w:val="16"/>
          <w:szCs w:val="16"/>
          <w:color w:val="auto"/>
        </w:rPr>
        <w:t>The following unaudited pro forma financial statements give effect to the disposition of the assets constituting the Vail Marriott. The following presents the Company's unaudited pro forma financial information for the nine months ended April 30, 2005 and for the fiscal year ended July 31, 2004. The unaudited pro forma balance sheet as of April 30, 2005 gives effect to the disposition of the assets and liabilities constituting the Vail Marriott as if it had occurred on April 30, 2005. The unaudited pro forma statements of operations for the nine months ended April 30, 2005 and for the year ended July 31, 2004 give effect to the disposition of the assets and liabilities constituting the Vail Marriott as if it had occurred as of the beginning of each respective period.</w:t>
      </w:r>
    </w:p>
    <w:p>
      <w:pPr>
        <w:sectPr>
          <w:pgSz w:w="11900" w:h="16838" w:orient="portrait"/>
          <w:cols w:equalWidth="0" w:num="1">
            <w:col w:w="11420"/>
          </w:cols>
          <w:pgMar w:left="240" w:top="220" w:right="239" w:bottom="0" w:gutter="0" w:footer="0" w:header="0"/>
        </w:sectPr>
      </w:pPr>
    </w:p>
    <w:bookmarkStart w:id="1" w:name="page2"/>
    <w:bookmarkEnd w:id="1"/>
    <w:p>
      <w:pPr>
        <w:ind w:right="40"/>
        <w:spacing w:after="0" w:line="256" w:lineRule="auto"/>
        <w:rPr>
          <w:sz w:val="20"/>
          <w:szCs w:val="20"/>
          <w:color w:val="auto"/>
        </w:rPr>
      </w:pPr>
      <w:r>
        <w:rPr>
          <w:rFonts w:ascii="Arial" w:cs="Arial" w:eastAsia="Arial" w:hAnsi="Arial"/>
          <w:sz w:val="18"/>
          <w:szCs w:val="18"/>
          <w:color w:val="auto"/>
        </w:rPr>
        <w:t>The unaudited pro forma consolidated financial statements should be read together with the Company's consolidated financial statements as of July 31, 2004, including the notes thereto, included in the Vail Resorts, Inc. Annual Report on Form 10-K for the fiscal year ended July 31, 2004 as well as the unaudited consolidated financial statements as of April 30, 2005, including the notes thereto, included in the Vail Resorts, Inc. Quarterly Report on Form 10-Q for the nine months ended April 30, 2005.</w:t>
      </w:r>
    </w:p>
    <w:p>
      <w:pPr>
        <w:spacing w:after="0" w:line="19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pro forma financial information is for informational purposes only and does not purport to present what the Company's results would actually have been had these transactions actually occurred on the dates presented or to project the Company's results of operations or financial position for any future period.</w:t>
      </w: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Vail Resorts,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Consolidated Balance Sheet</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of April 30, 2005</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1520" w:type="dxa"/>
        <w:tblCellMar>
          <w:top w:w="0" w:type="dxa"/>
          <w:left w:w="0" w:type="dxa"/>
          <w:bottom w:w="0" w:type="dxa"/>
          <w:right w:w="0" w:type="dxa"/>
        </w:tblCellMar>
      </w:tblPr>
      <w:tr>
        <w:trPr>
          <w:trHeight w:val="228"/>
        </w:trPr>
        <w:tc>
          <w:tcPr>
            <w:tcW w:w="3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April 30,</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April 30,</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3"/>
                <w:szCs w:val="23"/>
                <w:color w:val="auto"/>
              </w:rPr>
            </w:pPr>
          </w:p>
        </w:tc>
        <w:tc>
          <w:tcPr>
            <w:tcW w:w="1240" w:type="dxa"/>
            <w:vAlign w:val="bottom"/>
            <w:gridSpan w:val="4"/>
          </w:tcPr>
          <w:p>
            <w:pPr>
              <w:ind w:left="58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7"/>
              </w:rPr>
              <w:t>Pro Forma</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center"/>
              <w:ind w:right="132"/>
              <w:spacing w:after="0"/>
              <w:rPr>
                <w:sz w:val="20"/>
                <w:szCs w:val="20"/>
                <w:color w:val="auto"/>
              </w:rPr>
            </w:pPr>
            <w:r>
              <w:rPr>
                <w:rFonts w:ascii="Arial" w:cs="Arial" w:eastAsia="Arial" w:hAnsi="Arial"/>
                <w:sz w:val="18"/>
                <w:szCs w:val="18"/>
                <w:b w:val="1"/>
                <w:bCs w:val="1"/>
                <w:color w:val="auto"/>
                <w:w w:val="84"/>
              </w:rPr>
              <w:t>2005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3920" w:type="dxa"/>
            <w:vAlign w:val="bottom"/>
          </w:tcPr>
          <w:p>
            <w:pPr>
              <w:spacing w:after="0"/>
              <w:rPr>
                <w:sz w:val="20"/>
                <w:szCs w:val="20"/>
                <w:color w:val="auto"/>
              </w:rPr>
            </w:pPr>
          </w:p>
        </w:tc>
        <w:tc>
          <w:tcPr>
            <w:tcW w:w="138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As Reported</w:t>
            </w:r>
          </w:p>
        </w:tc>
        <w:tc>
          <w:tcPr>
            <w:tcW w:w="152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rPr>
              <w:t>Adjustments</w:t>
            </w:r>
          </w:p>
        </w:tc>
        <w:tc>
          <w:tcPr>
            <w:tcW w:w="420" w:type="dxa"/>
            <w:vAlign w:val="bottom"/>
          </w:tcPr>
          <w:p>
            <w:pPr>
              <w:spacing w:after="0"/>
              <w:rPr>
                <w:sz w:val="20"/>
                <w:szCs w:val="20"/>
                <w:color w:val="auto"/>
              </w:rPr>
            </w:pPr>
          </w:p>
        </w:tc>
        <w:tc>
          <w:tcPr>
            <w:tcW w:w="1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Pro Forma</w:t>
            </w:r>
          </w:p>
        </w:tc>
        <w:tc>
          <w:tcPr>
            <w:tcW w:w="0" w:type="dxa"/>
            <w:vAlign w:val="bottom"/>
          </w:tcPr>
          <w:p>
            <w:pPr>
              <w:spacing w:after="0"/>
              <w:rPr>
                <w:sz w:val="1"/>
                <w:szCs w:val="1"/>
                <w:color w:val="auto"/>
              </w:rPr>
            </w:pPr>
          </w:p>
        </w:tc>
      </w:tr>
      <w:tr>
        <w:trPr>
          <w:trHeight w:val="289"/>
        </w:trPr>
        <w:tc>
          <w:tcPr>
            <w:tcW w:w="39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9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3"/>
          </w:tcPr>
          <w:p>
            <w:pPr>
              <w:ind w:left="60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41,068</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62,859</w:t>
            </w:r>
          </w:p>
        </w:tc>
        <w:tc>
          <w:tcPr>
            <w:tcW w:w="420" w:type="dxa"/>
            <w:vAlign w:val="bottom"/>
          </w:tcPr>
          <w:p>
            <w:pPr>
              <w:spacing w:after="0"/>
              <w:rPr>
                <w:sz w:val="20"/>
                <w:szCs w:val="20"/>
                <w:color w:val="auto"/>
              </w:rPr>
            </w:pPr>
            <w:r>
              <w:rPr>
                <w:rFonts w:ascii="Arial" w:cs="Arial" w:eastAsia="Arial" w:hAnsi="Arial"/>
                <w:sz w:val="18"/>
                <w:szCs w:val="18"/>
                <w:color w:val="auto"/>
              </w:rPr>
              <w:t>(a)</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103,927</w:t>
            </w:r>
          </w:p>
        </w:tc>
        <w:tc>
          <w:tcPr>
            <w:tcW w:w="0" w:type="dxa"/>
            <w:vAlign w:val="bottom"/>
          </w:tcPr>
          <w:p>
            <w:pPr>
              <w:spacing w:after="0"/>
              <w:rPr>
                <w:sz w:val="1"/>
                <w:szCs w:val="1"/>
                <w:color w:val="auto"/>
              </w:rPr>
            </w:pPr>
          </w:p>
        </w:tc>
      </w:tr>
      <w:tr>
        <w:trPr>
          <w:trHeight w:val="270"/>
        </w:trPr>
        <w:tc>
          <w:tcPr>
            <w:tcW w:w="39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17,709</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17,709</w:t>
            </w:r>
          </w:p>
        </w:tc>
        <w:tc>
          <w:tcPr>
            <w:tcW w:w="0" w:type="dxa"/>
            <w:vAlign w:val="bottom"/>
          </w:tcPr>
          <w:p>
            <w:pPr>
              <w:spacing w:after="0"/>
              <w:rPr>
                <w:sz w:val="1"/>
                <w:szCs w:val="1"/>
                <w:color w:val="auto"/>
              </w:rPr>
            </w:pPr>
          </w:p>
        </w:tc>
      </w:tr>
      <w:tr>
        <w:trPr>
          <w:trHeight w:val="270"/>
        </w:trPr>
        <w:tc>
          <w:tcPr>
            <w:tcW w:w="3920" w:type="dxa"/>
            <w:vAlign w:val="bottom"/>
          </w:tcPr>
          <w:p>
            <w:pPr>
              <w:ind w:left="26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33,493</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(1,960)</w:t>
            </w:r>
          </w:p>
        </w:tc>
        <w:tc>
          <w:tcPr>
            <w:tcW w:w="420" w:type="dxa"/>
            <w:vAlign w:val="bottom"/>
          </w:tcPr>
          <w:p>
            <w:pPr>
              <w:spacing w:after="0"/>
              <w:rPr>
                <w:sz w:val="20"/>
                <w:szCs w:val="20"/>
                <w:color w:val="auto"/>
              </w:rPr>
            </w:pPr>
            <w:r>
              <w:rPr>
                <w:rFonts w:ascii="Arial" w:cs="Arial" w:eastAsia="Arial" w:hAnsi="Arial"/>
                <w:sz w:val="18"/>
                <w:szCs w:val="18"/>
                <w:color w:val="auto"/>
              </w:rPr>
              <w:t>(b)</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31,533</w:t>
            </w:r>
          </w:p>
        </w:tc>
        <w:tc>
          <w:tcPr>
            <w:tcW w:w="0" w:type="dxa"/>
            <w:vAlign w:val="bottom"/>
          </w:tcPr>
          <w:p>
            <w:pPr>
              <w:spacing w:after="0"/>
              <w:rPr>
                <w:sz w:val="1"/>
                <w:szCs w:val="1"/>
                <w:color w:val="auto"/>
              </w:rPr>
            </w:pPr>
          </w:p>
        </w:tc>
      </w:tr>
      <w:tr>
        <w:trPr>
          <w:trHeight w:val="270"/>
        </w:trPr>
        <w:tc>
          <w:tcPr>
            <w:tcW w:w="3920" w:type="dxa"/>
            <w:vAlign w:val="bottom"/>
          </w:tcPr>
          <w:p>
            <w:pPr>
              <w:ind w:left="26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31,098</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rPr>
                <w:sz w:val="20"/>
                <w:szCs w:val="20"/>
                <w:color w:val="auto"/>
              </w:rPr>
            </w:pPr>
            <w:r>
              <w:rPr>
                <w:rFonts w:ascii="Arial" w:cs="Arial" w:eastAsia="Arial" w:hAnsi="Arial"/>
                <w:sz w:val="18"/>
                <w:szCs w:val="18"/>
                <w:color w:val="auto"/>
              </w:rPr>
              <w:t>(c)</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31,028</w:t>
            </w:r>
          </w:p>
        </w:tc>
        <w:tc>
          <w:tcPr>
            <w:tcW w:w="0" w:type="dxa"/>
            <w:vAlign w:val="bottom"/>
          </w:tcPr>
          <w:p>
            <w:pPr>
              <w:spacing w:after="0"/>
              <w:rPr>
                <w:sz w:val="1"/>
                <w:szCs w:val="1"/>
                <w:color w:val="auto"/>
              </w:rPr>
            </w:pPr>
          </w:p>
        </w:tc>
      </w:tr>
      <w:tr>
        <w:trPr>
          <w:trHeight w:val="232"/>
        </w:trPr>
        <w:tc>
          <w:tcPr>
            <w:tcW w:w="392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27,985</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20"/>
                <w:szCs w:val="20"/>
                <w:color w:val="auto"/>
              </w:rPr>
            </w:pPr>
            <w:r>
              <w:rPr>
                <w:rFonts w:ascii="Arial" w:cs="Arial" w:eastAsia="Arial" w:hAnsi="Arial"/>
                <w:sz w:val="18"/>
                <w:szCs w:val="18"/>
                <w:color w:val="auto"/>
              </w:rPr>
              <w:t>(d)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27,914</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5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151,353</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60,758</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212,111</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978,464</w:t>
            </w:r>
          </w:p>
        </w:tc>
        <w:tc>
          <w:tcPr>
            <w:tcW w:w="1520" w:type="dxa"/>
            <w:vAlign w:val="bottom"/>
            <w:gridSpan w:val="7"/>
          </w:tcPr>
          <w:p>
            <w:pPr>
              <w:jc w:val="right"/>
              <w:ind w:right="20"/>
              <w:spacing w:after="0"/>
              <w:rPr>
                <w:sz w:val="20"/>
                <w:szCs w:val="20"/>
                <w:color w:val="auto"/>
              </w:rPr>
            </w:pPr>
            <w:r>
              <w:rPr>
                <w:rFonts w:ascii="Arial" w:cs="Arial" w:eastAsia="Arial" w:hAnsi="Arial"/>
                <w:sz w:val="18"/>
                <w:szCs w:val="18"/>
                <w:color w:val="auto"/>
              </w:rPr>
              <w:t>(56,861)</w:t>
            </w:r>
          </w:p>
        </w:tc>
        <w:tc>
          <w:tcPr>
            <w:tcW w:w="420" w:type="dxa"/>
            <w:vAlign w:val="bottom"/>
          </w:tcPr>
          <w:p>
            <w:pPr>
              <w:spacing w:after="0"/>
              <w:rPr>
                <w:sz w:val="20"/>
                <w:szCs w:val="20"/>
                <w:color w:val="auto"/>
              </w:rPr>
            </w:pPr>
            <w:r>
              <w:rPr>
                <w:rFonts w:ascii="Arial" w:cs="Arial" w:eastAsia="Arial" w:hAnsi="Arial"/>
                <w:sz w:val="18"/>
                <w:szCs w:val="18"/>
                <w:color w:val="auto"/>
              </w:rPr>
              <w:t>(e)</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921,603</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Real estate held for sale and investment</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140,009</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140,009</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Goodwill, net</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145,090</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145,090</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81,325</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(2,800)</w:t>
            </w:r>
          </w:p>
        </w:tc>
        <w:tc>
          <w:tcPr>
            <w:tcW w:w="420" w:type="dxa"/>
            <w:vAlign w:val="bottom"/>
          </w:tcPr>
          <w:p>
            <w:pPr>
              <w:spacing w:after="0"/>
              <w:rPr>
                <w:sz w:val="20"/>
                <w:szCs w:val="20"/>
                <w:color w:val="auto"/>
              </w:rPr>
            </w:pPr>
            <w:r>
              <w:rPr>
                <w:rFonts w:ascii="Arial" w:cs="Arial" w:eastAsia="Arial" w:hAnsi="Arial"/>
                <w:sz w:val="18"/>
                <w:szCs w:val="18"/>
                <w:color w:val="auto"/>
              </w:rPr>
              <w:t>(f)</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78,525</w:t>
            </w:r>
          </w:p>
        </w:tc>
        <w:tc>
          <w:tcPr>
            <w:tcW w:w="0" w:type="dxa"/>
            <w:vAlign w:val="bottom"/>
          </w:tcPr>
          <w:p>
            <w:pPr>
              <w:spacing w:after="0"/>
              <w:rPr>
                <w:sz w:val="1"/>
                <w:szCs w:val="1"/>
                <w:color w:val="auto"/>
              </w:rPr>
            </w:pPr>
          </w:p>
        </w:tc>
      </w:tr>
      <w:tr>
        <w:trPr>
          <w:trHeight w:val="232"/>
        </w:trPr>
        <w:tc>
          <w:tcPr>
            <w:tcW w:w="392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34,044</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34,044</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60"/>
              <w:spacing w:after="0"/>
              <w:rPr>
                <w:sz w:val="20"/>
                <w:szCs w:val="20"/>
                <w:color w:val="auto"/>
              </w:rPr>
            </w:pPr>
            <w:r>
              <w:rPr>
                <w:rFonts w:ascii="Arial" w:cs="Arial" w:eastAsia="Arial" w:hAnsi="Arial"/>
                <w:sz w:val="18"/>
                <w:szCs w:val="18"/>
                <w:color w:val="auto"/>
              </w:rPr>
              <w:t>Total assets</w:t>
            </w:r>
          </w:p>
        </w:tc>
        <w:tc>
          <w:tcPr>
            <w:tcW w:w="5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auto"/>
            </w:tcBorders>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vMerge w:val="continue"/>
          </w:tcPr>
          <w:p>
            <w:pPr>
              <w:spacing w:after="0"/>
              <w:rPr>
                <w:sz w:val="21"/>
                <w:szCs w:val="21"/>
                <w:color w:val="auto"/>
              </w:rPr>
            </w:pPr>
          </w:p>
        </w:tc>
        <w:tc>
          <w:tcPr>
            <w:tcW w:w="680" w:type="dxa"/>
            <w:vAlign w:val="bottom"/>
            <w:gridSpan w:val="3"/>
          </w:tcPr>
          <w:p>
            <w:pPr>
              <w:ind w:left="600"/>
              <w:spacing w:after="0"/>
              <w:rPr>
                <w:sz w:val="20"/>
                <w:szCs w:val="20"/>
                <w:color w:val="auto"/>
              </w:rPr>
            </w:pPr>
            <w:r>
              <w:rPr>
                <w:rFonts w:ascii="Arial" w:cs="Arial" w:eastAsia="Arial" w:hAnsi="Arial"/>
                <w:sz w:val="10"/>
                <w:szCs w:val="10"/>
                <w:u w:val="single" w:color="auto"/>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1,530,285</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1,097</w:t>
            </w:r>
          </w:p>
        </w:tc>
        <w:tc>
          <w:tcPr>
            <w:tcW w:w="42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1,531,382</w:t>
            </w:r>
          </w:p>
        </w:tc>
        <w:tc>
          <w:tcPr>
            <w:tcW w:w="0" w:type="dxa"/>
            <w:vAlign w:val="bottom"/>
          </w:tcPr>
          <w:p>
            <w:pPr>
              <w:spacing w:after="0"/>
              <w:rPr>
                <w:sz w:val="1"/>
                <w:szCs w:val="1"/>
                <w:color w:val="auto"/>
              </w:rPr>
            </w:pPr>
          </w:p>
        </w:tc>
      </w:tr>
      <w:tr>
        <w:trPr>
          <w:trHeight w:val="532"/>
        </w:trPr>
        <w:tc>
          <w:tcPr>
            <w:tcW w:w="39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92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680" w:type="dxa"/>
            <w:vAlign w:val="bottom"/>
            <w:gridSpan w:val="3"/>
          </w:tcPr>
          <w:p>
            <w:pPr>
              <w:ind w:left="60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188,349</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2,048</w:t>
            </w:r>
          </w:p>
        </w:tc>
        <w:tc>
          <w:tcPr>
            <w:tcW w:w="420" w:type="dxa"/>
            <w:vAlign w:val="bottom"/>
          </w:tcPr>
          <w:p>
            <w:pPr>
              <w:spacing w:after="0"/>
              <w:rPr>
                <w:sz w:val="20"/>
                <w:szCs w:val="20"/>
                <w:color w:val="auto"/>
              </w:rPr>
            </w:pPr>
            <w:r>
              <w:rPr>
                <w:rFonts w:ascii="Arial" w:cs="Arial" w:eastAsia="Arial" w:hAnsi="Arial"/>
                <w:sz w:val="18"/>
                <w:szCs w:val="18"/>
                <w:color w:val="auto"/>
              </w:rPr>
              <w:t>(g)</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190,397</w:t>
            </w:r>
          </w:p>
        </w:tc>
        <w:tc>
          <w:tcPr>
            <w:tcW w:w="0" w:type="dxa"/>
            <w:vAlign w:val="bottom"/>
          </w:tcPr>
          <w:p>
            <w:pPr>
              <w:spacing w:after="0"/>
              <w:rPr>
                <w:sz w:val="1"/>
                <w:szCs w:val="1"/>
                <w:color w:val="auto"/>
              </w:rPr>
            </w:pPr>
          </w:p>
        </w:tc>
      </w:tr>
      <w:tr>
        <w:trPr>
          <w:trHeight w:val="232"/>
        </w:trPr>
        <w:tc>
          <w:tcPr>
            <w:tcW w:w="3920" w:type="dxa"/>
            <w:vAlign w:val="bottom"/>
          </w:tcPr>
          <w:p>
            <w:pPr>
              <w:ind w:left="260"/>
              <w:spacing w:after="0"/>
              <w:rPr>
                <w:sz w:val="20"/>
                <w:szCs w:val="20"/>
                <w:color w:val="auto"/>
              </w:rPr>
            </w:pPr>
            <w:r>
              <w:rPr>
                <w:rFonts w:ascii="Arial" w:cs="Arial" w:eastAsia="Arial" w:hAnsi="Arial"/>
                <w:sz w:val="18"/>
                <w:szCs w:val="18"/>
                <w:color w:val="auto"/>
              </w:rPr>
              <w:t>Long-term debt due within one year</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2,178</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5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190,527</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2,048</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192,575</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520,349</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520,349</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102,016</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1,132</w:t>
            </w:r>
          </w:p>
        </w:tc>
        <w:tc>
          <w:tcPr>
            <w:tcW w:w="420" w:type="dxa"/>
            <w:vAlign w:val="bottom"/>
          </w:tcPr>
          <w:p>
            <w:pPr>
              <w:spacing w:after="0"/>
              <w:rPr>
                <w:sz w:val="20"/>
                <w:szCs w:val="20"/>
                <w:color w:val="auto"/>
              </w:rPr>
            </w:pPr>
            <w:r>
              <w:rPr>
                <w:rFonts w:ascii="Arial" w:cs="Arial" w:eastAsia="Arial" w:hAnsi="Arial"/>
                <w:sz w:val="18"/>
                <w:szCs w:val="18"/>
                <w:color w:val="auto"/>
              </w:rPr>
              <w:t>(h)</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103,148</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116,638</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(792)</w:t>
            </w:r>
          </w:p>
        </w:tc>
        <w:tc>
          <w:tcPr>
            <w:tcW w:w="420" w:type="dxa"/>
            <w:vAlign w:val="bottom"/>
          </w:tcPr>
          <w:p>
            <w:pPr>
              <w:spacing w:after="0"/>
              <w:rPr>
                <w:sz w:val="20"/>
                <w:szCs w:val="20"/>
                <w:color w:val="auto"/>
              </w:rPr>
            </w:pPr>
            <w:r>
              <w:rPr>
                <w:rFonts w:ascii="Arial" w:cs="Arial" w:eastAsia="Arial" w:hAnsi="Arial"/>
                <w:sz w:val="18"/>
                <w:szCs w:val="18"/>
                <w:color w:val="auto"/>
              </w:rPr>
              <w:t>(i)</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115,846</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Put option liabilities</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Minority interest in net assets of consolidated</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subsidiaries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39,142</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39,142</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260"/>
              <w:spacing w:after="0"/>
              <w:rPr>
                <w:sz w:val="20"/>
                <w:szCs w:val="20"/>
                <w:color w:val="auto"/>
              </w:rPr>
            </w:pPr>
            <w:r>
              <w:rPr>
                <w:rFonts w:ascii="Arial" w:cs="Arial" w:eastAsia="Arial" w:hAnsi="Arial"/>
                <w:sz w:val="18"/>
                <w:szCs w:val="18"/>
                <w:color w:val="auto"/>
              </w:rPr>
              <w:t>Preferred stock, $0.01 par value, 25,000,000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60"/>
              <w:spacing w:after="0"/>
              <w:rPr>
                <w:sz w:val="20"/>
                <w:szCs w:val="20"/>
                <w:color w:val="auto"/>
              </w:rPr>
            </w:pPr>
            <w:r>
              <w:rPr>
                <w:rFonts w:ascii="Arial" w:cs="Arial" w:eastAsia="Arial" w:hAnsi="Arial"/>
                <w:sz w:val="18"/>
                <w:szCs w:val="18"/>
                <w:color w:val="auto"/>
              </w:rPr>
              <w:t>shares authorized, zero shares issued and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tcPr>
          <w:p>
            <w:pPr>
              <w:ind w:left="26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920" w:type="dxa"/>
            <w:vAlign w:val="bottom"/>
          </w:tcPr>
          <w:p>
            <w:pPr>
              <w:ind w:left="520"/>
              <w:spacing w:after="0"/>
              <w:rPr>
                <w:sz w:val="20"/>
                <w:szCs w:val="20"/>
                <w:color w:val="auto"/>
              </w:rPr>
            </w:pPr>
            <w:r>
              <w:rPr>
                <w:rFonts w:ascii="Arial" w:cs="Arial" w:eastAsia="Arial" w:hAnsi="Arial"/>
                <w:sz w:val="18"/>
                <w:szCs w:val="18"/>
                <w:color w:val="auto"/>
              </w:rPr>
              <w:t>Class A common stock, convertible to</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520"/>
              <w:spacing w:after="0"/>
              <w:rPr>
                <w:sz w:val="20"/>
                <w:szCs w:val="20"/>
                <w:color w:val="auto"/>
              </w:rPr>
            </w:pPr>
            <w:r>
              <w:rPr>
                <w:rFonts w:ascii="Arial" w:cs="Arial" w:eastAsia="Arial" w:hAnsi="Arial"/>
                <w:sz w:val="18"/>
                <w:szCs w:val="18"/>
                <w:color w:val="auto"/>
                <w:w w:val="96"/>
              </w:rPr>
              <w:t>common stock, $0.01 par value, 20,000,000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520"/>
              <w:spacing w:after="0"/>
              <w:rPr>
                <w:sz w:val="20"/>
                <w:szCs w:val="20"/>
                <w:color w:val="auto"/>
              </w:rPr>
            </w:pPr>
            <w:r>
              <w:rPr>
                <w:rFonts w:ascii="Arial" w:cs="Arial" w:eastAsia="Arial" w:hAnsi="Arial"/>
                <w:sz w:val="18"/>
                <w:szCs w:val="18"/>
                <w:color w:val="auto"/>
                <w:w w:val="99"/>
              </w:rPr>
              <w:t>shares authorized, zero shares issued and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tcPr>
          <w:p>
            <w:pPr>
              <w:ind w:left="52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7"/>
        </w:trPr>
        <w:tc>
          <w:tcPr>
            <w:tcW w:w="3920" w:type="dxa"/>
            <w:vAlign w:val="bottom"/>
          </w:tcPr>
          <w:p>
            <w:pPr>
              <w:ind w:left="520"/>
              <w:spacing w:after="0"/>
              <w:rPr>
                <w:sz w:val="20"/>
                <w:szCs w:val="20"/>
                <w:color w:val="auto"/>
              </w:rPr>
            </w:pPr>
            <w:r>
              <w:rPr>
                <w:rFonts w:ascii="Arial" w:cs="Arial" w:eastAsia="Arial" w:hAnsi="Arial"/>
                <w:sz w:val="18"/>
                <w:szCs w:val="18"/>
                <w:color w:val="auto"/>
                <w:w w:val="95"/>
              </w:rPr>
              <w:t>Common stock, $0.01 par value, 80,000,000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520"/>
              <w:spacing w:after="0"/>
              <w:rPr>
                <w:sz w:val="20"/>
                <w:szCs w:val="20"/>
                <w:color w:val="auto"/>
              </w:rPr>
            </w:pPr>
            <w:r>
              <w:rPr>
                <w:rFonts w:ascii="Arial" w:cs="Arial" w:eastAsia="Arial" w:hAnsi="Arial"/>
                <w:sz w:val="18"/>
                <w:szCs w:val="18"/>
                <w:color w:val="auto"/>
                <w:w w:val="94"/>
              </w:rPr>
              <w:t>shares authorized, 35,946,776 shares issued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tcPr>
          <w:p>
            <w:pPr>
              <w:ind w:left="520"/>
              <w:spacing w:after="0"/>
              <w:rPr>
                <w:sz w:val="20"/>
                <w:szCs w:val="20"/>
                <w:color w:val="auto"/>
              </w:rPr>
            </w:pPr>
            <w:r>
              <w:rPr>
                <w:rFonts w:ascii="Arial" w:cs="Arial" w:eastAsia="Arial" w:hAnsi="Arial"/>
                <w:sz w:val="18"/>
                <w:szCs w:val="18"/>
                <w:color w:val="auto"/>
              </w:rPr>
              <w:t>and outstanding</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0"/>
        </w:trPr>
        <w:tc>
          <w:tcPr>
            <w:tcW w:w="39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426,819</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426,819</w:t>
            </w:r>
          </w:p>
        </w:tc>
        <w:tc>
          <w:tcPr>
            <w:tcW w:w="0" w:type="dxa"/>
            <w:vAlign w:val="bottom"/>
          </w:tcPr>
          <w:p>
            <w:pPr>
              <w:spacing w:after="0"/>
              <w:rPr>
                <w:sz w:val="1"/>
                <w:szCs w:val="1"/>
                <w:color w:val="auto"/>
              </w:rPr>
            </w:pPr>
          </w:p>
        </w:tc>
      </w:tr>
      <w:tr>
        <w:trPr>
          <w:trHeight w:val="270"/>
        </w:trPr>
        <w:tc>
          <w:tcPr>
            <w:tcW w:w="3920" w:type="dxa"/>
            <w:vAlign w:val="bottom"/>
          </w:tcPr>
          <w:p>
            <w:pPr>
              <w:ind w:left="260"/>
              <w:spacing w:after="0"/>
              <w:rPr>
                <w:sz w:val="20"/>
                <w:szCs w:val="20"/>
                <w:color w:val="auto"/>
              </w:rPr>
            </w:pPr>
            <w:r>
              <w:rPr>
                <w:rFonts w:ascii="Arial" w:cs="Arial" w:eastAsia="Arial" w:hAnsi="Arial"/>
                <w:sz w:val="18"/>
                <w:szCs w:val="18"/>
                <w:color w:val="auto"/>
              </w:rPr>
              <w:t>Deferred compensation</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2"/>
        </w:trPr>
        <w:tc>
          <w:tcPr>
            <w:tcW w:w="39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134,399</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(1,291)</w:t>
            </w:r>
          </w:p>
        </w:tc>
        <w:tc>
          <w:tcPr>
            <w:tcW w:w="420" w:type="dxa"/>
            <w:vAlign w:val="bottom"/>
          </w:tcPr>
          <w:p>
            <w:pPr>
              <w:spacing w:after="0"/>
              <w:rPr>
                <w:sz w:val="20"/>
                <w:szCs w:val="20"/>
                <w:color w:val="auto"/>
              </w:rPr>
            </w:pPr>
            <w:r>
              <w:rPr>
                <w:rFonts w:ascii="Arial" w:cs="Arial" w:eastAsia="Arial" w:hAnsi="Arial"/>
                <w:sz w:val="18"/>
                <w:szCs w:val="18"/>
                <w:color w:val="auto"/>
              </w:rPr>
              <w:t>(j)</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133,108</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52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561,162</w:t>
            </w: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(1,291)</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559,871</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gridSpan w:val="2"/>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820" w:type="dxa"/>
            <w:vAlign w:val="bottom"/>
            <w:tcBorders>
              <w:right w:val="single" w:sz="8" w:color="auto"/>
            </w:tcBorders>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auto"/>
            </w:tcBorders>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vMerge w:val="continue"/>
          </w:tcPr>
          <w:p>
            <w:pPr>
              <w:spacing w:after="0"/>
              <w:rPr>
                <w:sz w:val="21"/>
                <w:szCs w:val="21"/>
                <w:color w:val="auto"/>
              </w:rPr>
            </w:pPr>
          </w:p>
        </w:tc>
        <w:tc>
          <w:tcPr>
            <w:tcW w:w="540" w:type="dxa"/>
            <w:vAlign w:val="bottom"/>
            <w:gridSpan w:val="2"/>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1,530,285</w:t>
            </w:r>
          </w:p>
        </w:tc>
        <w:tc>
          <w:tcPr>
            <w:tcW w:w="820" w:type="dxa"/>
            <w:vAlign w:val="bottom"/>
            <w:gridSpan w:val="2"/>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21"/>
                <w:szCs w:val="2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1,097</w:t>
            </w:r>
          </w:p>
        </w:tc>
        <w:tc>
          <w:tcPr>
            <w:tcW w:w="42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1,531,382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131" w:right="339" w:bottom="292" w:gutter="0" w:footer="0" w:header="0"/>
        </w:sectPr>
      </w:pPr>
    </w:p>
    <w:bookmarkStart w:id="2" w:name="page3"/>
    <w:bookmarkEnd w:id="2"/>
    <w:p>
      <w:pPr>
        <w:jc w:val="center"/>
        <w:spacing w:after="0"/>
        <w:rPr>
          <w:sz w:val="20"/>
          <w:szCs w:val="20"/>
          <w:color w:val="auto"/>
        </w:rPr>
      </w:pPr>
      <w:r>
        <w:rPr>
          <w:rFonts w:ascii="Arial" w:cs="Arial" w:eastAsia="Arial" w:hAnsi="Arial"/>
          <w:sz w:val="15"/>
          <w:szCs w:val="15"/>
          <w:color w:val="auto"/>
        </w:rPr>
        <w:t>The accompanying Notes to Unaudited Pro Forma Consolidated Financial Statements are an integral part of these financial statements.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21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 the Nine Months Ended April 30, 2005</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3320" w:type="dxa"/>
            <w:vAlign w:val="bottom"/>
          </w:tcPr>
          <w:p>
            <w:pPr>
              <w:spacing w:after="0"/>
              <w:rPr>
                <w:sz w:val="19"/>
                <w:szCs w:val="19"/>
                <w:color w:val="auto"/>
              </w:rPr>
            </w:pPr>
          </w:p>
        </w:tc>
        <w:tc>
          <w:tcPr>
            <w:tcW w:w="140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0"/>
              </w:rPr>
              <w:t>Nine Months</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0"/>
              </w:rPr>
              <w:t>Nine Months</w:t>
            </w:r>
          </w:p>
        </w:tc>
      </w:tr>
      <w:tr>
        <w:trPr>
          <w:trHeight w:val="270"/>
        </w:trPr>
        <w:tc>
          <w:tcPr>
            <w:tcW w:w="3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3320" w:type="dxa"/>
            <w:vAlign w:val="bottom"/>
          </w:tcPr>
          <w:p>
            <w:pPr>
              <w:spacing w:after="0"/>
              <w:rPr>
                <w:sz w:val="23"/>
                <w:szCs w:val="23"/>
                <w:color w:val="auto"/>
              </w:rPr>
            </w:pPr>
          </w:p>
        </w:tc>
        <w:tc>
          <w:tcPr>
            <w:tcW w:w="140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1"/>
              </w:rPr>
              <w:t>April 30, 2005</w:t>
            </w:r>
          </w:p>
        </w:tc>
        <w:tc>
          <w:tcPr>
            <w:tcW w:w="106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97"/>
              </w:rPr>
              <w:t>Pro Forma</w:t>
            </w:r>
          </w:p>
        </w:tc>
        <w:tc>
          <w:tcPr>
            <w:tcW w:w="300" w:type="dxa"/>
            <w:vAlign w:val="bottom"/>
          </w:tcPr>
          <w:p>
            <w:pPr>
              <w:spacing w:after="0"/>
              <w:rPr>
                <w:sz w:val="23"/>
                <w:szCs w:val="23"/>
                <w:color w:val="auto"/>
              </w:rPr>
            </w:pPr>
          </w:p>
        </w:tc>
        <w:tc>
          <w:tcPr>
            <w:tcW w:w="112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1"/>
              </w:rPr>
              <w:t>April 30, 2005</w:t>
            </w:r>
          </w:p>
        </w:tc>
      </w:tr>
      <w:tr>
        <w:trPr>
          <w:trHeight w:val="232"/>
        </w:trPr>
        <w:tc>
          <w:tcPr>
            <w:tcW w:w="3320" w:type="dxa"/>
            <w:vAlign w:val="bottom"/>
          </w:tcPr>
          <w:p>
            <w:pPr>
              <w:spacing w:after="0"/>
              <w:rPr>
                <w:sz w:val="20"/>
                <w:szCs w:val="20"/>
                <w:color w:val="auto"/>
              </w:rPr>
            </w:pPr>
          </w:p>
        </w:tc>
        <w:tc>
          <w:tcPr>
            <w:tcW w:w="140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87"/>
              </w:rPr>
              <w:t>As Reported</w:t>
            </w:r>
          </w:p>
        </w:tc>
        <w:tc>
          <w:tcPr>
            <w:tcW w:w="106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86"/>
              </w:rPr>
              <w:t>Adjustments</w:t>
            </w:r>
          </w:p>
        </w:tc>
        <w:tc>
          <w:tcPr>
            <w:tcW w:w="300" w:type="dxa"/>
            <w:vAlign w:val="bottom"/>
          </w:tcPr>
          <w:p>
            <w:pPr>
              <w:spacing w:after="0"/>
              <w:rPr>
                <w:sz w:val="20"/>
                <w:szCs w:val="20"/>
                <w:color w:val="auto"/>
              </w:rPr>
            </w:pPr>
          </w:p>
        </w:tc>
        <w:tc>
          <w:tcPr>
            <w:tcW w:w="112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1"/>
              </w:rPr>
              <w:t>Pro Forma</w:t>
            </w:r>
          </w:p>
        </w:tc>
      </w:tr>
      <w:tr>
        <w:trPr>
          <w:trHeight w:val="289"/>
        </w:trPr>
        <w:tc>
          <w:tcPr>
            <w:tcW w:w="332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70"/>
        </w:trPr>
        <w:tc>
          <w:tcPr>
            <w:tcW w:w="3320" w:type="dxa"/>
            <w:vAlign w:val="bottom"/>
          </w:tcPr>
          <w:p>
            <w:pPr>
              <w:ind w:left="300"/>
              <w:spacing w:after="0"/>
              <w:rPr>
                <w:sz w:val="20"/>
                <w:szCs w:val="20"/>
                <w:color w:val="auto"/>
              </w:rPr>
            </w:pPr>
            <w:r>
              <w:rPr>
                <w:rFonts w:ascii="Arial" w:cs="Arial" w:eastAsia="Arial" w:hAnsi="Arial"/>
                <w:sz w:val="18"/>
                <w:szCs w:val="18"/>
                <w:color w:val="auto"/>
              </w:rPr>
              <w:t>Mountain</w:t>
            </w:r>
          </w:p>
        </w:tc>
        <w:tc>
          <w:tcPr>
            <w:tcW w:w="6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505,484</w:t>
            </w:r>
          </w:p>
        </w:tc>
        <w:tc>
          <w:tcPr>
            <w:tcW w:w="180" w:type="dxa"/>
            <w:vAlign w:val="bottom"/>
          </w:tcPr>
          <w:p>
            <w:pPr>
              <w:spacing w:after="0"/>
              <w:rPr>
                <w:sz w:val="23"/>
                <w:szCs w:val="23"/>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505,484</w:t>
            </w:r>
          </w:p>
        </w:tc>
      </w:tr>
      <w:tr>
        <w:trPr>
          <w:trHeight w:val="270"/>
        </w:trPr>
        <w:tc>
          <w:tcPr>
            <w:tcW w:w="3320" w:type="dxa"/>
            <w:vAlign w:val="bottom"/>
          </w:tcPr>
          <w:p>
            <w:pPr>
              <w:ind w:left="300"/>
              <w:spacing w:after="0"/>
              <w:rPr>
                <w:sz w:val="20"/>
                <w:szCs w:val="20"/>
                <w:color w:val="auto"/>
              </w:rPr>
            </w:pPr>
            <w:r>
              <w:rPr>
                <w:rFonts w:ascii="Arial" w:cs="Arial" w:eastAsia="Arial" w:hAnsi="Arial"/>
                <w:sz w:val="18"/>
                <w:szCs w:val="18"/>
                <w:color w:val="auto"/>
              </w:rPr>
              <w:t>Lodging</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145,148</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(17,539)</w:t>
            </w:r>
          </w:p>
        </w:tc>
        <w:tc>
          <w:tcPr>
            <w:tcW w:w="300" w:type="dxa"/>
            <w:vAlign w:val="bottom"/>
          </w:tcPr>
          <w:p>
            <w:pPr>
              <w:jc w:val="center"/>
              <w:spacing w:after="0"/>
              <w:rPr>
                <w:sz w:val="20"/>
                <w:szCs w:val="20"/>
                <w:color w:val="auto"/>
              </w:rPr>
            </w:pPr>
            <w:r>
              <w:rPr>
                <w:rFonts w:ascii="Arial" w:cs="Arial" w:eastAsia="Arial" w:hAnsi="Arial"/>
                <w:sz w:val="18"/>
                <w:szCs w:val="18"/>
                <w:color w:val="auto"/>
                <w:w w:val="95"/>
              </w:rPr>
              <w:t>(k)</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127,609</w:t>
            </w:r>
          </w:p>
        </w:tc>
      </w:tr>
      <w:tr>
        <w:trPr>
          <w:trHeight w:val="232"/>
        </w:trPr>
        <w:tc>
          <w:tcPr>
            <w:tcW w:w="3320" w:type="dxa"/>
            <w:vAlign w:val="bottom"/>
          </w:tcPr>
          <w:p>
            <w:pPr>
              <w:ind w:left="30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39,329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39,329</w:t>
            </w:r>
          </w:p>
        </w:tc>
      </w:tr>
      <w:tr>
        <w:trPr>
          <w:trHeight w:val="289"/>
        </w:trPr>
        <w:tc>
          <w:tcPr>
            <w:tcW w:w="3320" w:type="dxa"/>
            <w:vAlign w:val="bottom"/>
          </w:tcPr>
          <w:p>
            <w:pPr>
              <w:spacing w:after="0"/>
              <w:rPr>
                <w:sz w:val="20"/>
                <w:szCs w:val="20"/>
                <w:color w:val="auto"/>
              </w:rPr>
            </w:pPr>
            <w:r>
              <w:rPr>
                <w:rFonts w:ascii="Arial" w:cs="Arial" w:eastAsia="Arial" w:hAnsi="Arial"/>
                <w:sz w:val="18"/>
                <w:szCs w:val="18"/>
                <w:color w:val="auto"/>
              </w:rPr>
              <w:t>Total net revenue</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689,961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(17,539)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672,422</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Segment operating expense:</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0"/>
        </w:trPr>
        <w:tc>
          <w:tcPr>
            <w:tcW w:w="3320" w:type="dxa"/>
            <w:vAlign w:val="bottom"/>
          </w:tcPr>
          <w:p>
            <w:pPr>
              <w:ind w:left="300"/>
              <w:spacing w:after="0"/>
              <w:rPr>
                <w:sz w:val="20"/>
                <w:szCs w:val="20"/>
                <w:color w:val="auto"/>
              </w:rPr>
            </w:pPr>
            <w:r>
              <w:rPr>
                <w:rFonts w:ascii="Arial" w:cs="Arial" w:eastAsia="Arial" w:hAnsi="Arial"/>
                <w:sz w:val="18"/>
                <w:szCs w:val="18"/>
                <w:color w:val="auto"/>
              </w:rPr>
              <w:t>Mountain</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329,210</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329,210</w:t>
            </w:r>
          </w:p>
        </w:tc>
      </w:tr>
      <w:tr>
        <w:trPr>
          <w:trHeight w:val="270"/>
        </w:trPr>
        <w:tc>
          <w:tcPr>
            <w:tcW w:w="3320" w:type="dxa"/>
            <w:vAlign w:val="bottom"/>
          </w:tcPr>
          <w:p>
            <w:pPr>
              <w:ind w:left="300"/>
              <w:spacing w:after="0"/>
              <w:rPr>
                <w:sz w:val="20"/>
                <w:szCs w:val="20"/>
                <w:color w:val="auto"/>
              </w:rPr>
            </w:pPr>
            <w:r>
              <w:rPr>
                <w:rFonts w:ascii="Arial" w:cs="Arial" w:eastAsia="Arial" w:hAnsi="Arial"/>
                <w:sz w:val="18"/>
                <w:szCs w:val="18"/>
                <w:color w:val="auto"/>
              </w:rPr>
              <w:t>Lodging</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127,282</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(12,398)</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(l)</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114,884</w:t>
            </w:r>
          </w:p>
        </w:tc>
      </w:tr>
      <w:tr>
        <w:trPr>
          <w:trHeight w:val="232"/>
        </w:trPr>
        <w:tc>
          <w:tcPr>
            <w:tcW w:w="3320" w:type="dxa"/>
            <w:vAlign w:val="bottom"/>
          </w:tcPr>
          <w:p>
            <w:pPr>
              <w:ind w:left="30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32,939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32,939</w:t>
            </w:r>
          </w:p>
        </w:tc>
      </w:tr>
      <w:tr>
        <w:trPr>
          <w:trHeight w:val="289"/>
        </w:trPr>
        <w:tc>
          <w:tcPr>
            <w:tcW w:w="3320" w:type="dxa"/>
            <w:vAlign w:val="bottom"/>
          </w:tcPr>
          <w:p>
            <w:pPr>
              <w:spacing w:after="0"/>
              <w:rPr>
                <w:sz w:val="20"/>
                <w:szCs w:val="20"/>
                <w:color w:val="auto"/>
              </w:rPr>
            </w:pPr>
            <w:r>
              <w:rPr>
                <w:rFonts w:ascii="Arial" w:cs="Arial" w:eastAsia="Arial" w:hAnsi="Arial"/>
                <w:sz w:val="18"/>
                <w:szCs w:val="18"/>
                <w:color w:val="auto"/>
              </w:rPr>
              <w:t>Total segment operating expense</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489,431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(12,398)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477,033</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Other operating expense:</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0"/>
        </w:trPr>
        <w:tc>
          <w:tcPr>
            <w:tcW w:w="332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(69,387)</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2,553</w:t>
            </w:r>
          </w:p>
        </w:tc>
        <w:tc>
          <w:tcPr>
            <w:tcW w:w="300" w:type="dxa"/>
            <w:vAlign w:val="bottom"/>
          </w:tcPr>
          <w:p>
            <w:pPr>
              <w:jc w:val="center"/>
              <w:spacing w:after="0"/>
              <w:rPr>
                <w:sz w:val="20"/>
                <w:szCs w:val="20"/>
                <w:color w:val="auto"/>
              </w:rPr>
            </w:pPr>
            <w:r>
              <w:rPr>
                <w:rFonts w:ascii="Arial" w:cs="Arial" w:eastAsia="Arial" w:hAnsi="Arial"/>
                <w:sz w:val="18"/>
                <w:szCs w:val="18"/>
                <w:color w:val="auto"/>
                <w:w w:val="88"/>
              </w:rPr>
              <w:t>(m)</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(66,834)</w:t>
            </w:r>
          </w:p>
        </w:tc>
      </w:tr>
      <w:tr>
        <w:trPr>
          <w:trHeight w:val="270"/>
        </w:trPr>
        <w:tc>
          <w:tcPr>
            <w:tcW w:w="3320" w:type="dxa"/>
            <w:vAlign w:val="bottom"/>
          </w:tcPr>
          <w:p>
            <w:pPr>
              <w:ind w:left="300"/>
              <w:spacing w:after="0"/>
              <w:rPr>
                <w:sz w:val="20"/>
                <w:szCs w:val="20"/>
                <w:color w:val="auto"/>
              </w:rPr>
            </w:pPr>
            <w:r>
              <w:rPr>
                <w:rFonts w:ascii="Arial" w:cs="Arial" w:eastAsia="Arial" w:hAnsi="Arial"/>
                <w:sz w:val="18"/>
                <w:szCs w:val="18"/>
                <w:color w:val="auto"/>
              </w:rPr>
              <w:t>Asset impairment charge</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(1,573)</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(1,573)</w:t>
            </w:r>
          </w:p>
        </w:tc>
      </w:tr>
      <w:tr>
        <w:trPr>
          <w:trHeight w:val="232"/>
        </w:trPr>
        <w:tc>
          <w:tcPr>
            <w:tcW w:w="3320" w:type="dxa"/>
            <w:vAlign w:val="bottom"/>
          </w:tcPr>
          <w:p>
            <w:pPr>
              <w:ind w:left="300"/>
              <w:spacing w:after="0"/>
              <w:rPr>
                <w:sz w:val="20"/>
                <w:szCs w:val="20"/>
                <w:color w:val="auto"/>
              </w:rPr>
            </w:pPr>
            <w:r>
              <w:rPr>
                <w:rFonts w:ascii="Arial" w:cs="Arial" w:eastAsia="Arial" w:hAnsi="Arial"/>
                <w:sz w:val="18"/>
                <w:szCs w:val="18"/>
                <w:color w:val="auto"/>
              </w:rPr>
              <w:t>Loss on disposal of fixed assets, net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(1,519)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(1,519)</w:t>
            </w:r>
          </w:p>
        </w:tc>
      </w:tr>
      <w:tr>
        <w:trPr>
          <w:trHeight w:val="289"/>
        </w:trPr>
        <w:tc>
          <w:tcPr>
            <w:tcW w:w="33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128,051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(2,588)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125,463</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Mountain equity investment income, net</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2,003</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Lodging equity investment loss, net</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(2,679)</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(2,679)</w:t>
            </w: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auto"/>
                <w:w w:val="93"/>
              </w:rPr>
              <w:t>Real estate equity investment (loss) income,</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Investment income, net</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1,443</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300" w:type="dxa"/>
            <w:vAlign w:val="bottom"/>
          </w:tcPr>
          <w:p>
            <w:pPr>
              <w:jc w:val="center"/>
              <w:spacing w:after="0"/>
              <w:rPr>
                <w:sz w:val="20"/>
                <w:szCs w:val="20"/>
                <w:color w:val="auto"/>
              </w:rPr>
            </w:pPr>
            <w:r>
              <w:rPr>
                <w:rFonts w:ascii="Arial" w:cs="Arial" w:eastAsia="Arial" w:hAnsi="Arial"/>
                <w:sz w:val="18"/>
                <w:szCs w:val="18"/>
                <w:color w:val="auto"/>
                <w:w w:val="90"/>
              </w:rPr>
              <w:t>(n)</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1,423</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(30,734)</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(30,734)</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(612)</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Gain on sale of equity investment</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5,690</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5,690</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Gain on put options, net</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741</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auto"/>
                <w:w w:val="98"/>
              </w:rPr>
              <w:t>Minority interest in income of consolidated</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84"/>
        </w:trPr>
        <w:tc>
          <w:tcPr>
            <w:tcW w:w="3320" w:type="dxa"/>
            <w:vAlign w:val="bottom"/>
          </w:tcPr>
          <w:p>
            <w:pPr>
              <w:spacing w:after="0" w:line="184" w:lineRule="exact"/>
              <w:rPr>
                <w:sz w:val="20"/>
                <w:szCs w:val="20"/>
                <w:color w:val="auto"/>
              </w:rPr>
            </w:pPr>
            <w:r>
              <w:rPr>
                <w:rFonts w:ascii="Arial" w:cs="Arial" w:eastAsia="Arial" w:hAnsi="Arial"/>
                <w:sz w:val="18"/>
                <w:szCs w:val="18"/>
                <w:color w:val="auto"/>
              </w:rPr>
              <w:t>subsidiaries, net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(6,980)</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ind w:right="20"/>
              <w:spacing w:after="0" w:line="184"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(6,980)</w:t>
            </w:r>
          </w:p>
        </w:tc>
      </w:tr>
      <w:tr>
        <w:trPr>
          <w:trHeight w:val="289"/>
        </w:trPr>
        <w:tc>
          <w:tcPr>
            <w:tcW w:w="3320" w:type="dxa"/>
            <w:vAlign w:val="bottom"/>
          </w:tcPr>
          <w:p>
            <w:pPr>
              <w:ind w:left="300"/>
              <w:spacing w:after="0"/>
              <w:rPr>
                <w:sz w:val="20"/>
                <w:szCs w:val="20"/>
                <w:color w:val="auto"/>
              </w:rPr>
            </w:pPr>
            <w:r>
              <w:rPr>
                <w:rFonts w:ascii="Arial" w:cs="Arial" w:eastAsia="Arial" w:hAnsi="Arial"/>
                <w:sz w:val="18"/>
                <w:szCs w:val="18"/>
                <w:color w:val="auto"/>
                <w:w w:val="91"/>
              </w:rPr>
              <w:t>Income before provision for income taxes</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96,865</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(2,608)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94,257</w:t>
            </w:r>
          </w:p>
        </w:tc>
      </w:tr>
      <w:tr>
        <w:trPr>
          <w:trHeight w:val="232"/>
        </w:trPr>
        <w:tc>
          <w:tcPr>
            <w:tcW w:w="3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(37,293)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991</w:t>
            </w:r>
          </w:p>
        </w:tc>
        <w:tc>
          <w:tcPr>
            <w:tcW w:w="300" w:type="dxa"/>
            <w:vAlign w:val="bottom"/>
          </w:tcPr>
          <w:p>
            <w:pPr>
              <w:jc w:val="center"/>
              <w:spacing w:after="0"/>
              <w:rPr>
                <w:sz w:val="20"/>
                <w:szCs w:val="20"/>
                <w:color w:val="auto"/>
              </w:rPr>
            </w:pPr>
            <w:r>
              <w:rPr>
                <w:rFonts w:ascii="Arial" w:cs="Arial" w:eastAsia="Arial" w:hAnsi="Arial"/>
                <w:sz w:val="18"/>
                <w:szCs w:val="18"/>
                <w:color w:val="auto"/>
                <w:w w:val="90"/>
              </w:rPr>
              <w:t>(o)</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(36,302)</w:t>
            </w:r>
          </w:p>
        </w:tc>
      </w:tr>
      <w:tr>
        <w:trPr>
          <w:trHeight w:val="20"/>
        </w:trPr>
        <w:tc>
          <w:tcPr>
            <w:tcW w:w="3320" w:type="dxa"/>
            <w:vAlign w:val="bottom"/>
          </w:tcPr>
          <w:p>
            <w:pPr>
              <w:spacing w:after="0" w:line="20" w:lineRule="exact"/>
              <w:rPr>
                <w:sz w:val="1"/>
                <w:szCs w:val="1"/>
                <w:color w:val="auto"/>
              </w:rPr>
            </w:pPr>
          </w:p>
        </w:tc>
        <w:tc>
          <w:tcPr>
            <w:tcW w:w="600" w:type="dxa"/>
            <w:vAlign w:val="bottom"/>
            <w:tcBorders>
              <w:right w:val="single" w:sz="8" w:color="auto"/>
            </w:tcBorders>
            <w:gridSpan w:val="4"/>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right w:val="single" w:sz="8" w:color="auto"/>
            </w:tcBorders>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r>
      <w:tr>
        <w:trPr>
          <w:trHeight w:val="250"/>
        </w:trPr>
        <w:tc>
          <w:tcPr>
            <w:tcW w:w="332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59,572</w:t>
            </w:r>
          </w:p>
        </w:tc>
        <w:tc>
          <w:tcPr>
            <w:tcW w:w="180" w:type="dxa"/>
            <w:vAlign w:val="bottom"/>
          </w:tcPr>
          <w:p>
            <w:pPr>
              <w:spacing w:after="0"/>
              <w:rPr>
                <w:sz w:val="21"/>
                <w:szCs w:val="21"/>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(1,617)</w:t>
            </w:r>
          </w:p>
        </w:tc>
        <w:tc>
          <w:tcPr>
            <w:tcW w:w="300" w:type="dxa"/>
            <w:vAlign w:val="bottom"/>
          </w:tcPr>
          <w:p>
            <w:pPr>
              <w:spacing w:after="0"/>
              <w:rPr>
                <w:sz w:val="21"/>
                <w:szCs w:val="21"/>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57,955</w:t>
            </w:r>
          </w:p>
        </w:tc>
      </w:tr>
      <w:tr>
        <w:trPr>
          <w:trHeight w:val="559"/>
        </w:trPr>
        <w:tc>
          <w:tcPr>
            <w:tcW w:w="3320" w:type="dxa"/>
            <w:vAlign w:val="bottom"/>
          </w:tcPr>
          <w:p>
            <w:pPr>
              <w:spacing w:after="0"/>
              <w:rPr>
                <w:sz w:val="20"/>
                <w:szCs w:val="20"/>
                <w:color w:val="auto"/>
              </w:rPr>
            </w:pPr>
            <w:r>
              <w:rPr>
                <w:rFonts w:ascii="Arial" w:cs="Arial" w:eastAsia="Arial" w:hAnsi="Arial"/>
                <w:sz w:val="18"/>
                <w:szCs w:val="18"/>
                <w:color w:val="auto"/>
              </w:rPr>
              <w:t>Per share amounts:</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r>
      <w:tr>
        <w:trPr>
          <w:trHeight w:val="232"/>
        </w:trPr>
        <w:tc>
          <w:tcPr>
            <w:tcW w:w="3320" w:type="dxa"/>
            <w:vAlign w:val="bottom"/>
          </w:tcPr>
          <w:p>
            <w:pPr>
              <w:ind w:left="300"/>
              <w:spacing w:after="0"/>
              <w:rPr>
                <w:sz w:val="20"/>
                <w:szCs w:val="20"/>
                <w:color w:val="auto"/>
              </w:rPr>
            </w:pPr>
            <w:r>
              <w:rPr>
                <w:rFonts w:ascii="Arial" w:cs="Arial" w:eastAsia="Arial" w:hAnsi="Arial"/>
                <w:sz w:val="18"/>
                <w:szCs w:val="18"/>
                <w:color w:val="auto"/>
              </w:rPr>
              <w:t>Basic net income per share</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68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63</w:t>
            </w:r>
          </w:p>
        </w:tc>
      </w:tr>
      <w:tr>
        <w:trPr>
          <w:trHeight w:val="20"/>
        </w:trPr>
        <w:tc>
          <w:tcPr>
            <w:tcW w:w="33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r>
      <w:tr>
        <w:trPr>
          <w:trHeight w:val="250"/>
        </w:trPr>
        <w:tc>
          <w:tcPr>
            <w:tcW w:w="3320" w:type="dxa"/>
            <w:vAlign w:val="bottom"/>
          </w:tcPr>
          <w:p>
            <w:pPr>
              <w:ind w:left="300"/>
              <w:spacing w:after="0"/>
              <w:rPr>
                <w:sz w:val="20"/>
                <w:szCs w:val="20"/>
                <w:color w:val="auto"/>
              </w:rPr>
            </w:pPr>
            <w:r>
              <w:rPr>
                <w:rFonts w:ascii="Arial" w:cs="Arial" w:eastAsia="Arial" w:hAnsi="Arial"/>
                <w:sz w:val="18"/>
                <w:szCs w:val="18"/>
                <w:color w:val="auto"/>
              </w:rPr>
              <w:t>Diluted net income per share</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65</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61</w:t>
            </w:r>
          </w:p>
        </w:tc>
      </w:tr>
      <w:tr>
        <w:trPr>
          <w:trHeight w:val="790"/>
        </w:trPr>
        <w:tc>
          <w:tcPr>
            <w:tcW w:w="3320" w:type="dxa"/>
            <w:vAlign w:val="bottom"/>
          </w:tcPr>
          <w:p>
            <w:pPr>
              <w:spacing w:after="0"/>
              <w:rPr>
                <w:sz w:val="20"/>
                <w:szCs w:val="20"/>
                <w:color w:val="auto"/>
              </w:rPr>
            </w:pPr>
            <w:r>
              <w:rPr>
                <w:rFonts w:ascii="Arial" w:cs="Arial" w:eastAsia="Arial" w:hAnsi="Arial"/>
                <w:sz w:val="18"/>
                <w:szCs w:val="18"/>
                <w:color w:val="auto"/>
                <w:w w:val="94"/>
              </w:rPr>
              <w:t>Basic weighted-average shares outstanding</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35,526</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35,526</w:t>
            </w:r>
          </w:p>
        </w:tc>
      </w:tr>
      <w:tr>
        <w:trPr>
          <w:trHeight w:val="250"/>
        </w:trPr>
        <w:tc>
          <w:tcPr>
            <w:tcW w:w="3320" w:type="dxa"/>
            <w:vAlign w:val="bottom"/>
          </w:tcPr>
          <w:p>
            <w:pPr>
              <w:spacing w:after="0"/>
              <w:rPr>
                <w:sz w:val="20"/>
                <w:szCs w:val="20"/>
                <w:color w:val="auto"/>
              </w:rPr>
            </w:pPr>
            <w:r>
              <w:rPr>
                <w:rFonts w:ascii="Arial" w:cs="Arial" w:eastAsia="Arial" w:hAnsi="Arial"/>
                <w:sz w:val="18"/>
                <w:szCs w:val="18"/>
                <w:color w:val="auto"/>
                <w:w w:val="91"/>
              </w:rPr>
              <w:t>Diluted weighted-average shares outstanding</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36,021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to Unaudited Pro Forma Consolidated Financial Statements are an integral part of these financial statements.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July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ectPr>
          <w:pgSz w:w="11900" w:h="16838" w:orient="portrait"/>
          <w:cols w:equalWidth="0" w:num="1">
            <w:col w:w="9460"/>
          </w:cols>
          <w:pgMar w:left="1220" w:top="131" w:right="1219" w:bottom="0" w:gutter="0" w:footer="0" w:header="0"/>
        </w:sectPr>
      </w:pPr>
    </w:p>
    <w:p>
      <w:pPr>
        <w:spacing w:after="0" w:line="226"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Year Ended</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 Ended</w:t>
      </w:r>
    </w:p>
    <w:p>
      <w:pPr>
        <w:spacing w:after="0" w:line="98" w:lineRule="exact"/>
        <w:rPr>
          <w:sz w:val="20"/>
          <w:szCs w:val="20"/>
          <w:color w:val="auto"/>
        </w:rPr>
      </w:pPr>
    </w:p>
    <w:p>
      <w:pPr>
        <w:sectPr>
          <w:pgSz w:w="11900" w:h="16838" w:orient="portrait"/>
          <w:cols w:equalWidth="0" w:num="2">
            <w:col w:w="6700" w:space="720"/>
            <w:col w:w="2040"/>
          </w:cols>
          <w:pgMar w:left="1220" w:top="131" w:right="1219" w:bottom="0" w:gutter="0" w:footer="0" w:header="0"/>
          <w:type w:val="continuous"/>
        </w:sectPr>
      </w:pPr>
    </w:p>
    <w:p>
      <w:pPr>
        <w:ind w:left="4980"/>
        <w:spacing w:after="0"/>
        <w:rPr>
          <w:sz w:val="20"/>
          <w:szCs w:val="20"/>
          <w:color w:val="auto"/>
        </w:rPr>
      </w:pPr>
      <w:r>
        <w:rPr>
          <w:rFonts w:ascii="Arial" w:cs="Arial" w:eastAsia="Arial" w:hAnsi="Arial"/>
          <w:sz w:val="16"/>
          <w:szCs w:val="16"/>
          <w:b w:val="1"/>
          <w:bCs w:val="1"/>
          <w:color w:val="auto"/>
        </w:rPr>
        <w:t>July 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July 31,</w:t>
      </w:r>
    </w:p>
    <w:p>
      <w:pPr>
        <w:spacing w:after="0" w:line="86" w:lineRule="exact"/>
        <w:rPr>
          <w:sz w:val="20"/>
          <w:szCs w:val="20"/>
          <w:color w:val="auto"/>
        </w:rPr>
      </w:pPr>
    </w:p>
    <w:p>
      <w:pPr>
        <w:sectPr>
          <w:pgSz w:w="11900" w:h="16838" w:orient="portrait"/>
          <w:cols w:equalWidth="0" w:num="2">
            <w:col w:w="6840" w:space="720"/>
            <w:col w:w="1900"/>
          </w:cols>
          <w:pgMar w:left="1220" w:top="131" w:right="1219" w:bottom="0" w:gutter="0" w:footer="0" w:header="0"/>
          <w:type w:val="continuous"/>
        </w:sectPr>
      </w:pPr>
    </w:p>
    <w:p>
      <w:pPr>
        <w:ind w:left="5100"/>
        <w:spacing w:after="0"/>
        <w:rPr>
          <w:sz w:val="20"/>
          <w:szCs w:val="20"/>
          <w:color w:val="auto"/>
        </w:rPr>
      </w:pPr>
      <w:r>
        <w:rPr>
          <w:rFonts w:ascii="Arial" w:cs="Arial" w:eastAsia="Arial" w:hAnsi="Arial"/>
          <w:sz w:val="16"/>
          <w:szCs w:val="16"/>
          <w:b w:val="1"/>
          <w:bCs w:val="1"/>
          <w:color w:val="auto"/>
        </w:rPr>
        <w:t>2004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Pro Forma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2004</w:t>
      </w:r>
    </w:p>
    <w:p>
      <w:pPr>
        <w:sectPr>
          <w:pgSz w:w="11900" w:h="16838" w:orient="portrait"/>
          <w:cols w:equalWidth="0" w:num="3">
            <w:col w:w="5460" w:space="600"/>
            <w:col w:w="900" w:space="720"/>
            <w:col w:w="1780"/>
          </w:cols>
          <w:pgMar w:left="1220" w:top="131" w:right="1219" w:bottom="0" w:gutter="0" w:footer="0" w:header="0"/>
          <w:type w:val="continuous"/>
        </w:sectPr>
      </w:pPr>
    </w:p>
    <w:bookmarkStart w:id="3" w:name="page4"/>
    <w:bookmarkEnd w:id="3"/>
    <w:tbl>
      <w:tblPr>
        <w:tblLayout w:type="fixed"/>
        <w:tblInd w:w="214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980" w:type="dxa"/>
            <w:vAlign w:val="bottom"/>
            <w:gridSpan w:val="8"/>
          </w:tcPr>
          <w:p>
            <w:pPr>
              <w:jc w:val="right"/>
              <w:ind w:right="40"/>
              <w:spacing w:after="0"/>
              <w:rPr>
                <w:sz w:val="20"/>
                <w:szCs w:val="20"/>
                <w:color w:val="auto"/>
              </w:rPr>
            </w:pPr>
            <w:r>
              <w:rPr>
                <w:rFonts w:ascii="Arial" w:cs="Arial" w:eastAsia="Arial" w:hAnsi="Arial"/>
                <w:sz w:val="18"/>
                <w:szCs w:val="18"/>
                <w:b w:val="1"/>
                <w:bCs w:val="1"/>
                <w:color w:val="auto"/>
                <w:w w:val="85"/>
              </w:rPr>
              <w:t>As Reported</w:t>
            </w:r>
          </w:p>
        </w:tc>
        <w:tc>
          <w:tcPr>
            <w:tcW w:w="1260" w:type="dxa"/>
            <w:vAlign w:val="bottom"/>
            <w:gridSpan w:val="9"/>
          </w:tcPr>
          <w:p>
            <w:pPr>
              <w:jc w:val="right"/>
              <w:ind w:right="120"/>
              <w:spacing w:after="0"/>
              <w:rPr>
                <w:sz w:val="20"/>
                <w:szCs w:val="20"/>
                <w:color w:val="auto"/>
              </w:rPr>
            </w:pPr>
            <w:r>
              <w:rPr>
                <w:rFonts w:ascii="Arial" w:cs="Arial" w:eastAsia="Arial" w:hAnsi="Arial"/>
                <w:sz w:val="18"/>
                <w:szCs w:val="18"/>
                <w:b w:val="1"/>
                <w:bCs w:val="1"/>
                <w:color w:val="auto"/>
              </w:rPr>
              <w:t>Adjustments</w:t>
            </w:r>
          </w:p>
        </w:tc>
        <w:tc>
          <w:tcPr>
            <w:tcW w:w="340" w:type="dxa"/>
            <w:vAlign w:val="bottom"/>
          </w:tcPr>
          <w:p>
            <w:pPr>
              <w:spacing w:after="0"/>
              <w:rPr>
                <w:sz w:val="17"/>
                <w:szCs w:val="17"/>
                <w:color w:val="auto"/>
              </w:rPr>
            </w:pPr>
          </w:p>
        </w:tc>
        <w:tc>
          <w:tcPr>
            <w:tcW w:w="920" w:type="dxa"/>
            <w:vAlign w:val="bottom"/>
            <w:gridSpan w:val="7"/>
          </w:tcPr>
          <w:p>
            <w:pPr>
              <w:jc w:val="right"/>
              <w:ind w:right="40"/>
              <w:spacing w:after="0"/>
              <w:rPr>
                <w:sz w:val="20"/>
                <w:szCs w:val="20"/>
                <w:color w:val="auto"/>
              </w:rPr>
            </w:pPr>
            <w:r>
              <w:rPr>
                <w:rFonts w:ascii="Arial" w:cs="Arial" w:eastAsia="Arial" w:hAnsi="Arial"/>
                <w:sz w:val="18"/>
                <w:szCs w:val="18"/>
                <w:b w:val="1"/>
                <w:bCs w:val="1"/>
                <w:color w:val="auto"/>
                <w:w w:val="95"/>
              </w:rPr>
              <w:t>Pro Forma</w:t>
            </w:r>
          </w:p>
        </w:tc>
      </w:tr>
      <w:tr>
        <w:trPr>
          <w:trHeight w:val="559"/>
        </w:trPr>
        <w:tc>
          <w:tcPr>
            <w:tcW w:w="3660" w:type="dxa"/>
            <w:vAlign w:val="bottom"/>
          </w:tcPr>
          <w:p>
            <w:pPr>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97"/>
        </w:trPr>
        <w:tc>
          <w:tcPr>
            <w:tcW w:w="3660" w:type="dxa"/>
            <w:vAlign w:val="bottom"/>
          </w:tcPr>
          <w:p>
            <w:pPr>
              <w:ind w:left="220"/>
              <w:spacing w:after="0"/>
              <w:rPr>
                <w:sz w:val="20"/>
                <w:szCs w:val="20"/>
                <w:color w:val="auto"/>
              </w:rPr>
            </w:pPr>
            <w:r>
              <w:rPr>
                <w:rFonts w:ascii="Arial" w:cs="Arial" w:eastAsia="Arial" w:hAnsi="Arial"/>
                <w:sz w:val="18"/>
                <w:szCs w:val="18"/>
                <w:color w:val="auto"/>
              </w:rPr>
              <w:t>Mountain</w:t>
            </w:r>
          </w:p>
        </w:tc>
        <w:tc>
          <w:tcPr>
            <w:tcW w:w="980" w:type="dxa"/>
            <w:vAlign w:val="bottom"/>
            <w:gridSpan w:val="8"/>
          </w:tcPr>
          <w:p>
            <w:pPr>
              <w:jc w:val="right"/>
              <w:spacing w:after="0"/>
              <w:rPr>
                <w:sz w:val="20"/>
                <w:szCs w:val="20"/>
                <w:color w:val="auto"/>
              </w:rPr>
            </w:pPr>
            <w:r>
              <w:rPr>
                <w:rFonts w:ascii="Arial" w:cs="Arial" w:eastAsia="Arial" w:hAnsi="Arial"/>
                <w:sz w:val="18"/>
                <w:szCs w:val="18"/>
                <w:color w:val="auto"/>
              </w:rPr>
              <w:t>$  500,436</w:t>
            </w:r>
          </w:p>
        </w:tc>
        <w:tc>
          <w:tcPr>
            <w:tcW w:w="760" w:type="dxa"/>
            <w:vAlign w:val="bottom"/>
            <w:gridSpan w:val="6"/>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500,436</w:t>
            </w:r>
          </w:p>
        </w:tc>
      </w:tr>
      <w:tr>
        <w:trPr>
          <w:trHeight w:val="270"/>
        </w:trPr>
        <w:tc>
          <w:tcPr>
            <w:tcW w:w="3660" w:type="dxa"/>
            <w:vAlign w:val="bottom"/>
          </w:tcPr>
          <w:p>
            <w:pPr>
              <w:ind w:left="220"/>
              <w:spacing w:after="0"/>
              <w:rPr>
                <w:sz w:val="20"/>
                <w:szCs w:val="20"/>
                <w:color w:val="auto"/>
              </w:rPr>
            </w:pPr>
            <w:r>
              <w:rPr>
                <w:rFonts w:ascii="Arial" w:cs="Arial" w:eastAsia="Arial" w:hAnsi="Arial"/>
                <w:sz w:val="18"/>
                <w:szCs w:val="18"/>
                <w:color w:val="auto"/>
              </w:rPr>
              <w:t>Lodging</w:t>
            </w:r>
          </w:p>
        </w:tc>
        <w:tc>
          <w:tcPr>
            <w:tcW w:w="980" w:type="dxa"/>
            <w:vAlign w:val="bottom"/>
            <w:gridSpan w:val="8"/>
          </w:tcPr>
          <w:p>
            <w:pPr>
              <w:jc w:val="right"/>
              <w:spacing w:after="0"/>
              <w:rPr>
                <w:sz w:val="20"/>
                <w:szCs w:val="20"/>
                <w:color w:val="auto"/>
              </w:rPr>
            </w:pPr>
            <w:r>
              <w:rPr>
                <w:rFonts w:ascii="Arial" w:cs="Arial" w:eastAsia="Arial" w:hAnsi="Arial"/>
                <w:sz w:val="18"/>
                <w:szCs w:val="18"/>
                <w:color w:val="auto"/>
              </w:rPr>
              <w:t>176,334</w:t>
            </w:r>
          </w:p>
        </w:tc>
        <w:tc>
          <w:tcPr>
            <w:tcW w:w="1260" w:type="dxa"/>
            <w:vAlign w:val="bottom"/>
            <w:gridSpan w:val="9"/>
          </w:tcPr>
          <w:p>
            <w:pPr>
              <w:jc w:val="right"/>
              <w:ind w:right="20"/>
              <w:spacing w:after="0"/>
              <w:rPr>
                <w:sz w:val="20"/>
                <w:szCs w:val="20"/>
                <w:color w:val="auto"/>
              </w:rPr>
            </w:pPr>
            <w:r>
              <w:rPr>
                <w:rFonts w:ascii="Arial" w:cs="Arial" w:eastAsia="Arial" w:hAnsi="Arial"/>
                <w:sz w:val="18"/>
                <w:szCs w:val="18"/>
                <w:color w:val="auto"/>
              </w:rPr>
              <w:t>(19,689)</w:t>
            </w:r>
          </w:p>
        </w:tc>
        <w:tc>
          <w:tcPr>
            <w:tcW w:w="340" w:type="dxa"/>
            <w:vAlign w:val="bottom"/>
          </w:tcPr>
          <w:p>
            <w:pPr>
              <w:jc w:val="center"/>
              <w:spacing w:after="0"/>
              <w:rPr>
                <w:sz w:val="20"/>
                <w:szCs w:val="20"/>
                <w:color w:val="auto"/>
              </w:rPr>
            </w:pPr>
            <w:r>
              <w:rPr>
                <w:rFonts w:ascii="Arial" w:cs="Arial" w:eastAsia="Arial" w:hAnsi="Arial"/>
                <w:sz w:val="18"/>
                <w:szCs w:val="18"/>
                <w:color w:val="auto"/>
                <w:w w:val="95"/>
              </w:rPr>
              <w:t>(k)</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156,645</w:t>
            </w:r>
          </w:p>
        </w:tc>
      </w:tr>
      <w:tr>
        <w:trPr>
          <w:trHeight w:val="232"/>
        </w:trPr>
        <w:tc>
          <w:tcPr>
            <w:tcW w:w="3660" w:type="dxa"/>
            <w:vAlign w:val="bottom"/>
          </w:tcPr>
          <w:p>
            <w:pPr>
              <w:ind w:left="220"/>
              <w:spacing w:after="0"/>
              <w:rPr>
                <w:sz w:val="20"/>
                <w:szCs w:val="20"/>
                <w:color w:val="auto"/>
              </w:rPr>
            </w:pPr>
            <w:r>
              <w:rPr>
                <w:rFonts w:ascii="Arial" w:cs="Arial" w:eastAsia="Arial" w:hAnsi="Arial"/>
                <w:sz w:val="18"/>
                <w:szCs w:val="18"/>
                <w:color w:val="auto"/>
              </w:rPr>
              <w:t>Real estate</w:t>
            </w:r>
          </w:p>
        </w:tc>
        <w:tc>
          <w:tcPr>
            <w:tcW w:w="2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45,123</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45,123</w:t>
            </w:r>
          </w:p>
        </w:tc>
      </w:tr>
      <w:tr>
        <w:trPr>
          <w:trHeight w:val="289"/>
        </w:trPr>
        <w:tc>
          <w:tcPr>
            <w:tcW w:w="3660" w:type="dxa"/>
            <w:vAlign w:val="bottom"/>
          </w:tcPr>
          <w:p>
            <w:pPr>
              <w:spacing w:after="0"/>
              <w:rPr>
                <w:sz w:val="20"/>
                <w:szCs w:val="20"/>
                <w:color w:val="auto"/>
              </w:rPr>
            </w:pPr>
            <w:r>
              <w:rPr>
                <w:rFonts w:ascii="Arial" w:cs="Arial" w:eastAsia="Arial" w:hAnsi="Arial"/>
                <w:sz w:val="18"/>
                <w:szCs w:val="18"/>
                <w:color w:val="auto"/>
              </w:rPr>
              <w:t>Total net revenues</w:t>
            </w:r>
          </w:p>
        </w:tc>
        <w:tc>
          <w:tcPr>
            <w:tcW w:w="980" w:type="dxa"/>
            <w:vAlign w:val="bottom"/>
            <w:gridSpan w:val="8"/>
          </w:tcPr>
          <w:p>
            <w:pPr>
              <w:jc w:val="right"/>
              <w:spacing w:after="0"/>
              <w:rPr>
                <w:sz w:val="20"/>
                <w:szCs w:val="20"/>
                <w:color w:val="auto"/>
              </w:rPr>
            </w:pPr>
            <w:r>
              <w:rPr>
                <w:rFonts w:ascii="Arial" w:cs="Arial" w:eastAsia="Arial" w:hAnsi="Arial"/>
                <w:sz w:val="18"/>
                <w:szCs w:val="18"/>
                <w:color w:val="auto"/>
              </w:rPr>
              <w:t>721,893</w:t>
            </w:r>
          </w:p>
        </w:tc>
        <w:tc>
          <w:tcPr>
            <w:tcW w:w="1260" w:type="dxa"/>
            <w:vAlign w:val="bottom"/>
            <w:gridSpan w:val="9"/>
          </w:tcPr>
          <w:p>
            <w:pPr>
              <w:jc w:val="right"/>
              <w:ind w:right="20"/>
              <w:spacing w:after="0"/>
              <w:rPr>
                <w:sz w:val="20"/>
                <w:szCs w:val="20"/>
                <w:color w:val="auto"/>
              </w:rPr>
            </w:pPr>
            <w:r>
              <w:rPr>
                <w:rFonts w:ascii="Arial" w:cs="Arial" w:eastAsia="Arial" w:hAnsi="Arial"/>
                <w:sz w:val="18"/>
                <w:szCs w:val="18"/>
                <w:color w:val="auto"/>
              </w:rPr>
              <w:t>(19,689)</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702,204</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3660" w:type="dxa"/>
            <w:vAlign w:val="bottom"/>
          </w:tcPr>
          <w:p>
            <w:pPr>
              <w:ind w:left="220"/>
              <w:spacing w:after="0"/>
              <w:rPr>
                <w:sz w:val="20"/>
                <w:szCs w:val="20"/>
                <w:color w:val="auto"/>
              </w:rPr>
            </w:pPr>
            <w:r>
              <w:rPr>
                <w:rFonts w:ascii="Arial" w:cs="Arial" w:eastAsia="Arial" w:hAnsi="Arial"/>
                <w:sz w:val="18"/>
                <w:szCs w:val="18"/>
                <w:color w:val="auto"/>
              </w:rPr>
              <w:t>Mountain</w:t>
            </w:r>
          </w:p>
        </w:tc>
        <w:tc>
          <w:tcPr>
            <w:tcW w:w="980" w:type="dxa"/>
            <w:vAlign w:val="bottom"/>
            <w:gridSpan w:val="8"/>
          </w:tcPr>
          <w:p>
            <w:pPr>
              <w:jc w:val="right"/>
              <w:spacing w:after="0"/>
              <w:rPr>
                <w:sz w:val="20"/>
                <w:szCs w:val="20"/>
                <w:color w:val="auto"/>
              </w:rPr>
            </w:pPr>
            <w:r>
              <w:rPr>
                <w:rFonts w:ascii="Arial" w:cs="Arial" w:eastAsia="Arial" w:hAnsi="Arial"/>
                <w:sz w:val="18"/>
                <w:szCs w:val="18"/>
                <w:color w:val="auto"/>
              </w:rPr>
              <w:t>368,984</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368,984</w:t>
            </w:r>
          </w:p>
        </w:tc>
      </w:tr>
      <w:tr>
        <w:trPr>
          <w:trHeight w:val="270"/>
        </w:trPr>
        <w:tc>
          <w:tcPr>
            <w:tcW w:w="3660" w:type="dxa"/>
            <w:vAlign w:val="bottom"/>
          </w:tcPr>
          <w:p>
            <w:pPr>
              <w:ind w:left="220"/>
              <w:spacing w:after="0"/>
              <w:rPr>
                <w:sz w:val="20"/>
                <w:szCs w:val="20"/>
                <w:color w:val="auto"/>
              </w:rPr>
            </w:pPr>
            <w:r>
              <w:rPr>
                <w:rFonts w:ascii="Arial" w:cs="Arial" w:eastAsia="Arial" w:hAnsi="Arial"/>
                <w:sz w:val="18"/>
                <w:szCs w:val="18"/>
                <w:color w:val="auto"/>
              </w:rPr>
              <w:t>Lodging</w:t>
            </w:r>
          </w:p>
        </w:tc>
        <w:tc>
          <w:tcPr>
            <w:tcW w:w="980" w:type="dxa"/>
            <w:vAlign w:val="bottom"/>
            <w:gridSpan w:val="8"/>
          </w:tcPr>
          <w:p>
            <w:pPr>
              <w:jc w:val="right"/>
              <w:spacing w:after="0"/>
              <w:rPr>
                <w:sz w:val="20"/>
                <w:szCs w:val="20"/>
                <w:color w:val="auto"/>
              </w:rPr>
            </w:pPr>
            <w:r>
              <w:rPr>
                <w:rFonts w:ascii="Arial" w:cs="Arial" w:eastAsia="Arial" w:hAnsi="Arial"/>
                <w:sz w:val="18"/>
                <w:szCs w:val="18"/>
                <w:color w:val="auto"/>
              </w:rPr>
              <w:t>161,124</w:t>
            </w:r>
          </w:p>
        </w:tc>
        <w:tc>
          <w:tcPr>
            <w:tcW w:w="1260" w:type="dxa"/>
            <w:vAlign w:val="bottom"/>
            <w:gridSpan w:val="9"/>
          </w:tcPr>
          <w:p>
            <w:pPr>
              <w:jc w:val="right"/>
              <w:ind w:right="20"/>
              <w:spacing w:after="0"/>
              <w:rPr>
                <w:sz w:val="20"/>
                <w:szCs w:val="20"/>
                <w:color w:val="auto"/>
              </w:rPr>
            </w:pPr>
            <w:r>
              <w:rPr>
                <w:rFonts w:ascii="Arial" w:cs="Arial" w:eastAsia="Arial" w:hAnsi="Arial"/>
                <w:sz w:val="18"/>
                <w:szCs w:val="18"/>
                <w:color w:val="auto"/>
              </w:rPr>
              <w:t>(15,581)</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(l)</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145,543</w:t>
            </w:r>
          </w:p>
        </w:tc>
      </w:tr>
      <w:tr>
        <w:trPr>
          <w:trHeight w:val="232"/>
        </w:trPr>
        <w:tc>
          <w:tcPr>
            <w:tcW w:w="3660" w:type="dxa"/>
            <w:vAlign w:val="bottom"/>
          </w:tcPr>
          <w:p>
            <w:pPr>
              <w:ind w:left="220"/>
              <w:spacing w:after="0"/>
              <w:rPr>
                <w:sz w:val="20"/>
                <w:szCs w:val="20"/>
                <w:color w:val="auto"/>
              </w:rPr>
            </w:pPr>
            <w:r>
              <w:rPr>
                <w:rFonts w:ascii="Arial" w:cs="Arial" w:eastAsia="Arial" w:hAnsi="Arial"/>
                <w:sz w:val="18"/>
                <w:szCs w:val="18"/>
                <w:color w:val="auto"/>
              </w:rPr>
              <w:t>Real estate</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16,790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16,790</w:t>
            </w:r>
          </w:p>
        </w:tc>
      </w:tr>
      <w:tr>
        <w:trPr>
          <w:trHeight w:val="289"/>
        </w:trPr>
        <w:tc>
          <w:tcPr>
            <w:tcW w:w="3660" w:type="dxa"/>
            <w:vAlign w:val="bottom"/>
          </w:tcPr>
          <w:p>
            <w:pPr>
              <w:spacing w:after="0"/>
              <w:rPr>
                <w:sz w:val="20"/>
                <w:szCs w:val="20"/>
                <w:color w:val="auto"/>
              </w:rPr>
            </w:pPr>
            <w:r>
              <w:rPr>
                <w:rFonts w:ascii="Arial" w:cs="Arial" w:eastAsia="Arial" w:hAnsi="Arial"/>
                <w:sz w:val="18"/>
                <w:szCs w:val="18"/>
                <w:color w:val="auto"/>
              </w:rPr>
              <w:t>Total segment operating expense</w:t>
            </w:r>
          </w:p>
        </w:tc>
        <w:tc>
          <w:tcPr>
            <w:tcW w:w="980" w:type="dxa"/>
            <w:vAlign w:val="bottom"/>
            <w:gridSpan w:val="8"/>
          </w:tcPr>
          <w:p>
            <w:pPr>
              <w:jc w:val="right"/>
              <w:spacing w:after="0"/>
              <w:rPr>
                <w:sz w:val="20"/>
                <w:szCs w:val="20"/>
                <w:color w:val="auto"/>
              </w:rPr>
            </w:pPr>
            <w:r>
              <w:rPr>
                <w:rFonts w:ascii="Arial" w:cs="Arial" w:eastAsia="Arial" w:hAnsi="Arial"/>
                <w:sz w:val="18"/>
                <w:szCs w:val="18"/>
                <w:color w:val="auto"/>
              </w:rPr>
              <w:t>546,898</w:t>
            </w:r>
          </w:p>
        </w:tc>
        <w:tc>
          <w:tcPr>
            <w:tcW w:w="1260" w:type="dxa"/>
            <w:vAlign w:val="bottom"/>
            <w:gridSpan w:val="9"/>
          </w:tcPr>
          <w:p>
            <w:pPr>
              <w:jc w:val="right"/>
              <w:ind w:right="20"/>
              <w:spacing w:after="0"/>
              <w:rPr>
                <w:sz w:val="20"/>
                <w:szCs w:val="20"/>
                <w:color w:val="auto"/>
              </w:rPr>
            </w:pPr>
            <w:r>
              <w:rPr>
                <w:rFonts w:ascii="Arial" w:cs="Arial" w:eastAsia="Arial" w:hAnsi="Arial"/>
                <w:sz w:val="18"/>
                <w:szCs w:val="18"/>
                <w:color w:val="auto"/>
              </w:rPr>
              <w:t>(15,581)</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531,317</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3660" w:type="dxa"/>
            <w:vAlign w:val="bottom"/>
          </w:tcPr>
          <w:p>
            <w:pPr>
              <w:ind w:left="220"/>
              <w:spacing w:after="0"/>
              <w:rPr>
                <w:sz w:val="20"/>
                <w:szCs w:val="20"/>
                <w:color w:val="auto"/>
              </w:rPr>
            </w:pPr>
            <w:r>
              <w:rPr>
                <w:rFonts w:ascii="Arial" w:cs="Arial" w:eastAsia="Arial" w:hAnsi="Arial"/>
                <w:sz w:val="18"/>
                <w:szCs w:val="18"/>
                <w:color w:val="auto"/>
              </w:rPr>
              <w:t>Gain on transfer of property, net</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2,147</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2,147</w:t>
            </w:r>
          </w:p>
        </w:tc>
      </w:tr>
      <w:tr>
        <w:trPr>
          <w:trHeight w:val="270"/>
        </w:trPr>
        <w:tc>
          <w:tcPr>
            <w:tcW w:w="36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8"/>
          </w:tcPr>
          <w:p>
            <w:pPr>
              <w:jc w:val="right"/>
              <w:spacing w:after="0"/>
              <w:rPr>
                <w:sz w:val="20"/>
                <w:szCs w:val="20"/>
                <w:color w:val="auto"/>
              </w:rPr>
            </w:pPr>
            <w:r>
              <w:rPr>
                <w:rFonts w:ascii="Arial" w:cs="Arial" w:eastAsia="Arial" w:hAnsi="Arial"/>
                <w:sz w:val="18"/>
                <w:szCs w:val="18"/>
                <w:color w:val="auto"/>
              </w:rPr>
              <w:t>(86,378)</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3,386</w:t>
            </w:r>
          </w:p>
        </w:tc>
        <w:tc>
          <w:tcPr>
            <w:tcW w:w="40" w:type="dxa"/>
            <w:vAlign w:val="bottom"/>
          </w:tcPr>
          <w:p>
            <w:pPr>
              <w:spacing w:after="0"/>
              <w:rPr>
                <w:sz w:val="23"/>
                <w:szCs w:val="23"/>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8"/>
              </w:rPr>
              <w:t>(m)</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(82,992)</w:t>
            </w:r>
          </w:p>
        </w:tc>
      </w:tr>
      <w:tr>
        <w:trPr>
          <w:trHeight w:val="270"/>
        </w:trPr>
        <w:tc>
          <w:tcPr>
            <w:tcW w:w="3660" w:type="dxa"/>
            <w:vAlign w:val="bottom"/>
          </w:tcPr>
          <w:p>
            <w:pPr>
              <w:ind w:left="220"/>
              <w:spacing w:after="0"/>
              <w:rPr>
                <w:sz w:val="20"/>
                <w:szCs w:val="20"/>
                <w:color w:val="auto"/>
              </w:rPr>
            </w:pPr>
            <w:r>
              <w:rPr>
                <w:rFonts w:ascii="Arial" w:cs="Arial" w:eastAsia="Arial" w:hAnsi="Arial"/>
                <w:sz w:val="18"/>
                <w:szCs w:val="18"/>
                <w:color w:val="auto"/>
              </w:rPr>
              <w:t>Asset impairment charge</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(1,108)</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(1,108)</w:t>
            </w:r>
          </w:p>
        </w:tc>
      </w:tr>
      <w:tr>
        <w:trPr>
          <w:trHeight w:val="270"/>
        </w:trPr>
        <w:tc>
          <w:tcPr>
            <w:tcW w:w="3660" w:type="dxa"/>
            <w:vAlign w:val="bottom"/>
          </w:tcPr>
          <w:p>
            <w:pPr>
              <w:ind w:left="220"/>
              <w:spacing w:after="0"/>
              <w:rPr>
                <w:sz w:val="20"/>
                <w:szCs w:val="20"/>
                <w:color w:val="auto"/>
              </w:rPr>
            </w:pPr>
            <w:r>
              <w:rPr>
                <w:rFonts w:ascii="Arial" w:cs="Arial" w:eastAsia="Arial" w:hAnsi="Arial"/>
                <w:sz w:val="18"/>
                <w:szCs w:val="18"/>
                <w:color w:val="auto"/>
              </w:rPr>
              <w:t>Mold remediation charge</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(5,500)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(5,500)</w:t>
            </w:r>
          </w:p>
        </w:tc>
      </w:tr>
      <w:tr>
        <w:trPr>
          <w:trHeight w:val="232"/>
        </w:trPr>
        <w:tc>
          <w:tcPr>
            <w:tcW w:w="3660" w:type="dxa"/>
            <w:vAlign w:val="bottom"/>
          </w:tcPr>
          <w:p>
            <w:pPr>
              <w:ind w:left="220"/>
              <w:spacing w:after="0"/>
              <w:rPr>
                <w:sz w:val="20"/>
                <w:szCs w:val="20"/>
                <w:color w:val="auto"/>
              </w:rPr>
            </w:pPr>
            <w:r>
              <w:rPr>
                <w:rFonts w:ascii="Arial" w:cs="Arial" w:eastAsia="Arial" w:hAnsi="Arial"/>
                <w:sz w:val="18"/>
                <w:szCs w:val="18"/>
                <w:color w:val="auto"/>
              </w:rPr>
              <w:t>Loss on disposal of fixed assets, net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(2,345)</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(2,345)</w:t>
            </w:r>
          </w:p>
        </w:tc>
      </w:tr>
      <w:tr>
        <w:trPr>
          <w:trHeight w:val="289"/>
        </w:trPr>
        <w:tc>
          <w:tcPr>
            <w:tcW w:w="36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81,811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(722)</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81,089</w:t>
            </w: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97"/>
        </w:trPr>
        <w:tc>
          <w:tcPr>
            <w:tcW w:w="3660" w:type="dxa"/>
            <w:vAlign w:val="bottom"/>
          </w:tcPr>
          <w:p>
            <w:pPr>
              <w:ind w:left="220"/>
              <w:spacing w:after="0"/>
              <w:rPr>
                <w:sz w:val="20"/>
                <w:szCs w:val="20"/>
                <w:color w:val="auto"/>
              </w:rPr>
            </w:pPr>
            <w:r>
              <w:rPr>
                <w:rFonts w:ascii="Arial" w:cs="Arial" w:eastAsia="Arial" w:hAnsi="Arial"/>
                <w:sz w:val="18"/>
                <w:szCs w:val="18"/>
                <w:color w:val="auto"/>
              </w:rPr>
              <w:t>Mountain equity investment income, net</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1,376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1,376</w:t>
            </w:r>
          </w:p>
        </w:tc>
      </w:tr>
      <w:tr>
        <w:trPr>
          <w:trHeight w:val="270"/>
        </w:trPr>
        <w:tc>
          <w:tcPr>
            <w:tcW w:w="3660" w:type="dxa"/>
            <w:vAlign w:val="bottom"/>
          </w:tcPr>
          <w:p>
            <w:pPr>
              <w:ind w:left="220"/>
              <w:spacing w:after="0"/>
              <w:rPr>
                <w:sz w:val="20"/>
                <w:szCs w:val="20"/>
                <w:color w:val="auto"/>
              </w:rPr>
            </w:pPr>
            <w:r>
              <w:rPr>
                <w:rFonts w:ascii="Arial" w:cs="Arial" w:eastAsia="Arial" w:hAnsi="Arial"/>
                <w:sz w:val="18"/>
                <w:szCs w:val="18"/>
                <w:color w:val="auto"/>
              </w:rPr>
              <w:t>Lodging equity investment loss, net</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(3,432)</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(3,432)</w:t>
            </w:r>
          </w:p>
        </w:tc>
      </w:tr>
      <w:tr>
        <w:trPr>
          <w:trHeight w:val="270"/>
        </w:trPr>
        <w:tc>
          <w:tcPr>
            <w:tcW w:w="3660" w:type="dxa"/>
            <w:vAlign w:val="bottom"/>
          </w:tcPr>
          <w:p>
            <w:pPr>
              <w:ind w:left="220"/>
              <w:spacing w:after="0"/>
              <w:rPr>
                <w:sz w:val="20"/>
                <w:szCs w:val="20"/>
                <w:color w:val="auto"/>
              </w:rPr>
            </w:pPr>
            <w:r>
              <w:rPr>
                <w:rFonts w:ascii="Arial" w:cs="Arial" w:eastAsia="Arial" w:hAnsi="Arial"/>
                <w:sz w:val="18"/>
                <w:szCs w:val="18"/>
                <w:color w:val="auto"/>
              </w:rPr>
              <w:t>Real estate equity investment income, net</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460</w:t>
            </w:r>
          </w:p>
        </w:tc>
      </w:tr>
      <w:tr>
        <w:trPr>
          <w:trHeight w:val="270"/>
        </w:trPr>
        <w:tc>
          <w:tcPr>
            <w:tcW w:w="3660" w:type="dxa"/>
            <w:vAlign w:val="bottom"/>
          </w:tcPr>
          <w:p>
            <w:pPr>
              <w:ind w:left="220"/>
              <w:spacing w:after="0"/>
              <w:rPr>
                <w:sz w:val="20"/>
                <w:szCs w:val="20"/>
                <w:color w:val="auto"/>
              </w:rPr>
            </w:pPr>
            <w:r>
              <w:rPr>
                <w:rFonts w:ascii="Arial" w:cs="Arial" w:eastAsia="Arial" w:hAnsi="Arial"/>
                <w:sz w:val="18"/>
                <w:szCs w:val="18"/>
                <w:color w:val="auto"/>
              </w:rPr>
              <w:t>Investment income, net</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1,886</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340" w:type="dxa"/>
            <w:vAlign w:val="bottom"/>
          </w:tcPr>
          <w:p>
            <w:pPr>
              <w:jc w:val="center"/>
              <w:spacing w:after="0"/>
              <w:rPr>
                <w:sz w:val="20"/>
                <w:szCs w:val="20"/>
                <w:color w:val="auto"/>
              </w:rPr>
            </w:pPr>
            <w:r>
              <w:rPr>
                <w:rFonts w:ascii="Arial" w:cs="Arial" w:eastAsia="Arial" w:hAnsi="Arial"/>
                <w:sz w:val="18"/>
                <w:szCs w:val="18"/>
                <w:color w:val="auto"/>
                <w:w w:val="90"/>
              </w:rPr>
              <w:t>(n)</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1,874</w:t>
            </w:r>
          </w:p>
        </w:tc>
      </w:tr>
      <w:tr>
        <w:trPr>
          <w:trHeight w:val="270"/>
        </w:trPr>
        <w:tc>
          <w:tcPr>
            <w:tcW w:w="366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980" w:type="dxa"/>
            <w:vAlign w:val="bottom"/>
            <w:gridSpan w:val="8"/>
          </w:tcPr>
          <w:p>
            <w:pPr>
              <w:jc w:val="right"/>
              <w:spacing w:after="0"/>
              <w:rPr>
                <w:sz w:val="20"/>
                <w:szCs w:val="20"/>
                <w:color w:val="auto"/>
              </w:rPr>
            </w:pPr>
            <w:r>
              <w:rPr>
                <w:rFonts w:ascii="Arial" w:cs="Arial" w:eastAsia="Arial" w:hAnsi="Arial"/>
                <w:sz w:val="18"/>
                <w:szCs w:val="18"/>
                <w:color w:val="auto"/>
              </w:rPr>
              <w:t>(47,479)</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(47,479)</w:t>
            </w:r>
          </w:p>
        </w:tc>
      </w:tr>
      <w:tr>
        <w:trPr>
          <w:trHeight w:val="270"/>
        </w:trPr>
        <w:tc>
          <w:tcPr>
            <w:tcW w:w="366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980" w:type="dxa"/>
            <w:vAlign w:val="bottom"/>
            <w:gridSpan w:val="8"/>
          </w:tcPr>
          <w:p>
            <w:pPr>
              <w:jc w:val="right"/>
              <w:spacing w:after="0"/>
              <w:rPr>
                <w:sz w:val="20"/>
                <w:szCs w:val="20"/>
                <w:color w:val="auto"/>
              </w:rPr>
            </w:pPr>
            <w:r>
              <w:rPr>
                <w:rFonts w:ascii="Arial" w:cs="Arial" w:eastAsia="Arial" w:hAnsi="Arial"/>
                <w:sz w:val="18"/>
                <w:szCs w:val="18"/>
                <w:color w:val="auto"/>
              </w:rPr>
              <w:t>(37,084)</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(37,084)</w:t>
            </w:r>
          </w:p>
        </w:tc>
      </w:tr>
      <w:tr>
        <w:trPr>
          <w:trHeight w:val="270"/>
        </w:trPr>
        <w:tc>
          <w:tcPr>
            <w:tcW w:w="3660" w:type="dxa"/>
            <w:vAlign w:val="bottom"/>
          </w:tcPr>
          <w:p>
            <w:pPr>
              <w:ind w:left="220"/>
              <w:spacing w:after="0"/>
              <w:rPr>
                <w:sz w:val="20"/>
                <w:szCs w:val="20"/>
                <w:color w:val="auto"/>
              </w:rPr>
            </w:pPr>
            <w:r>
              <w:rPr>
                <w:rFonts w:ascii="Arial" w:cs="Arial" w:eastAsia="Arial" w:hAnsi="Arial"/>
                <w:sz w:val="18"/>
                <w:szCs w:val="18"/>
                <w:color w:val="auto"/>
              </w:rPr>
              <w:t>Loss on put options, net</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(1,875)</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(1,875)</w:t>
            </w:r>
          </w:p>
        </w:tc>
      </w:tr>
      <w:tr>
        <w:trPr>
          <w:trHeight w:val="270"/>
        </w:trPr>
        <w:tc>
          <w:tcPr>
            <w:tcW w:w="3660" w:type="dxa"/>
            <w:vAlign w:val="bottom"/>
          </w:tcPr>
          <w:p>
            <w:pPr>
              <w:ind w:left="220"/>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(179)</w:t>
            </w:r>
          </w:p>
        </w:tc>
      </w:tr>
      <w:tr>
        <w:trPr>
          <w:trHeight w:val="237"/>
        </w:trPr>
        <w:tc>
          <w:tcPr>
            <w:tcW w:w="3660" w:type="dxa"/>
            <w:vAlign w:val="bottom"/>
          </w:tcPr>
          <w:p>
            <w:pPr>
              <w:ind w:left="220"/>
              <w:spacing w:after="0"/>
              <w:rPr>
                <w:sz w:val="20"/>
                <w:szCs w:val="20"/>
                <w:color w:val="auto"/>
              </w:rPr>
            </w:pPr>
            <w:r>
              <w:rPr>
                <w:rFonts w:ascii="Arial" w:cs="Arial" w:eastAsia="Arial" w:hAnsi="Arial"/>
                <w:sz w:val="18"/>
                <w:szCs w:val="18"/>
                <w:color w:val="auto"/>
              </w:rPr>
              <w:t>Minority interest in income of consolidated</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4"/>
        </w:trPr>
        <w:tc>
          <w:tcPr>
            <w:tcW w:w="3660" w:type="dxa"/>
            <w:vAlign w:val="bottom"/>
          </w:tcPr>
          <w:p>
            <w:pPr>
              <w:ind w:left="220"/>
              <w:spacing w:after="0" w:line="184" w:lineRule="exact"/>
              <w:rPr>
                <w:sz w:val="20"/>
                <w:szCs w:val="20"/>
                <w:color w:val="auto"/>
              </w:rPr>
            </w:pPr>
            <w:r>
              <w:rPr>
                <w:rFonts w:ascii="Arial" w:cs="Arial" w:eastAsia="Arial" w:hAnsi="Arial"/>
                <w:sz w:val="18"/>
                <w:szCs w:val="18"/>
                <w:color w:val="auto"/>
              </w:rPr>
              <w:t>subsidiaries, net</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w w:val="91"/>
              </w:rPr>
              <w:t>(4,000)</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(4,000)</w:t>
            </w:r>
          </w:p>
        </w:tc>
      </w:tr>
      <w:tr>
        <w:trPr>
          <w:trHeight w:val="289"/>
        </w:trPr>
        <w:tc>
          <w:tcPr>
            <w:tcW w:w="366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(8,516)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(734)</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(9,250)</w:t>
            </w:r>
          </w:p>
        </w:tc>
      </w:tr>
      <w:tr>
        <w:trPr>
          <w:trHeight w:val="232"/>
        </w:trPr>
        <w:tc>
          <w:tcPr>
            <w:tcW w:w="3660" w:type="dxa"/>
            <w:vAlign w:val="bottom"/>
          </w:tcPr>
          <w:p>
            <w:pPr>
              <w:ind w:left="220"/>
              <w:spacing w:after="0"/>
              <w:rPr>
                <w:sz w:val="20"/>
                <w:szCs w:val="20"/>
                <w:color w:val="auto"/>
              </w:rPr>
            </w:pPr>
            <w:r>
              <w:rPr>
                <w:rFonts w:ascii="Arial" w:cs="Arial" w:eastAsia="Arial" w:hAnsi="Arial"/>
                <w:sz w:val="18"/>
                <w:szCs w:val="18"/>
                <w:color w:val="auto"/>
              </w:rPr>
              <w:t>Benefit for income taxes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2,557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279</w:t>
            </w:r>
          </w:p>
        </w:tc>
        <w:tc>
          <w:tcPr>
            <w:tcW w:w="4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0"/>
              </w:rPr>
              <w:t>(o)</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2,836</w:t>
            </w:r>
          </w:p>
        </w:tc>
      </w:tr>
      <w:tr>
        <w:trPr>
          <w:trHeight w:val="250"/>
        </w:trPr>
        <w:tc>
          <w:tcPr>
            <w:tcW w:w="366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8"/>
          </w:tcPr>
          <w:p>
            <w:pPr>
              <w:jc w:val="right"/>
              <w:spacing w:after="0"/>
              <w:rPr>
                <w:sz w:val="20"/>
                <w:szCs w:val="20"/>
                <w:color w:val="auto"/>
              </w:rPr>
            </w:pPr>
            <w:r>
              <w:rPr>
                <w:rFonts w:ascii="Arial" w:cs="Arial" w:eastAsia="Arial" w:hAnsi="Arial"/>
                <w:sz w:val="18"/>
                <w:szCs w:val="18"/>
                <w:color w:val="auto"/>
              </w:rPr>
              <w:t>$ (5,959)</w:t>
            </w:r>
          </w:p>
        </w:tc>
        <w:tc>
          <w:tcPr>
            <w:tcW w:w="760" w:type="dxa"/>
            <w:vAlign w:val="bottom"/>
            <w:gridSpan w:val="6"/>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(455)</w:t>
            </w:r>
          </w:p>
        </w:tc>
        <w:tc>
          <w:tcPr>
            <w:tcW w:w="340" w:type="dxa"/>
            <w:vAlign w:val="bottom"/>
          </w:tcPr>
          <w:p>
            <w:pPr>
              <w:spacing w:after="0"/>
              <w:rPr>
                <w:sz w:val="21"/>
                <w:szCs w:val="21"/>
                <w:color w:val="auto"/>
              </w:rPr>
            </w:pPr>
          </w:p>
        </w:tc>
        <w:tc>
          <w:tcPr>
            <w:tcW w:w="30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(6,414)</w:t>
            </w:r>
          </w:p>
        </w:tc>
      </w:tr>
      <w:tr>
        <w:trPr>
          <w:trHeight w:val="559"/>
        </w:trPr>
        <w:tc>
          <w:tcPr>
            <w:tcW w:w="3660" w:type="dxa"/>
            <w:vAlign w:val="bottom"/>
          </w:tcPr>
          <w:p>
            <w:pPr>
              <w:spacing w:after="0"/>
              <w:rPr>
                <w:sz w:val="20"/>
                <w:szCs w:val="20"/>
                <w:color w:val="auto"/>
              </w:rPr>
            </w:pPr>
            <w:r>
              <w:rPr>
                <w:rFonts w:ascii="Arial" w:cs="Arial" w:eastAsia="Arial" w:hAnsi="Arial"/>
                <w:sz w:val="18"/>
                <w:szCs w:val="18"/>
                <w:color w:val="auto"/>
              </w:rPr>
              <w:t>Per share amounts: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r>
      <w:tr>
        <w:trPr>
          <w:trHeight w:val="232"/>
        </w:trPr>
        <w:tc>
          <w:tcPr>
            <w:tcW w:w="3660" w:type="dxa"/>
            <w:vAlign w:val="bottom"/>
          </w:tcPr>
          <w:p>
            <w:pPr>
              <w:ind w:left="220"/>
              <w:spacing w:after="0"/>
              <w:rPr>
                <w:sz w:val="20"/>
                <w:szCs w:val="20"/>
                <w:color w:val="auto"/>
              </w:rPr>
            </w:pPr>
            <w:r>
              <w:rPr>
                <w:rFonts w:ascii="Arial" w:cs="Arial" w:eastAsia="Arial" w:hAnsi="Arial"/>
                <w:sz w:val="18"/>
                <w:szCs w:val="18"/>
                <w:color w:val="auto"/>
              </w:rPr>
              <w:t>Basic</w:t>
            </w:r>
          </w:p>
        </w:tc>
        <w:tc>
          <w:tcPr>
            <w:tcW w:w="440" w:type="dxa"/>
            <w:vAlign w:val="bottom"/>
            <w:gridSpan w:val="6"/>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(0.18)</w:t>
            </w:r>
          </w:p>
        </w:tc>
      </w:tr>
      <w:tr>
        <w:trPr>
          <w:trHeight w:val="20"/>
        </w:trPr>
        <w:tc>
          <w:tcPr>
            <w:tcW w:w="36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r>
      <w:tr>
        <w:trPr>
          <w:trHeight w:val="250"/>
        </w:trPr>
        <w:tc>
          <w:tcPr>
            <w:tcW w:w="3660" w:type="dxa"/>
            <w:vAlign w:val="bottom"/>
          </w:tcPr>
          <w:p>
            <w:pPr>
              <w:ind w:left="220"/>
              <w:spacing w:after="0"/>
              <w:rPr>
                <w:sz w:val="20"/>
                <w:szCs w:val="20"/>
                <w:color w:val="auto"/>
              </w:rPr>
            </w:pPr>
            <w:r>
              <w:rPr>
                <w:rFonts w:ascii="Arial" w:cs="Arial" w:eastAsia="Arial" w:hAnsi="Arial"/>
                <w:sz w:val="18"/>
                <w:szCs w:val="18"/>
                <w:color w:val="auto"/>
              </w:rPr>
              <w:t>Diluted</w:t>
            </w:r>
          </w:p>
        </w:tc>
        <w:tc>
          <w:tcPr>
            <w:tcW w:w="440" w:type="dxa"/>
            <w:vAlign w:val="bottom"/>
            <w:gridSpan w:val="6"/>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(0.18)</w:t>
            </w:r>
          </w:p>
        </w:tc>
      </w:tr>
      <w:tr>
        <w:trPr>
          <w:trHeight w:val="520"/>
        </w:trPr>
        <w:tc>
          <w:tcPr>
            <w:tcW w:w="3660" w:type="dxa"/>
            <w:vAlign w:val="bottom"/>
          </w:tcPr>
          <w:p>
            <w:pPr>
              <w:spacing w:after="0"/>
              <w:rPr>
                <w:sz w:val="20"/>
                <w:szCs w:val="20"/>
                <w:color w:val="auto"/>
              </w:rPr>
            </w:pPr>
            <w:r>
              <w:rPr>
                <w:rFonts w:ascii="Arial" w:cs="Arial" w:eastAsia="Arial" w:hAnsi="Arial"/>
                <w:sz w:val="18"/>
                <w:szCs w:val="18"/>
                <w:color w:val="auto"/>
              </w:rPr>
              <w:t>Basic weighted-average shares outstanding</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35,294</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35,294</w:t>
            </w:r>
          </w:p>
        </w:tc>
      </w:tr>
      <w:tr>
        <w:trPr>
          <w:trHeight w:val="250"/>
        </w:trPr>
        <w:tc>
          <w:tcPr>
            <w:tcW w:w="3660" w:type="dxa"/>
            <w:vAlign w:val="bottom"/>
          </w:tcPr>
          <w:p>
            <w:pPr>
              <w:spacing w:after="0"/>
              <w:rPr>
                <w:sz w:val="20"/>
                <w:szCs w:val="20"/>
                <w:color w:val="auto"/>
              </w:rPr>
            </w:pPr>
            <w:r>
              <w:rPr>
                <w:rFonts w:ascii="Arial" w:cs="Arial" w:eastAsia="Arial" w:hAnsi="Arial"/>
                <w:sz w:val="18"/>
                <w:szCs w:val="18"/>
                <w:color w:val="auto"/>
              </w:rPr>
              <w:t>Diluted weighted-average shares outstanding</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35,294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35,294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Unaudited Pro Forma Consolidated Financial Statements are an integral part of these financial statements.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Vail Resorts,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Pro Forma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accompanying unaudited pro forma consolidated financial statements reflect the sale of the assets constituting the Vail Marriott Mountain Resort and Spa (the "Vail Marriott") by VAMHC, Inc. ("VAMHC"), a subsidiary of Vail Resorts, Inc. (the "Company"). The accompanying unaudited pro forma consolidated statements of operations for the nine months ended April 30, 2005 and for the year ended July 31, 2004 assume that the disposition of the assets constituting the Vail Marriott occurred at the beginning of each such period. The accompanying unaudited pro forma consolidated balance sheet as of April 30, 2005 assumes that the disposition of the assets constituting the Vail Marriott occurred on April 30, 2005.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 Forma Adjustments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consolidated financial statements reflect the following pro forma adjustments:</w:t>
      </w:r>
    </w:p>
    <w:p>
      <w:pPr>
        <w:spacing w:after="0" w:line="225" w:lineRule="exact"/>
        <w:rPr>
          <w:sz w:val="20"/>
          <w:szCs w:val="20"/>
          <w:color w:val="auto"/>
        </w:rPr>
      </w:pPr>
    </w:p>
    <w:p>
      <w:pPr>
        <w:ind w:left="1120" w:hanging="248"/>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proceeds from the disposition of the assets (net of assumed liabilities) constituting the Vail Marriott as of April 30, 2005.</w:t>
      </w:r>
    </w:p>
    <w:p>
      <w:pPr>
        <w:spacing w:after="0" w:line="15" w:lineRule="exact"/>
        <w:rPr>
          <w:rFonts w:ascii="Arial" w:cs="Arial" w:eastAsia="Arial" w:hAnsi="Arial"/>
          <w:sz w:val="18"/>
          <w:szCs w:val="18"/>
          <w:color w:val="auto"/>
        </w:rPr>
      </w:pPr>
    </w:p>
    <w:p>
      <w:pPr>
        <w:ind w:left="1120" w:hanging="248"/>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Elimination of the receivables balance related to the Vail Marriott as of April 30, 2005.</w:t>
      </w:r>
    </w:p>
    <w:p>
      <w:pPr>
        <w:spacing w:after="0" w:line="9" w:lineRule="exact"/>
        <w:rPr>
          <w:rFonts w:ascii="Arial" w:cs="Arial" w:eastAsia="Arial" w:hAnsi="Arial"/>
          <w:sz w:val="18"/>
          <w:szCs w:val="18"/>
          <w:color w:val="auto"/>
        </w:rPr>
      </w:pPr>
    </w:p>
    <w:p>
      <w:pPr>
        <w:ind w:left="1120" w:hanging="248"/>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Elimination of the inventories balance related to the Vail Marriott as of April 30, 2005.</w:t>
      </w:r>
    </w:p>
    <w:p>
      <w:pPr>
        <w:spacing w:after="0" w:line="9" w:lineRule="exact"/>
        <w:rPr>
          <w:rFonts w:ascii="Arial" w:cs="Arial" w:eastAsia="Arial" w:hAnsi="Arial"/>
          <w:sz w:val="18"/>
          <w:szCs w:val="18"/>
          <w:color w:val="auto"/>
        </w:rPr>
      </w:pPr>
    </w:p>
    <w:p>
      <w:pPr>
        <w:ind w:left="1120" w:hanging="248"/>
        <w:spacing w:after="0"/>
        <w:tabs>
          <w:tab w:leader="none" w:pos="1120" w:val="left"/>
        </w:tabs>
        <w:numPr>
          <w:ilvl w:val="0"/>
          <w:numId w:val="2"/>
        </w:numPr>
        <w:rPr>
          <w:rFonts w:ascii="Arial" w:cs="Arial" w:eastAsia="Arial" w:hAnsi="Arial"/>
          <w:sz w:val="16"/>
          <w:szCs w:val="16"/>
          <w:color w:val="auto"/>
        </w:rPr>
      </w:pPr>
      <w:r>
        <w:rPr>
          <w:rFonts w:ascii="Arial" w:cs="Arial" w:eastAsia="Arial" w:hAnsi="Arial"/>
          <w:sz w:val="16"/>
          <w:szCs w:val="16"/>
          <w:color w:val="auto"/>
        </w:rPr>
        <w:t>Elimination of the other current assets balance related to the Vail Marriott and the removal of the deferred transaction costs incurred as of April</w:t>
      </w:r>
    </w:p>
    <w:p>
      <w:pPr>
        <w:sectPr>
          <w:pgSz w:w="11900" w:h="16838" w:orient="portrait"/>
          <w:cols w:equalWidth="0" w:num="1">
            <w:col w:w="11400"/>
          </w:cols>
          <w:pgMar w:left="240" w:top="108" w:right="259" w:bottom="0" w:gutter="0" w:footer="0" w:header="0"/>
        </w:sectPr>
      </w:pPr>
    </w:p>
    <w:bookmarkStart w:id="4" w:name="page5"/>
    <w:bookmarkEnd w:id="4"/>
    <w:p>
      <w:pPr>
        <w:ind w:left="880"/>
        <w:spacing w:after="0"/>
        <w:rPr>
          <w:sz w:val="20"/>
          <w:szCs w:val="20"/>
          <w:color w:val="auto"/>
        </w:rPr>
      </w:pPr>
      <w:r>
        <w:rPr>
          <w:rFonts w:ascii="Arial" w:cs="Arial" w:eastAsia="Arial" w:hAnsi="Arial"/>
          <w:sz w:val="18"/>
          <w:szCs w:val="18"/>
          <w:color w:val="auto"/>
        </w:rPr>
        <w:t>30, 2005.</w:t>
      </w:r>
    </w:p>
    <w:p>
      <w:pPr>
        <w:spacing w:after="0" w:line="15" w:lineRule="exact"/>
        <w:rPr>
          <w:sz w:val="20"/>
          <w:szCs w:val="20"/>
          <w:color w:val="auto"/>
        </w:rPr>
      </w:pPr>
    </w:p>
    <w:p>
      <w:pPr>
        <w:ind w:left="1120" w:hanging="2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Elimination of the net property, plant and equipment balance related to the Vail Marriott as of April 30, 2005.</w:t>
      </w:r>
    </w:p>
    <w:p>
      <w:pPr>
        <w:spacing w:after="0" w:line="9" w:lineRule="exact"/>
        <w:rPr>
          <w:rFonts w:ascii="Arial" w:cs="Arial" w:eastAsia="Arial" w:hAnsi="Arial"/>
          <w:sz w:val="18"/>
          <w:szCs w:val="18"/>
          <w:color w:val="auto"/>
        </w:rPr>
      </w:pPr>
    </w:p>
    <w:p>
      <w:pPr>
        <w:ind w:left="1100" w:hanging="228"/>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Elimination of the net intangible assets related to the Vail Marriott as of April 30, 2005.</w:t>
      </w:r>
    </w:p>
    <w:p>
      <w:pPr>
        <w:spacing w:after="0" w:line="9" w:lineRule="exact"/>
        <w:rPr>
          <w:rFonts w:ascii="Arial" w:cs="Arial" w:eastAsia="Arial" w:hAnsi="Arial"/>
          <w:sz w:val="18"/>
          <w:szCs w:val="18"/>
          <w:color w:val="auto"/>
        </w:rPr>
      </w:pPr>
    </w:p>
    <w:p>
      <w:pPr>
        <w:jc w:val="both"/>
        <w:ind w:left="880" w:hanging="8"/>
        <w:spacing w:after="0" w:line="250" w:lineRule="auto"/>
        <w:tabs>
          <w:tab w:leader="none" w:pos="1129"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Elimination of the accounts payable and accrued expenses balance related to the Vail Marriott, offset by addition of estimated liabilities related to completion of certain capital projects as well as other services assumed in connection with the disposition of the assets constituting the Vail Marriott as of April 30, 2005.</w:t>
      </w:r>
    </w:p>
    <w:p>
      <w:pPr>
        <w:spacing w:after="0" w:line="1" w:lineRule="exact"/>
        <w:rPr>
          <w:rFonts w:ascii="Arial" w:cs="Arial" w:eastAsia="Arial" w:hAnsi="Arial"/>
          <w:sz w:val="18"/>
          <w:szCs w:val="18"/>
          <w:color w:val="auto"/>
        </w:rPr>
      </w:pPr>
    </w:p>
    <w:p>
      <w:pPr>
        <w:ind w:left="880" w:right="720" w:hanging="8"/>
        <w:spacing w:after="0" w:line="250" w:lineRule="auto"/>
        <w:tabs>
          <w:tab w:leader="none" w:pos="1129"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long-term liabilities related to completion of certain capital projects as well as other services assumed in connection with the disposition of the assets constituting the Vail Marriott as of April 30, 2005.</w:t>
      </w:r>
    </w:p>
    <w:p>
      <w:pPr>
        <w:ind w:left="1080" w:hanging="208"/>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Long-term deferred tax asset associated with the net loss on sale of assets constituting the Vail Marriott.</w:t>
      </w:r>
    </w:p>
    <w:p>
      <w:pPr>
        <w:spacing w:after="0" w:line="9" w:lineRule="exact"/>
        <w:rPr>
          <w:rFonts w:ascii="Arial" w:cs="Arial" w:eastAsia="Arial" w:hAnsi="Arial"/>
          <w:sz w:val="18"/>
          <w:szCs w:val="18"/>
          <w:color w:val="auto"/>
        </w:rPr>
      </w:pPr>
    </w:p>
    <w:p>
      <w:pPr>
        <w:ind w:left="880" w:right="140" w:hanging="8"/>
        <w:spacing w:after="0" w:line="250" w:lineRule="auto"/>
        <w:tabs>
          <w:tab w:leader="none" w:pos="109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the estimated net loss on sale of assets constituting the Vail Marriott of $2.0 million, net of tax effect of loss at 38% statutory tax rate.</w:t>
      </w:r>
    </w:p>
    <w:p>
      <w:pPr>
        <w:ind w:left="880" w:right="80" w:hanging="8"/>
        <w:spacing w:after="0" w:line="250" w:lineRule="auto"/>
        <w:tabs>
          <w:tab w:leader="none" w:pos="1129"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Elimination of revenues recognized by the Vail Marriott from the assumed date of disposition, offset by estimated management fees and accounting services fees that would have been recognized as if the Company was only managing the Vail Marriott from the beginning of the period, based on the management contract now in effect.</w:t>
      </w:r>
    </w:p>
    <w:p>
      <w:pPr>
        <w:spacing w:after="0" w:line="1" w:lineRule="exact"/>
        <w:rPr>
          <w:rFonts w:ascii="Arial" w:cs="Arial" w:eastAsia="Arial" w:hAnsi="Arial"/>
          <w:sz w:val="18"/>
          <w:szCs w:val="18"/>
          <w:color w:val="auto"/>
        </w:rPr>
      </w:pPr>
    </w:p>
    <w:p>
      <w:pPr>
        <w:ind w:left="880" w:right="280" w:hanging="8"/>
        <w:spacing w:after="0" w:line="250" w:lineRule="auto"/>
        <w:tabs>
          <w:tab w:leader="none" w:pos="109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Elimination of operating expenses incurred by the Vail Marriott from the assumed date of disposition, offset by incremental costs of providing accounting services.</w:t>
      </w:r>
    </w:p>
    <w:p>
      <w:pPr>
        <w:ind w:left="1160" w:hanging="288"/>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Elimination of depreciation and amortization expense from the assumed date of disposition related to the assets constituting the Vail Marriott.</w:t>
      </w:r>
    </w:p>
    <w:p>
      <w:pPr>
        <w:spacing w:after="0" w:line="32" w:lineRule="exact"/>
        <w:rPr>
          <w:rFonts w:ascii="Arial" w:cs="Arial" w:eastAsia="Arial" w:hAnsi="Arial"/>
          <w:sz w:val="16"/>
          <w:szCs w:val="16"/>
          <w:color w:val="auto"/>
        </w:rPr>
      </w:pPr>
    </w:p>
    <w:p>
      <w:pPr>
        <w:ind w:left="1120" w:hanging="2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Elimination of investment income from the assumed date of disposition recognized by the Vail Marriott.</w:t>
      </w:r>
    </w:p>
    <w:p>
      <w:pPr>
        <w:spacing w:after="0" w:line="9" w:lineRule="exact"/>
        <w:rPr>
          <w:rFonts w:ascii="Arial" w:cs="Arial" w:eastAsia="Arial" w:hAnsi="Arial"/>
          <w:sz w:val="18"/>
          <w:szCs w:val="18"/>
          <w:color w:val="auto"/>
        </w:rPr>
      </w:pPr>
    </w:p>
    <w:p>
      <w:pPr>
        <w:ind w:left="1120" w:hanging="2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effect of pro forma adjustments at 38% statutory tax rate.</w:t>
      </w:r>
    </w:p>
    <w:p>
      <w:pPr>
        <w:spacing w:after="0" w:line="219"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following estimated nonrecurring loss resulting as of the assumed transaction date of April 30, 2005 will be recognized, subject to final adjustments, by the Company in its fourth quarter of fiscal 2005. This loss was not considered in the pro forma income statements presented herein.</w:t>
      </w:r>
    </w:p>
    <w:p>
      <w:pPr>
        <w:spacing w:after="0" w:line="136" w:lineRule="exact"/>
        <w:rPr>
          <w:sz w:val="20"/>
          <w:szCs w:val="20"/>
          <w:color w:val="auto"/>
        </w:rPr>
      </w:pPr>
    </w:p>
    <w:p>
      <w:pPr>
        <w:ind w:left="980" w:hanging="216"/>
        <w:spacing w:after="0"/>
        <w:tabs>
          <w:tab w:leader="none" w:pos="980" w:val="left"/>
        </w:tabs>
        <w:numPr>
          <w:ilvl w:val="1"/>
          <w:numId w:val="4"/>
        </w:numPr>
        <w:rPr>
          <w:rFonts w:ascii="Arial" w:cs="Arial" w:eastAsia="Arial" w:hAnsi="Arial"/>
          <w:sz w:val="22"/>
          <w:szCs w:val="22"/>
          <w:color w:val="auto"/>
        </w:rPr>
      </w:pPr>
      <w:r>
        <w:rPr>
          <w:rFonts w:ascii="Arial" w:cs="Arial" w:eastAsia="Arial" w:hAnsi="Arial"/>
          <w:sz w:val="18"/>
          <w:szCs w:val="18"/>
          <w:color w:val="auto"/>
        </w:rPr>
        <w:t>Loss on the sale of the assets constituting the Vail Marriott of approximately $2.0 million ($1.3 million net of tax).</w:t>
      </w:r>
    </w:p>
    <w:p>
      <w:pPr>
        <w:spacing w:after="0" w:line="209" w:lineRule="exact"/>
        <w:rPr>
          <w:rFonts w:ascii="Arial" w:cs="Arial" w:eastAsia="Arial" w:hAnsi="Arial"/>
          <w:sz w:val="22"/>
          <w:szCs w:val="22"/>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10.1(a) Purchase and Sale Agreement by and between VAHMC, Inc. and DiamondRock Hospitality Limited Partnership, dated May 3, 2005 (incorporated by reference to Exhibit 10.18(a) of the Company's Quarterly Report on Form 10-Q for the period ending April 30, 2005).</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10.1(b) First Amendment to Purchase and Sale Agreement by and between VAHMC, Inc. and DiamondRock Hospitality Limited Partnership, dated May 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2005 (incorporated by reference to Exhibit 10.18(b) of the Company's Quarterly Report on Form 10-Q for the period ending April 30,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ind w:left="1780"/>
        <w:spacing w:after="0"/>
        <w:tabs>
          <w:tab w:leader="none" w:pos="6820" w:val="left"/>
        </w:tabs>
        <w:rPr>
          <w:sz w:val="20"/>
          <w:szCs w:val="20"/>
          <w:color w:val="auto"/>
        </w:rPr>
      </w:pPr>
      <w:r>
        <w:rPr>
          <w:rFonts w:ascii="Arial" w:cs="Arial" w:eastAsia="Arial" w:hAnsi="Arial"/>
          <w:sz w:val="18"/>
          <w:szCs w:val="18"/>
          <w:color w:val="auto"/>
        </w:rPr>
        <w:t>Date: June 30, 2005</w:t>
      </w:r>
      <w:r>
        <w:rPr>
          <w:sz w:val="20"/>
          <w:szCs w:val="20"/>
          <w:color w:val="auto"/>
        </w:rPr>
        <w:tab/>
      </w:r>
      <w:r>
        <w:rPr>
          <w:rFonts w:ascii="Arial" w:cs="Arial" w:eastAsia="Arial" w:hAnsi="Arial"/>
          <w:sz w:val="16"/>
          <w:szCs w:val="16"/>
          <w:color w:val="auto"/>
        </w:rPr>
        <w:t>Vail Resorts, Inc.</w:t>
      </w:r>
    </w:p>
    <w:p>
      <w:pPr>
        <w:spacing w:after="0" w:line="36" w:lineRule="exact"/>
        <w:rPr>
          <w:sz w:val="20"/>
          <w:szCs w:val="20"/>
          <w:color w:val="auto"/>
        </w:rPr>
      </w:pPr>
    </w:p>
    <w:p>
      <w:pPr>
        <w:ind w:left="644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u w:val="single" w:color="auto"/>
          <w:color w:val="auto"/>
        </w:rPr>
        <w:t>/s/ Jeffrey W. Jones</w:t>
      </w:r>
    </w:p>
    <w:p>
      <w:pPr>
        <w:spacing w:after="0" w:line="3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Jeffrey W. Jones</w:t>
      </w:r>
    </w:p>
    <w:p>
      <w:pPr>
        <w:spacing w:after="0" w:line="3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Senior Vice President and Chief</w:t>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Financial Officer</w:t>
      </w:r>
    </w:p>
    <w:sectPr>
      <w:pgSz w:w="11900" w:h="16838" w:orient="portrait"/>
      <w:cols w:equalWidth="0" w:num="1">
        <w:col w:w="11340"/>
      </w:cols>
      <w:pgMar w:left="240" w:top="1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5"/>
    </w:lvl>
  </w:abstractNum>
  <w:abstractNum w:abstractNumId="3">
    <w:nsid w:val="238E1F29"/>
    <w:multiLevelType w:val="hybridMultilevel"/>
    <w:lvl w:ilvl="0">
      <w:lvlJc w:val="left"/>
      <w:lvlText w:val="%1"/>
      <w:numFmt w:val="lowerLetter"/>
      <w:start w:val="1"/>
    </w:lvl>
    <w:lvl w:ilvl="1">
      <w:lvlJc w:val="left"/>
      <w:lvlText w:val="%2."/>
      <w:numFmt w:val="decimal"/>
      <w:start w:val="1"/>
    </w:lvl>
  </w:abstractNum>
  <w:abstractNum w:abstractNumId="4">
    <w:nsid w:val="46E87CCD"/>
    <w:multiLevelType w:val="hybridMultilevel"/>
    <w:lvl w:ilvl="0">
      <w:lvlJc w:val="left"/>
      <w:lvlText w:val="(%1)"/>
      <w:numFmt w:val="lowerLetter"/>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2019-12-19T21:55:10Z</dcterms:created>
  <dcterms:modified xsi:type="dcterms:W3CDTF">2019-12-19T21:55:10Z</dcterms:modified>
</cp:coreProperties>
</file>