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1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________________________</w:t>
      </w:r>
    </w:p>
    <w:p>
      <w:pPr>
        <w:spacing w:after="0" w:line="20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FORM 8-K/A</w:t>
      </w:r>
    </w:p>
    <w:p>
      <w:pPr>
        <w:spacing w:after="0" w:line="20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w:t>
      </w:r>
    </w:p>
    <w:p>
      <w:pPr>
        <w:spacing w:after="0" w:line="20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206"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May 10, 2002</w:t>
      </w:r>
    </w:p>
    <w:p>
      <w:pPr>
        <w:spacing w:after="0" w:line="225"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4"/>
          <w:szCs w:val="14"/>
          <w:color w:val="auto"/>
        </w:rPr>
        <w:t>Date of Report (Date of earliest event reported)</w:t>
      </w:r>
    </w:p>
    <w:p>
      <w:pPr>
        <w:spacing w:after="0" w:line="185"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b w:val="1"/>
          <w:bCs w:val="1"/>
          <w:color w:val="auto"/>
        </w:rPr>
        <w:t>VAIL RESORTS, INC.</w:t>
      </w:r>
    </w:p>
    <w:p>
      <w:pPr>
        <w:spacing w:after="0" w:line="225"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66" w:orient="portrait"/>
          <w:cols w:equalWidth="0" w:num="1">
            <w:col w:w="10219"/>
          </w:cols>
          <w:pgMar w:left="240" w:top="216" w:right="1440" w:bottom="0" w:gutter="0" w:footer="0" w:header="0"/>
        </w:sectPr>
      </w:pPr>
    </w:p>
    <w:p>
      <w:pPr>
        <w:spacing w:after="0" w:line="280"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21"/>
          <w:szCs w:val="21"/>
          <w:b w:val="1"/>
          <w:bCs w:val="1"/>
          <w:color w:val="auto"/>
        </w:rPr>
        <w:t>1-9614</w:t>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51-0291762</w:t>
      </w:r>
    </w:p>
    <w:p>
      <w:pPr>
        <w:spacing w:after="0" w:line="200" w:lineRule="exact"/>
        <w:rPr>
          <w:sz w:val="24"/>
          <w:szCs w:val="24"/>
          <w:color w:val="auto"/>
        </w:rPr>
      </w:pPr>
    </w:p>
    <w:p>
      <w:pPr>
        <w:sectPr>
          <w:pgSz w:w="11900" w:h="16866" w:orient="portrait"/>
          <w:cols w:equalWidth="0" w:num="3">
            <w:col w:w="4680" w:space="720"/>
            <w:col w:w="1860" w:space="720"/>
            <w:col w:w="2239"/>
          </w:cols>
          <w:pgMar w:left="240" w:top="216" w:right="1440" w:bottom="0" w:gutter="0" w:footer="0" w:header="0"/>
          <w:type w:val="continuous"/>
        </w:sectPr>
      </w:pPr>
    </w:p>
    <w:p>
      <w:pPr>
        <w:spacing w:after="0" w:line="36"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(Commission file number)</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200" w:lineRule="exact"/>
        <w:rPr>
          <w:sz w:val="24"/>
          <w:szCs w:val="24"/>
          <w:color w:val="auto"/>
        </w:rPr>
      </w:pPr>
    </w:p>
    <w:p>
      <w:pPr>
        <w:sectPr>
          <w:pgSz w:w="11900" w:h="16866" w:orient="portrait"/>
          <w:cols w:equalWidth="0" w:num="3">
            <w:col w:w="4280" w:space="720"/>
            <w:col w:w="1800" w:space="720"/>
            <w:col w:w="2699"/>
          </w:cols>
          <w:pgMar w:left="240" w:top="216" w:right="1440" w:bottom="0" w:gutter="0" w:footer="0" w:header="0"/>
          <w:type w:val="continuous"/>
        </w:sectPr>
      </w:pPr>
    </w:p>
    <w:p>
      <w:pPr>
        <w:spacing w:after="0" w:line="27"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8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137 Benchmark Road</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Avon, Colorado 81620</w:t>
      </w:r>
    </w:p>
    <w:p>
      <w:pPr>
        <w:spacing w:after="0" w:line="22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18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2"/>
          <w:szCs w:val="22"/>
          <w:b w:val="1"/>
          <w:bCs w:val="1"/>
          <w:color w:val="auto"/>
        </w:rPr>
        <w:t>(970) 845-2500</w:t>
      </w:r>
    </w:p>
    <w:p>
      <w:pPr>
        <w:spacing w:after="0" w:line="225"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208"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Not Applicable</w:t>
      </w:r>
    </w:p>
    <w:p>
      <w:pPr>
        <w:sectPr>
          <w:pgSz w:w="11900" w:h="16866" w:orient="portrait"/>
          <w:cols w:equalWidth="0" w:num="1">
            <w:col w:w="10219"/>
          </w:cols>
          <w:pgMar w:left="240" w:top="216" w:right="1440" w:bottom="0" w:gutter="0" w:footer="0" w:header="0"/>
          <w:type w:val="continuous"/>
        </w:sectPr>
      </w:pPr>
    </w:p>
    <w:p>
      <w:pPr>
        <w:spacing w:after="0" w:line="225"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Changes in Registrant's Certifying Accountant</w:t>
      </w:r>
      <w:r>
        <w:rPr>
          <w:rFonts w:ascii="Times New Roman" w:cs="Times New Roman" w:eastAsia="Times New Roman" w:hAnsi="Times New Roman"/>
          <w:sz w:val="22"/>
          <w:szCs w:val="22"/>
          <w:color w:val="auto"/>
        </w:rPr>
        <w:t>.</w:t>
      </w:r>
    </w:p>
    <w:p>
      <w:pPr>
        <w:spacing w:after="0" w:line="224" w:lineRule="exact"/>
        <w:rPr>
          <w:sz w:val="24"/>
          <w:szCs w:val="24"/>
          <w:color w:val="auto"/>
        </w:rPr>
      </w:pPr>
    </w:p>
    <w:p>
      <w:pPr>
        <w:ind w:left="320" w:hanging="298"/>
        <w:spacing w:after="0"/>
        <w:tabs>
          <w:tab w:leader="none" w:pos="3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Previous independent accountants.</w:t>
      </w:r>
    </w:p>
    <w:p>
      <w:pPr>
        <w:spacing w:after="0" w:line="287" w:lineRule="exact"/>
        <w:rPr>
          <w:rFonts w:ascii="Times New Roman" w:cs="Times New Roman" w:eastAsia="Times New Roman" w:hAnsi="Times New Roman"/>
          <w:sz w:val="22"/>
          <w:szCs w:val="22"/>
          <w:color w:val="auto"/>
        </w:rPr>
      </w:pPr>
    </w:p>
    <w:p>
      <w:pPr>
        <w:ind w:left="1240" w:right="2419" w:hanging="516"/>
        <w:spacing w:after="0" w:line="244" w:lineRule="auto"/>
        <w:tabs>
          <w:tab w:leader="none" w:pos="1240"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May 10, 2002, Vail Resorts, Inc. ("Vail Resorts") dismissed Arthur Andersen LLP, which had previously served as independent accountants for Vail Resorts.</w:t>
      </w:r>
    </w:p>
    <w:p>
      <w:pPr>
        <w:spacing w:after="0" w:line="254" w:lineRule="exact"/>
        <w:rPr>
          <w:rFonts w:ascii="Times New Roman" w:cs="Times New Roman" w:eastAsia="Times New Roman" w:hAnsi="Times New Roman"/>
          <w:sz w:val="22"/>
          <w:szCs w:val="22"/>
          <w:color w:val="auto"/>
        </w:rPr>
      </w:pPr>
    </w:p>
    <w:p>
      <w:pPr>
        <w:ind w:left="1240" w:right="2299" w:hanging="516"/>
        <w:spacing w:after="0" w:line="255" w:lineRule="auto"/>
        <w:tabs>
          <w:tab w:leader="none" w:pos="1240"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reports of Arthur Andersen LLP on the consolidated financial statements of Vail Resorts as of and for the fiscal years ended July 31, 2001 and 2000 contained no adverse opinion or disclaimer of opinion and were not qualified or modified as to uncertainty, audit scope or accounting principles.</w:t>
      </w:r>
    </w:p>
    <w:p>
      <w:pPr>
        <w:spacing w:after="0" w:line="243" w:lineRule="exact"/>
        <w:rPr>
          <w:rFonts w:ascii="Times New Roman" w:cs="Times New Roman" w:eastAsia="Times New Roman" w:hAnsi="Times New Roman"/>
          <w:sz w:val="21"/>
          <w:szCs w:val="21"/>
          <w:color w:val="auto"/>
        </w:rPr>
      </w:pPr>
    </w:p>
    <w:p>
      <w:pPr>
        <w:ind w:left="1240" w:right="2499" w:hanging="516"/>
        <w:spacing w:after="0" w:line="282" w:lineRule="auto"/>
        <w:tabs>
          <w:tab w:leader="none" w:pos="1240"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change in independent accountants was recommended by Vail Resorts' Audit Committee and approved by Vail Resorts' Board of Directors.</w:t>
      </w:r>
    </w:p>
    <w:p>
      <w:pPr>
        <w:spacing w:after="0" w:line="215" w:lineRule="exact"/>
        <w:rPr>
          <w:rFonts w:ascii="Times New Roman" w:cs="Times New Roman" w:eastAsia="Times New Roman" w:hAnsi="Times New Roman"/>
          <w:sz w:val="21"/>
          <w:szCs w:val="21"/>
          <w:color w:val="auto"/>
        </w:rPr>
      </w:pPr>
    </w:p>
    <w:p>
      <w:pPr>
        <w:ind w:left="1240" w:right="2139" w:hanging="516"/>
        <w:spacing w:after="0" w:line="235" w:lineRule="auto"/>
        <w:tabs>
          <w:tab w:leader="none" w:pos="1240"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its audit for the fiscal years ended July 31, 2001 and 2000, and for the interim period from August 1, 2001 through May 10, 2002, there were no disagreements with Arthur Andersen LLP on any matter of accounting principles or practices, financial statement disclosure, or auditing scope or procedure, which disagreements, if not resolved to the satisfaction of Arthur Andersen LLP, would have caused Arthur Andersen LLP to make reference to such disagreements in its report on the consolidated financial statements for such years.</w:t>
      </w:r>
    </w:p>
    <w:p>
      <w:pPr>
        <w:sectPr>
          <w:pgSz w:w="11900" w:h="16866" w:orient="portrait"/>
          <w:cols w:equalWidth="0" w:num="1">
            <w:col w:w="10219"/>
          </w:cols>
          <w:pgMar w:left="240" w:top="216" w:right="1440" w:bottom="0" w:gutter="0" w:footer="0" w:header="0"/>
          <w:type w:val="continuous"/>
        </w:sectPr>
      </w:pPr>
    </w:p>
    <w:bookmarkStart w:id="1" w:name="page2"/>
    <w:bookmarkEnd w:id="1"/>
    <w:p>
      <w:pPr>
        <w:ind w:left="1240" w:right="3340" w:hanging="516"/>
        <w:spacing w:after="0" w:line="239" w:lineRule="auto"/>
        <w:tabs>
          <w:tab w:leader="none" w:pos="12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fiscal years ended July 31, 2001 and 2000, and for the interim period from August 1, 2001 through May 10, 2002, there were no "reportable events" as that term is defined in Item 304 (a)(1)(v) of Regulation S-K of the Securities and Exchange Commission ("the SEC").</w:t>
      </w:r>
    </w:p>
    <w:p>
      <w:pPr>
        <w:spacing w:after="0" w:line="261" w:lineRule="exact"/>
        <w:rPr>
          <w:rFonts w:ascii="Times New Roman" w:cs="Times New Roman" w:eastAsia="Times New Roman" w:hAnsi="Times New Roman"/>
          <w:sz w:val="22"/>
          <w:szCs w:val="22"/>
          <w:color w:val="auto"/>
        </w:rPr>
      </w:pPr>
    </w:p>
    <w:p>
      <w:pPr>
        <w:ind w:left="1240" w:right="3260" w:hanging="516"/>
        <w:spacing w:after="0" w:line="239" w:lineRule="auto"/>
        <w:tabs>
          <w:tab w:leader="none" w:pos="124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Vail Resorts has requested that Arthur Andersen LLP furnish it with a letter addressed to the SEC stating whether or not Arthur Andersen LLP agrees with the above statements. A copy of this letter, dated May 17, 2002, is filed as Exhibit 16 to this Form 8-K/A.</w:t>
      </w:r>
    </w:p>
    <w:p>
      <w:pPr>
        <w:spacing w:after="0" w:line="261" w:lineRule="exact"/>
        <w:rPr>
          <w:rFonts w:ascii="Times New Roman" w:cs="Times New Roman" w:eastAsia="Times New Roman" w:hAnsi="Times New Roman"/>
          <w:sz w:val="22"/>
          <w:szCs w:val="22"/>
          <w:color w:val="auto"/>
        </w:rPr>
      </w:pPr>
    </w:p>
    <w:p>
      <w:pPr>
        <w:ind w:left="320" w:hanging="298"/>
        <w:spacing w:after="0"/>
        <w:tabs>
          <w:tab w:leader="none" w:pos="3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independent accountants.</w:t>
      </w:r>
    </w:p>
    <w:p>
      <w:pPr>
        <w:spacing w:after="0" w:line="287" w:lineRule="exact"/>
        <w:rPr>
          <w:sz w:val="20"/>
          <w:szCs w:val="20"/>
          <w:color w:val="auto"/>
        </w:rPr>
      </w:pPr>
    </w:p>
    <w:p>
      <w:pPr>
        <w:ind w:left="560" w:right="3180"/>
        <w:spacing w:after="0" w:line="236" w:lineRule="auto"/>
        <w:rPr>
          <w:sz w:val="20"/>
          <w:szCs w:val="20"/>
          <w:color w:val="auto"/>
        </w:rPr>
      </w:pPr>
      <w:r>
        <w:rPr>
          <w:rFonts w:ascii="Times New Roman" w:cs="Times New Roman" w:eastAsia="Times New Roman" w:hAnsi="Times New Roman"/>
          <w:sz w:val="22"/>
          <w:szCs w:val="22"/>
          <w:color w:val="auto"/>
        </w:rPr>
        <w:t>Effective May 10, 2002, Vail Resorts appointed PricewaterhouseCoopers LLP as its new independent accountants. The appointment of PricewaterhouseCoopers LLP was recommended by Vail Resorts' Audit Committee and approved by Vail Resorts' Board of Directors. During the fiscal years ended July 31, 2001 and 2000, and in the interim period from August 1, 2001 through May 10, 2002, Vail Resorts has not consulted with PricewaterhouseCoopers LLP regarding either:</w:t>
      </w:r>
    </w:p>
    <w:p>
      <w:pPr>
        <w:spacing w:after="0" w:line="263" w:lineRule="exact"/>
        <w:rPr>
          <w:sz w:val="20"/>
          <w:szCs w:val="20"/>
          <w:color w:val="auto"/>
        </w:rPr>
      </w:pPr>
    </w:p>
    <w:p>
      <w:pPr>
        <w:ind w:left="980" w:right="3180" w:hanging="418"/>
        <w:spacing w:after="0" w:line="236" w:lineRule="auto"/>
        <w:tabs>
          <w:tab w:leader="none" w:pos="9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application of accounting principles to a specified transaction, either completed or proposed, or the type of audit opinion that might be rendered on Vail Resorts' financial statements, and neither a written report was provided to Vail Resorts nor oral advice was provided that PricewaterhouseCoopers LLP concluded was an important factor considered by Vail Resorts in reaching a decision as to the accounting, auditing or financial reporting issue; or</w:t>
      </w:r>
    </w:p>
    <w:p>
      <w:pPr>
        <w:spacing w:after="0" w:line="263" w:lineRule="exact"/>
        <w:rPr>
          <w:rFonts w:ascii="Times New Roman" w:cs="Times New Roman" w:eastAsia="Times New Roman" w:hAnsi="Times New Roman"/>
          <w:sz w:val="22"/>
          <w:szCs w:val="22"/>
          <w:color w:val="auto"/>
        </w:rPr>
      </w:pPr>
    </w:p>
    <w:p>
      <w:pPr>
        <w:ind w:left="980" w:right="3200" w:hanging="418"/>
        <w:spacing w:after="0" w:line="249" w:lineRule="auto"/>
        <w:tabs>
          <w:tab w:leader="none" w:pos="98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matter that was either the subject of a disagreement, as that term is defined in Item 304 (a)(1)(iv) of Regulation S-K and the related instructions to Item 304 of Regulation S-K, or a "reportable event", as that term is defined in Item 304 (a)(1)</w:t>
      </w:r>
    </w:p>
    <w:p>
      <w:pPr>
        <w:spacing w:after="0" w:line="1" w:lineRule="exact"/>
        <w:rPr>
          <w:rFonts w:ascii="Times New Roman" w:cs="Times New Roman" w:eastAsia="Times New Roman" w:hAnsi="Times New Roman"/>
          <w:sz w:val="21"/>
          <w:szCs w:val="21"/>
          <w:color w:val="auto"/>
        </w:rPr>
      </w:pPr>
    </w:p>
    <w:p>
      <w:pPr>
        <w:ind w:left="98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(v) of Regulation S-K.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7. Financial Statements and Exhibits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financial statements are required to be filed with this report.</w:t>
      </w:r>
    </w:p>
    <w:p>
      <w:pPr>
        <w:spacing w:after="0" w:line="206"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pro-forma financial information is required to be filed with this report.</w:t>
      </w:r>
    </w:p>
    <w:p>
      <w:pPr>
        <w:spacing w:after="0" w:line="206" w:lineRule="exact"/>
        <w:rPr>
          <w:rFonts w:ascii="Times New Roman" w:cs="Times New Roman" w:eastAsia="Times New Roman" w:hAnsi="Times New Roman"/>
          <w:sz w:val="22"/>
          <w:szCs w:val="22"/>
          <w:color w:val="auto"/>
        </w:rPr>
      </w:pPr>
    </w:p>
    <w:p>
      <w:pPr>
        <w:ind w:left="300" w:hanging="292"/>
        <w:spacing w:after="0"/>
        <w:tabs>
          <w:tab w:leader="none" w:pos="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Exhibits. The following exhibits are filed herewith:</w:t>
      </w:r>
    </w:p>
    <w:p>
      <w:pPr>
        <w:spacing w:after="0" w:line="216" w:lineRule="exact"/>
        <w:rPr>
          <w:sz w:val="20"/>
          <w:szCs w:val="20"/>
          <w:color w:val="auto"/>
        </w:rPr>
      </w:pPr>
    </w:p>
    <w:p>
      <w:pPr>
        <w:ind w:left="20"/>
        <w:spacing w:after="0"/>
        <w:tabs>
          <w:tab w:leader="none" w:pos="1320" w:val="left"/>
        </w:tabs>
        <w:rPr>
          <w:sz w:val="20"/>
          <w:szCs w:val="20"/>
          <w:color w:val="auto"/>
        </w:rPr>
      </w:pPr>
      <w:r>
        <w:rPr>
          <w:rFonts w:ascii="Times New Roman" w:cs="Times New Roman" w:eastAsia="Times New Roman" w:hAnsi="Times New Roman"/>
          <w:sz w:val="22"/>
          <w:szCs w:val="22"/>
          <w:b w:val="1"/>
          <w:bCs w:val="1"/>
          <w:u w:val="single" w:color="auto"/>
          <w:color w:val="auto"/>
        </w:rPr>
        <w:t>Exhibit No.</w:t>
      </w:r>
      <w:r>
        <w:rPr>
          <w:sz w:val="20"/>
          <w:szCs w:val="20"/>
          <w:color w:val="auto"/>
        </w:rPr>
        <w:tab/>
      </w:r>
      <w:r>
        <w:rPr>
          <w:rFonts w:ascii="Times New Roman" w:cs="Times New Roman" w:eastAsia="Times New Roman" w:hAnsi="Times New Roman"/>
          <w:sz w:val="21"/>
          <w:szCs w:val="21"/>
          <w:b w:val="1"/>
          <w:bCs w:val="1"/>
          <w:u w:val="single" w:color="auto"/>
          <w:color w:val="auto"/>
        </w:rPr>
        <w:t>Description</w:t>
      </w:r>
    </w:p>
    <w:p>
      <w:pPr>
        <w:spacing w:after="0" w:line="34" w:lineRule="exact"/>
        <w:rPr>
          <w:sz w:val="20"/>
          <w:szCs w:val="20"/>
          <w:color w:val="auto"/>
        </w:rPr>
      </w:pPr>
    </w:p>
    <w:p>
      <w:pPr>
        <w:ind w:left="1340" w:right="4040" w:hanging="1318"/>
        <w:spacing w:after="0" w:line="246" w:lineRule="auto"/>
        <w:tabs>
          <w:tab w:leader="none" w:pos="13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from Arthur Andersen LLP, dated May 17, 2002, re change in Certifying Accountant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May 24, 2002</w:t>
      </w:r>
    </w:p>
    <w:p>
      <w:pPr>
        <w:spacing w:after="0" w:line="301"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2"/>
          <w:szCs w:val="22"/>
          <w:color w:val="auto"/>
        </w:rPr>
        <w:t>VAIL RESORTS,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7780" w:type="dxa"/>
        <w:tblCellMar>
          <w:top w:w="0" w:type="dxa"/>
          <w:left w:w="0" w:type="dxa"/>
          <w:bottom w:w="0" w:type="dxa"/>
          <w:right w:w="0" w:type="dxa"/>
        </w:tblCellMar>
      </w:tblPr>
      <w:tr>
        <w:trPr>
          <w:trHeight w:val="253"/>
        </w:trPr>
        <w:tc>
          <w:tcPr>
            <w:tcW w:w="320" w:type="dxa"/>
            <w:vAlign w:val="bottom"/>
          </w:tcPr>
          <w:p>
            <w:pPr>
              <w:spacing w:after="0"/>
              <w:rPr>
                <w:sz w:val="20"/>
                <w:szCs w:val="20"/>
                <w:color w:val="auto"/>
              </w:rPr>
            </w:pPr>
            <w:r>
              <w:rPr>
                <w:rFonts w:ascii="Times New Roman" w:cs="Times New Roman" w:eastAsia="Times New Roman" w:hAnsi="Times New Roman"/>
                <w:sz w:val="22"/>
                <w:szCs w:val="22"/>
                <w:color w:val="auto"/>
                <w:w w:val="94"/>
              </w:rPr>
              <w:t>By:</w:t>
            </w:r>
          </w:p>
        </w:tc>
        <w:tc>
          <w:tcPr>
            <w:tcW w:w="3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22"/>
                <w:szCs w:val="22"/>
                <w:color w:val="auto"/>
              </w:rPr>
              <w:t>/s/ James P. Donohue</w:t>
            </w:r>
          </w:p>
        </w:tc>
      </w:tr>
      <w:tr>
        <w:trPr>
          <w:trHeight w:val="465"/>
        </w:trPr>
        <w:tc>
          <w:tcPr>
            <w:tcW w:w="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Name:</w:t>
            </w:r>
          </w:p>
        </w:tc>
        <w:tc>
          <w:tcPr>
            <w:tcW w:w="280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James P. Donohue</w:t>
            </w:r>
          </w:p>
        </w:tc>
      </w:tr>
      <w:tr>
        <w:trPr>
          <w:trHeight w:val="432"/>
        </w:trPr>
        <w:tc>
          <w:tcPr>
            <w:tcW w:w="7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w:t>
            </w:r>
          </w:p>
        </w:tc>
        <w:tc>
          <w:tcPr>
            <w:tcW w:w="280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Senior Vice President</w:t>
            </w:r>
          </w:p>
        </w:tc>
      </w:tr>
    </w:tbl>
    <w:p>
      <w:pPr>
        <w:sectPr>
          <w:pgSz w:w="11900" w:h="16838" w:orient="portrait"/>
          <w:cols w:equalWidth="0" w:num="1">
            <w:col w:w="11280"/>
          </w:cols>
          <w:pgMar w:left="240" w:top="382" w:right="379" w:bottom="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22"/>
          <w:szCs w:val="22"/>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1300" w:val="left"/>
          <w:tab w:leader="none" w:pos="7340" w:val="left"/>
        </w:tabs>
        <w:rPr>
          <w:sz w:val="20"/>
          <w:szCs w:val="20"/>
          <w:color w:val="auto"/>
        </w:rPr>
      </w:pPr>
      <w:r>
        <w:rPr>
          <w:rFonts w:ascii="Times New Roman" w:cs="Times New Roman" w:eastAsia="Times New Roman" w:hAnsi="Times New Roman"/>
          <w:sz w:val="22"/>
          <w:szCs w:val="22"/>
          <w:b w:val="1"/>
          <w:bCs w:val="1"/>
          <w:u w:val="single" w:color="auto"/>
          <w:color w:val="auto"/>
        </w:rPr>
        <w:t>Exhibit No.</w:t>
        <w:tab/>
        <w:t>Description</w:t>
      </w:r>
      <w:r>
        <w:rPr>
          <w:sz w:val="20"/>
          <w:szCs w:val="20"/>
          <w:color w:val="auto"/>
        </w:rPr>
        <w:tab/>
      </w:r>
      <w:r>
        <w:rPr>
          <w:rFonts w:ascii="Times New Roman" w:cs="Times New Roman" w:eastAsia="Times New Roman" w:hAnsi="Times New Roman"/>
          <w:sz w:val="21"/>
          <w:szCs w:val="21"/>
          <w:b w:val="1"/>
          <w:bCs w:val="1"/>
          <w:u w:val="single" w:color="auto"/>
          <w:color w:val="auto"/>
        </w:rPr>
        <w:t>Page No.</w:t>
      </w:r>
    </w:p>
    <w:p>
      <w:pPr>
        <w:spacing w:after="0" w:line="34" w:lineRule="exact"/>
        <w:rPr>
          <w:sz w:val="20"/>
          <w:szCs w:val="20"/>
          <w:color w:val="auto"/>
        </w:rPr>
      </w:pPr>
    </w:p>
    <w:p>
      <w:pPr>
        <w:ind w:left="1320" w:right="3480" w:hanging="1318"/>
        <w:spacing w:after="0" w:line="246" w:lineRule="auto"/>
        <w:tabs>
          <w:tab w:leader="none" w:pos="1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 from Arthur Andersen LLP, dated May 17, 2002, re change in 6 Certifying Accountant</w:t>
      </w:r>
    </w:p>
    <w:p>
      <w:pPr>
        <w:sectPr>
          <w:pgSz w:w="11900" w:h="16838" w:orient="portrait"/>
          <w:cols w:equalWidth="0" w:num="1">
            <w:col w:w="10960"/>
          </w:cols>
          <w:pgMar w:left="260" w:top="126" w:right="6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Office of the Chief Accountant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 Fifth Street, N.W.</w:t>
      </w: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May 17, 2002</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Sir/Madam:</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We have read the paragraphs included in Item 4a included in the Form 8-K dated May 10, 2002 of Vail Resorts, Inc. filed with the Securities and Exchange Commission and are in agreement with the statements contained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Arthur Andersen LLP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Copy to: James P. Donohue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Vail Resorts, Inc.</w:t>
      </w:r>
    </w:p>
    <w:sectPr>
      <w:pgSz w:w="11900" w:h="16838" w:orient="portrait"/>
      <w:cols w:equalWidth="0" w:num="1">
        <w:col w:w="11240"/>
      </w:cols>
      <w:pgMar w:left="240" w:top="112"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lvl w:ilvl="1">
      <w:lvlJc w:val="left"/>
      <w:lvlText w:val="(%2)"/>
      <w:numFmt w:val="lowerRoman"/>
      <w:start w:val="1"/>
    </w:lvl>
  </w:abstractNum>
  <w:abstractNum w:abstractNumId="1">
    <w:nsid w:val="238E1F29"/>
    <w:multiLevelType w:val="hybridMultilevel"/>
    <w:lvl w:ilvl="0">
      <w:lvlJc w:val="left"/>
      <w:lvlText w:val="%1"/>
      <w:numFmt w:val="lowerLetter"/>
      <w:start w:val="1"/>
    </w:lvl>
    <w:lvl w:ilvl="1">
      <w:lvlJc w:val="left"/>
      <w:lvlText w:val="(%2)"/>
      <w:numFmt w:val="lowerRoman"/>
      <w:start w:val="5"/>
    </w:lvl>
  </w:abstractNum>
  <w:abstractNum w:abstractNumId="2">
    <w:nsid w:val="46E87CCD"/>
    <w:multiLevelType w:val="hybridMultilevel"/>
    <w:lvl w:ilvl="0">
      <w:lvlJc w:val="left"/>
      <w:lvlText w:val="(%1)"/>
      <w:numFmt w:val="lowerLetter"/>
      <w:start w:val="2"/>
    </w:lvl>
    <w:lvl w:ilvl="1">
      <w:lvlJc w:val="left"/>
      <w:lvlText w:val="%2"/>
      <w:numFmt w:val="lowerRoman"/>
      <w:start w:val="1"/>
    </w:lvl>
  </w:abstractNum>
  <w:abstractNum w:abstractNumId="3">
    <w:nsid w:val="3D1B58BA"/>
    <w:multiLevelType w:val="hybridMultilevel"/>
    <w:lvl w:ilvl="0">
      <w:lvlJc w:val="left"/>
      <w:lvlText w:val="(%1)"/>
      <w:numFmt w:val="lowerRoman"/>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6"/>
    </w:lvl>
  </w:abstractNum>
  <w:abstractNum w:abstractNumId="6">
    <w:nsid w:val="41B71EFB"/>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2019-12-19T21:51:36Z</dcterms:created>
  <dcterms:modified xsi:type="dcterms:W3CDTF">2019-12-19T21:51:36Z</dcterms:modified>
</cp:coreProperties>
</file>