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April 23, 2026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u w:val="single" w:color="auto"/>
          <w:color w:val="auto"/>
        </w:rPr>
        <w:t>Vail Resorts, Inc.</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358"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60" w:type="dxa"/>
            <w:vAlign w:val="bottom"/>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001-09614</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0" w:type="dxa"/>
            <w:vAlign w:val="bottom"/>
          </w:tcPr>
          <w:p>
            <w:pPr>
              <w:jc w:val="right"/>
              <w:ind w:right="1241"/>
              <w:spacing w:after="0"/>
              <w:rPr>
                <w:sz w:val="20"/>
                <w:szCs w:val="20"/>
                <w:color w:val="auto"/>
              </w:rPr>
            </w:pPr>
            <w:r>
              <w:rPr>
                <w:rFonts w:ascii="Times New Roman" w:cs="Times New Roman" w:eastAsia="Times New Roman" w:hAnsi="Times New Roman"/>
                <w:sz w:val="18"/>
                <w:szCs w:val="18"/>
                <w:b w:val="1"/>
                <w:bCs w:val="1"/>
                <w:color w:val="auto"/>
              </w:rPr>
              <w:t>51-0291762</w:t>
            </w:r>
          </w:p>
        </w:tc>
      </w:tr>
      <w:tr>
        <w:trPr>
          <w:trHeight w:val="133"/>
        </w:trPr>
        <w:tc>
          <w:tcPr>
            <w:tcW w:w="3040" w:type="dxa"/>
            <w:vAlign w:val="bottom"/>
            <w:tcBorders>
              <w:top w:val="single" w:sz="8" w:color="auto"/>
            </w:tcBorders>
            <w:gridSpan w:val="2"/>
          </w:tcPr>
          <w:p>
            <w:pPr>
              <w:jc w:val="center"/>
              <w:ind w:left="419"/>
              <w:spacing w:after="0" w:line="13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0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940" w:type="dxa"/>
            <w:vAlign w:val="bottom"/>
            <w:tcBorders>
              <w:top w:val="single" w:sz="8" w:color="auto"/>
            </w:tcBorders>
          </w:tcPr>
          <w:p>
            <w:pPr>
              <w:ind w:left="560"/>
              <w:spacing w:after="0" w:line="133" w:lineRule="exact"/>
              <w:rPr>
                <w:sz w:val="20"/>
                <w:szCs w:val="20"/>
                <w:color w:val="auto"/>
              </w:rPr>
            </w:pPr>
            <w:r>
              <w:rPr>
                <w:rFonts w:ascii="Times New Roman" w:cs="Times New Roman" w:eastAsia="Times New Roman" w:hAnsi="Times New Roman"/>
                <w:sz w:val="14"/>
                <w:szCs w:val="14"/>
                <w:color w:val="auto"/>
              </w:rPr>
              <w:t>(Commission</w:t>
            </w:r>
          </w:p>
        </w:tc>
        <w:tc>
          <w:tcPr>
            <w:tcW w:w="5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0" w:type="dxa"/>
            <w:vAlign w:val="bottom"/>
            <w:tcBorders>
              <w:top w:val="single" w:sz="8" w:color="auto"/>
            </w:tcBorders>
          </w:tcPr>
          <w:p>
            <w:pPr>
              <w:jc w:val="center"/>
              <w:ind w:right="621"/>
              <w:spacing w:after="0" w:line="133"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18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File Number)</w:t>
            </w:r>
          </w:p>
        </w:tc>
        <w:tc>
          <w:tcPr>
            <w:tcW w:w="2800" w:type="dxa"/>
            <w:vAlign w:val="bottom"/>
          </w:tcPr>
          <w:p>
            <w:pPr>
              <w:jc w:val="center"/>
              <w:ind w:right="64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47"/>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rPr>
              <w:t>390 Interlocken Crescent</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8"/>
        </w:trPr>
        <w:tc>
          <w:tcPr>
            <w:tcW w:w="304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5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80021</w:t>
            </w:r>
          </w:p>
        </w:tc>
      </w:tr>
      <w:tr>
        <w:trPr>
          <w:trHeight w:val="182"/>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0" w:type="dxa"/>
            <w:vAlign w:val="bottom"/>
          </w:tcPr>
          <w:p>
            <w:pPr>
              <w:jc w:val="center"/>
              <w:ind w:right="641"/>
              <w:spacing w:after="0"/>
              <w:rPr>
                <w:sz w:val="20"/>
                <w:szCs w:val="20"/>
                <w:color w:val="auto"/>
              </w:rPr>
            </w:pPr>
            <w:r>
              <w:rPr>
                <w:rFonts w:ascii="Times New Roman" w:cs="Times New Roman" w:eastAsia="Times New Roman" w:hAnsi="Times New Roman"/>
                <w:sz w:val="14"/>
                <w:szCs w:val="14"/>
                <w:color w:val="auto"/>
              </w:rPr>
              <w:t>(Zip Code)</w:t>
            </w:r>
          </w:p>
        </w:tc>
      </w:tr>
      <w:tr>
        <w:trPr>
          <w:trHeight w:val="406"/>
        </w:trPr>
        <w:tc>
          <w:tcPr>
            <w:tcW w:w="2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(303) 404-1800</w:t>
            </w: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r>
      <w:tr>
        <w:trPr>
          <w:trHeight w:val="250"/>
        </w:trPr>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800" w:type="dxa"/>
            <w:vAlign w:val="bottom"/>
          </w:tcPr>
          <w:p>
            <w:pPr>
              <w:spacing w:after="0"/>
              <w:rPr>
                <w:sz w:val="21"/>
                <w:szCs w:val="21"/>
                <w:color w:val="auto"/>
              </w:rPr>
            </w:pPr>
          </w:p>
        </w:tc>
      </w:tr>
    </w:tbl>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279400</wp:posOffset>
            </wp:positionH>
            <wp:positionV relativeFrom="paragraph">
              <wp:posOffset>33655</wp:posOffset>
            </wp:positionV>
            <wp:extent cx="6591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(Former Name or Former Address, if Changed Since Last Report)</w:t>
      </w:r>
    </w:p>
    <w:p>
      <w:pPr>
        <w:spacing w:after="0" w:line="35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materials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80" w:firstLine="8"/>
        <w:spacing w:after="0" w:line="394"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3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23, 2026, Vail Resorts, Inc. issued a press release which reported certain ski season metrics for the season-to-date period ended April 19, 2026. A copy of the press release is being furnished as Exhibit 99.1 to this Current Report on Form 8-K and is incorporated herein by reference.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7.01, including Exhibit 99.1, shall not be deemed to be “filed” for the purposes of Section 18 of the Securities Exchange Act of 1934, as amended, and will not be incorporated by reference into any registration statement filed under the Securities Act of 1933, as amended, unless specifically identified therein as being incorporated therein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340" w:type="dxa"/>
            <w:vAlign w:val="bottom"/>
          </w:tcPr>
          <w:p>
            <w:pPr>
              <w:spacing w:after="0"/>
              <w:rPr>
                <w:sz w:val="17"/>
                <w:szCs w:val="17"/>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8"/>
                <w:szCs w:val="18"/>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April 23, 2026, reporting certain ski season metrics for the season-to-date period ended April 19, 2026.</w:t>
            </w:r>
          </w:p>
        </w:tc>
      </w:tr>
      <w:tr>
        <w:trPr>
          <w:trHeight w:val="250"/>
        </w:trPr>
        <w:tc>
          <w:tcPr>
            <w:tcW w:w="12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1"/>
                <w:szCs w:val="21"/>
                <w:color w:val="auto"/>
              </w:rPr>
            </w:pPr>
          </w:p>
        </w:tc>
        <w:tc>
          <w:tcPr>
            <w:tcW w:w="89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740" w:type="dxa"/>
            <w:vAlign w:val="bottom"/>
          </w:tcPr>
          <w:p>
            <w:pPr>
              <w:spacing w:after="0"/>
              <w:rPr>
                <w:sz w:val="21"/>
                <w:szCs w:val="21"/>
                <w:color w:val="auto"/>
              </w:rPr>
            </w:pPr>
          </w:p>
        </w:tc>
      </w:tr>
      <w:tr>
        <w:trPr>
          <w:trHeight w:val="1208"/>
        </w:trPr>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Vail Resorts, Inc.</w:t>
            </w:r>
          </w:p>
        </w:tc>
      </w:tr>
      <w:tr>
        <w:trPr>
          <w:trHeight w:val="40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2026</w:t>
            </w:r>
          </w:p>
        </w:tc>
        <w:tc>
          <w:tcPr>
            <w:tcW w:w="2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Angela A. Korch</w:t>
            </w:r>
          </w:p>
        </w:tc>
      </w:tr>
      <w:tr>
        <w:trPr>
          <w:trHeight w:val="218"/>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Angela A. Korch</w:t>
            </w:r>
          </w:p>
        </w:tc>
      </w:tr>
      <w:tr>
        <w:trPr>
          <w:trHeight w:val="234"/>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ectPr>
          <w:pgSz w:w="11900" w:h="16838" w:orient="portrait"/>
          <w:cols w:equalWidth="0" w:num="1">
            <w:col w:w="11240"/>
          </w:cols>
          <w:pgMar w:left="320" w:top="113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3720465" cy="668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7204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Vail Resorts Contacts: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Connie Wang, </w:t>
      </w:r>
      <w:r>
        <w:rPr>
          <w:rFonts w:ascii="Times New Roman" w:cs="Times New Roman" w:eastAsia="Times New Roman" w:hAnsi="Times New Roman"/>
          <w:sz w:val="18"/>
          <w:szCs w:val="18"/>
          <w:u w:val="single" w:color="auto"/>
          <w:color w:val="0000FF"/>
        </w:rPr>
        <w:t>InvestorRelations@vailresorts.com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Sara Olson, </w:t>
      </w:r>
      <w:r>
        <w:rPr>
          <w:rFonts w:ascii="Times New Roman" w:cs="Times New Roman" w:eastAsia="Times New Roman" w:hAnsi="Times New Roman"/>
          <w:sz w:val="18"/>
          <w:szCs w:val="18"/>
          <w:u w:val="single" w:color="auto"/>
          <w:color w:val="0000FF"/>
        </w:rPr>
        <w:t>News@vailresorts.com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Vail Resorts Reports Certain Ski Season Metrics for the Season-to-Date Period Ended April 19, 2026</w:t>
      </w:r>
    </w:p>
    <w:p>
      <w:pPr>
        <w:spacing w:after="0" w:line="263" w:lineRule="exact"/>
        <w:rPr>
          <w:sz w:val="20"/>
          <w:szCs w:val="20"/>
          <w:color w:val="auto"/>
        </w:rPr>
      </w:pPr>
    </w:p>
    <w:p>
      <w:pPr>
        <w:jc w:val="both"/>
        <w:ind w:firstLine="648"/>
        <w:spacing w:after="0" w:line="363" w:lineRule="auto"/>
        <w:rPr>
          <w:sz w:val="20"/>
          <w:szCs w:val="20"/>
          <w:color w:val="auto"/>
        </w:rPr>
      </w:pPr>
      <w:r>
        <w:rPr>
          <w:rFonts w:ascii="Times New Roman" w:cs="Times New Roman" w:eastAsia="Times New Roman" w:hAnsi="Times New Roman"/>
          <w:sz w:val="18"/>
          <w:szCs w:val="18"/>
          <w:color w:val="auto"/>
        </w:rPr>
        <w:t>BROOMFIELD, Colo. – April 23, 2026 - Vail Resorts, Inc. (NYSE: MTN) today reported certain ski season metrics from the beginning of the ski season through April 19, 2026 compared to the same prior year period through April 20, 2025. The reported ski season metrics are for the Company’s North American destination mountain resorts and regional ski areas, excluding the results of the Australian and European resorts and ski areas. The data mentioned in this release is interim period data and is subject to fiscal quarter end review and adjustments.</w:t>
      </w:r>
    </w:p>
    <w:p>
      <w:pPr>
        <w:spacing w:after="0" w:line="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Season-to-date total skier visits were down 14.9% compared to the prior year period.</w:t>
      </w:r>
    </w:p>
    <w:p>
      <w:pPr>
        <w:spacing w:after="0" w:line="102" w:lineRule="exact"/>
        <w:rPr>
          <w:rFonts w:ascii="Arial" w:cs="Arial" w:eastAsia="Arial" w:hAnsi="Arial"/>
          <w:sz w:val="18"/>
          <w:szCs w:val="18"/>
          <w:color w:val="auto"/>
        </w:rPr>
      </w:pPr>
    </w:p>
    <w:p>
      <w:pPr>
        <w:ind w:left="660" w:right="20" w:hanging="328"/>
        <w:spacing w:after="0" w:line="35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Season-to-date total lift revenue, including an allocated portion of season pass revenue for each applicable period, was down 5.6% compared to the prior year period.</w:t>
      </w:r>
    </w:p>
    <w:p>
      <w:pPr>
        <w:spacing w:after="0" w:line="1" w:lineRule="exact"/>
        <w:rPr>
          <w:rFonts w:ascii="Times New Roman" w:cs="Times New Roman" w:eastAsia="Times New Roman" w:hAnsi="Times New Roman"/>
          <w:sz w:val="18"/>
          <w:szCs w:val="18"/>
          <w:color w:val="auto"/>
        </w:rPr>
      </w:pPr>
    </w:p>
    <w:p>
      <w:pPr>
        <w:ind w:left="660" w:right="20" w:hanging="328"/>
        <w:spacing w:after="0" w:line="367"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Season-to-date ski school revenue was down 12.0% and dining revenue was down 11.7% compared to the prior year period. Retail/rental revenue for North American resort and ski area store locations was down 6.6% compared to the prior year period.</w:t>
      </w:r>
    </w:p>
    <w:p>
      <w:pPr>
        <w:jc w:val="both"/>
        <w:ind w:firstLine="648"/>
        <w:spacing w:after="0" w:line="362" w:lineRule="auto"/>
        <w:rPr>
          <w:sz w:val="20"/>
          <w:szCs w:val="20"/>
          <w:color w:val="auto"/>
        </w:rPr>
      </w:pPr>
      <w:r>
        <w:rPr>
          <w:rFonts w:ascii="Times New Roman" w:cs="Times New Roman" w:eastAsia="Times New Roman" w:hAnsi="Times New Roman"/>
          <w:sz w:val="18"/>
          <w:szCs w:val="18"/>
          <w:color w:val="auto"/>
        </w:rPr>
        <w:t>Commenting on the season-to-date metrics, Rob Katz, Chief Executive Officer said, “The winter of 2025/2026 has been one of the most challenging winters in history across the western U.S., with record low snowfall and historically warm temperatures negatively impacting visitation and spending throughout the season. March conditions saw a continuation of low snowfall and warmer temperatures well outside of historical norms, leading to weaker late-season visitation and earlier than planned closures for many resorts across the western U.S. As we previously highlighted heading into March, these dynamics increased variability and resulted in visitation declines for both destination and local guests with the largest impact in the Rockies, where visitation declined 25%. As a result of these persistently challenging conditions, we now expect Resort Reported EBITDA for fiscal 2026 to be at or around the low end of the guidance range issued on March 9, 2026.”</w:t>
      </w:r>
    </w:p>
    <w:p>
      <w:pPr>
        <w:spacing w:after="0" w:line="2" w:lineRule="exact"/>
        <w:rPr>
          <w:sz w:val="20"/>
          <w:szCs w:val="20"/>
          <w:color w:val="auto"/>
        </w:rPr>
      </w:pPr>
    </w:p>
    <w:p>
      <w:pPr>
        <w:jc w:val="both"/>
        <w:ind w:firstLine="648"/>
        <w:spacing w:after="0" w:line="328" w:lineRule="auto"/>
        <w:rPr>
          <w:sz w:val="20"/>
          <w:szCs w:val="20"/>
          <w:color w:val="auto"/>
        </w:rPr>
      </w:pPr>
      <w:r>
        <w:rPr>
          <w:rFonts w:ascii="Times New Roman" w:cs="Times New Roman" w:eastAsia="Times New Roman" w:hAnsi="Times New Roman"/>
          <w:sz w:val="18"/>
          <w:szCs w:val="18"/>
          <w:color w:val="auto"/>
        </w:rPr>
        <w:t>Regarding spring season North American pass sales results, Katz noted, “Spring pass sales for the 2026/2027 season are underway, and through the April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deadline, we have a seen a moderate decline in pass product units and a slight decline in sales dollars. It is early in the selling period, with our first pricing deadline in May, and we will provide a more comprehensive update on pass sales trends when we report third quarter results in June 2026.”</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29" w:lineRule="exact"/>
        <w:rPr>
          <w:sz w:val="20"/>
          <w:szCs w:val="20"/>
          <w:color w:val="auto"/>
        </w:rPr>
      </w:pPr>
    </w:p>
    <w:p>
      <w:pPr>
        <w:jc w:val="both"/>
        <w:ind w:firstLine="648"/>
        <w:spacing w:after="0" w:line="375" w:lineRule="auto"/>
        <w:rPr>
          <w:sz w:val="20"/>
          <w:szCs w:val="20"/>
          <w:color w:val="auto"/>
        </w:rPr>
      </w:pPr>
      <w:r>
        <w:rPr>
          <w:rFonts w:ascii="Times New Roman" w:cs="Times New Roman" w:eastAsia="Times New Roman" w:hAnsi="Times New Roman"/>
          <w:sz w:val="18"/>
          <w:szCs w:val="18"/>
          <w:color w:val="auto"/>
        </w:rPr>
        <w:t>The reported ski season metrics include growth for season pass revenue based on estimated fiscal 2026 North American season pass revenue compared to fiscal 2025 North American season pass revenue. The metrics include all North American destination mountain resorts and regional ski areas and are adjusted to eliminate the impact of foreign currency by applying current period exchange rates to the prior period for Whistler Blackcomb’s results.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Vail Resorts, Inc. (NYSE: MTN)</w:t>
      </w:r>
    </w:p>
    <w:p>
      <w:pPr>
        <w:spacing w:after="0" w:line="216" w:lineRule="exact"/>
        <w:rPr>
          <w:sz w:val="20"/>
          <w:szCs w:val="20"/>
          <w:color w:val="auto"/>
        </w:rPr>
      </w:pPr>
    </w:p>
    <w:p>
      <w:pPr>
        <w:jc w:val="both"/>
        <w:ind w:firstLine="648"/>
        <w:spacing w:after="0" w:line="366" w:lineRule="auto"/>
        <w:rPr>
          <w:sz w:val="20"/>
          <w:szCs w:val="20"/>
          <w:color w:val="auto"/>
        </w:rPr>
      </w:pPr>
      <w:r>
        <w:rPr>
          <w:rFonts w:ascii="Times New Roman" w:cs="Times New Roman" w:eastAsia="Times New Roman" w:hAnsi="Times New Roman"/>
          <w:sz w:val="18"/>
          <w:szCs w:val="18"/>
          <w:color w:val="auto"/>
        </w:rPr>
        <w:t>Vail Resorts is a network of the best destination and close-to-home ski resorts in the world including Vail Mountain, Breckenridge, Park City Mountain, Whistler Blackcomb, Stowe, and 32 additional resorts across North America; Andermatt-Sedrun and Crans-Montana Mountain Resort in Switzerland; and Perisher, Hotham, and Falls Creek in Australia. We are passionate about providing an Experience of a Lifetime to our team members and guests, and our EpicPromise is to reach a zero net operating footprint by 2030, support our employees and communities, and broaden engagement in our sport. Our company owns and/or manages a collection of elegant hotels under the RockResorts brand, a portfolio of vacation rentals, condominiums and branded hotels located in close proximity to our mountain destinations, as well as the Grand Teton Lodge Company in Jackson Hole, Wyo. Vail Resorts Retail operates more than 240 retail and rental locations across North America. Learn more about our company at www.VailResorts.com, or discover our resorts and pass options at www.EpicPass.com.</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16" w:lineRule="exact"/>
        <w:rPr>
          <w:sz w:val="20"/>
          <w:szCs w:val="20"/>
          <w:color w:val="auto"/>
        </w:rPr>
      </w:pPr>
    </w:p>
    <w:p>
      <w:pPr>
        <w:jc w:val="both"/>
        <w:ind w:firstLine="648"/>
        <w:spacing w:after="0" w:line="365" w:lineRule="auto"/>
        <w:rPr>
          <w:sz w:val="20"/>
          <w:szCs w:val="20"/>
          <w:color w:val="auto"/>
        </w:rPr>
      </w:pPr>
      <w:r>
        <w:rPr>
          <w:rFonts w:ascii="Times New Roman" w:cs="Times New Roman" w:eastAsia="Times New Roman" w:hAnsi="Times New Roman"/>
          <w:sz w:val="18"/>
          <w:szCs w:val="18"/>
          <w:color w:val="auto"/>
        </w:rPr>
        <w:t>Certain statements discussed in this press release, other than statements of historical information, are forward-looking statements within the meaning of the federal securities laws, including the statements regarding expected fiscal 2026 performance and the assumptions related thereto, including, but not limited to, our season-to-date metrics; expected Resort Reported EBITDA; expectations regarding weather and economic conditions, and their potential impact on our business; expectations related to our season pass products; execution of our priorities and strategies; and our expectations related to guest behavior, patterns, mix, and visitation, and their anticipated impacts on our business. Readers are cautioned not to place undue reliance on these forward-looking statements, which speak only as of the date hereof. All forward-looking statements are subject to certain risks and uncertainties that could cause actual results to differ materially from those projected. Such risks and uncertainties include but are not limited to risks related to a prolonged weakness in general economic conditions, including adverse effects on the overall travel and leisure related industries and our business and results of operations; risks associated with the effects of high or prolonged inflation, elevated interest rates and financial institution disruptions; unfavorable weather conditions or the impact of climate change, natural disasters or other events; the ultimate amount of refunds that we could be required to refund to our pass product holders for qualifying circumstances under our Epic Coverage program; the willingness or ability of our guests to travel due to terrorism, the uncertainty of military conflicts or public health emergencies, and the cost and availability of travel options and changing consumer preferences, discretionary spending habits; risks related to travel and airline disruptions, and other adverse impacts on the ability of our guests to travel; risks related to interruptions or disruptions of our information technology systems, data security or cyberattacks; risks related to our reliance on information technology, including our failure to maintain the integrity of our customer or employee data and our ability to adapt to technological developments or industry trends; our ability to acquire, develop and implement relevant technology offerings for customers and partners; the seasonality of our business combined with adverse events that may occur during our peak operating periods; competition in our mountain and lodging businesses or with other recreational and leisure activities; risks related to the high fixed cost structure of our business; our ability to fund resort capital expenditures, or accurately identify the need for, or anticipate the timing of certain capital expenditures; risks related to a disruption in our water supply that would impact our snowmaking capabilities and operations; our reliance on government permits or approvals for our use of public land or to make operational and capital improvements; risks related to resource efficiency transformation initiatives; risks related to federal, state, local and foreign government laws, rules and regulations, including environmental and health and safety laws and regulations; risks related to changes in security and privacy laws and regulations which could increase our operating costs and adversely affect our ability to market our products, properties and services effectively; potential failure to adapt to technological</w:t>
      </w:r>
    </w:p>
    <w:p>
      <w:pPr>
        <w:sectPr>
          <w:pgSz w:w="11900" w:h="16838" w:orient="portrait"/>
          <w:cols w:equalWidth="0" w:num="1">
            <w:col w:w="11240"/>
          </w:cols>
          <w:pgMar w:left="320" w:top="954" w:right="339" w:bottom="1440" w:gutter="0" w:footer="0" w:header="0"/>
        </w:sectPr>
      </w:pPr>
    </w:p>
    <w:bookmarkStart w:id="5" w:name="page6"/>
    <w:bookmarkEnd w:id="5"/>
    <w:p>
      <w:pPr>
        <w:jc w:val="both"/>
        <w:spacing w:after="0" w:line="362" w:lineRule="auto"/>
        <w:rPr>
          <w:sz w:val="20"/>
          <w:szCs w:val="20"/>
          <w:color w:val="auto"/>
        </w:rPr>
      </w:pPr>
      <w:r>
        <w:rPr>
          <w:rFonts w:ascii="Times New Roman" w:cs="Times New Roman" w:eastAsia="Times New Roman" w:hAnsi="Times New Roman"/>
          <w:sz w:val="18"/>
          <w:szCs w:val="18"/>
          <w:color w:val="auto"/>
        </w:rPr>
        <w:t>developments or industry trends regarding information technology; our ability to successfully launch and promote adoption of new products, technology, services and programs; risks related to our workforce, including increased labor costs, loss of key personnel and our ability to maintain adequate staffing, including hiring and retaining a sufficient seasonal workforce; our ability to successfully integrate acquired businesses, including their integration into our internal controls and infrastructure; our ability to successfully navigate new markets, including Europe, or that acquired businesses may fail to perform in accordance with expectations; a deterioration in the quality or reputation of our brands, including our ability to protect our intellectual property and the risk of accidents at our mountain resorts; risks related to scrutiny and changing expectations regarding our sustainability practices and reporting; risks associated with international operations, including fluctuations in foreign currency exchange rates where the Company has foreign currency exposure, primarily the Canadian and Australian dollars and the Swiss franc, as compared to the U.S. dollar; changes in tax laws, regulations or interpretations, or adverse determinations by taxing authorities; 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 a materially adverse change in our financial condition; adverse consequences of current or future litigation and legal claims; changes in accounting judgments and estimates, accounting principles, policies or guidelines; and other risks detailed in the Company’s filings with the Securities and Exchange Commission, including the “Risk Factors” section of the Company’s most recently filed Annual Report on Form 10-K and quarterly reports on Form 10-Q.</w:t>
      </w:r>
    </w:p>
    <w:p>
      <w:pPr>
        <w:spacing w:after="0" w:line="3" w:lineRule="exact"/>
        <w:rPr>
          <w:sz w:val="20"/>
          <w:szCs w:val="20"/>
          <w:color w:val="auto"/>
        </w:rPr>
      </w:pPr>
    </w:p>
    <w:p>
      <w:pPr>
        <w:jc w:val="both"/>
        <w:ind w:firstLine="648"/>
        <w:spacing w:after="0" w:line="383" w:lineRule="auto"/>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 All guidance and forward-looking statements in this press release are made as of the date hereof and we do not undertake any obligation to update any forecast or forward-looking statements whether as a result of new information, future events or otherwise, except as may be required by law.</w:t>
      </w:r>
    </w:p>
    <w:sectPr>
      <w:pgSz w:w="11900" w:h="16838" w:orient="portrait"/>
      <w:cols w:equalWidth="0" w:num="1">
        <w:col w:w="11240"/>
      </w:cols>
      <w:pgMar w:left="320" w:top="9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2026-04-23T07:03:56Z</dcterms:created>
  <dcterms:modified xsi:type="dcterms:W3CDTF">2026-04-23T07:03:56Z</dcterms:modified>
</cp:coreProperties>
</file>