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60"/>
        <w:spacing w:after="0"/>
        <w:rPr>
          <w:sz w:val="20"/>
          <w:szCs w:val="20"/>
          <w:color w:val="auto"/>
        </w:rPr>
      </w:pPr>
      <w:r>
        <w:rPr>
          <w:rFonts w:ascii="Arial" w:cs="Arial" w:eastAsia="Arial" w:hAnsi="Arial"/>
          <w:sz w:val="16"/>
          <w:szCs w:val="16"/>
          <w:color w:val="auto"/>
        </w:rPr>
        <w:t>OMB APPROVAL</w:t>
      </w:r>
    </w:p>
    <w:p>
      <w:pPr>
        <w:spacing w:after="0" w:line="185" w:lineRule="exact"/>
        <w:rPr>
          <w:sz w:val="24"/>
          <w:szCs w:val="24"/>
          <w:color w:val="auto"/>
        </w:rPr>
      </w:pPr>
    </w:p>
    <w:p>
      <w:pPr>
        <w:ind w:left="7660"/>
        <w:spacing w:after="0"/>
        <w:rPr>
          <w:sz w:val="20"/>
          <w:szCs w:val="20"/>
          <w:color w:val="auto"/>
        </w:rPr>
      </w:pPr>
      <w:r>
        <w:rPr>
          <w:rFonts w:ascii="Arial" w:cs="Arial" w:eastAsia="Arial" w:hAnsi="Arial"/>
          <w:sz w:val="15"/>
          <w:szCs w:val="15"/>
          <w:color w:val="auto"/>
        </w:rPr>
        <w:t>OMB Number: 3235-0070</w:t>
      </w:r>
    </w:p>
    <w:p>
      <w:pPr>
        <w:spacing w:after="0" w:line="196" w:lineRule="exact"/>
        <w:rPr>
          <w:sz w:val="24"/>
          <w:szCs w:val="24"/>
          <w:color w:val="auto"/>
        </w:rPr>
      </w:pPr>
    </w:p>
    <w:p>
      <w:pPr>
        <w:ind w:left="7660"/>
        <w:spacing w:after="0"/>
        <w:rPr>
          <w:sz w:val="20"/>
          <w:szCs w:val="20"/>
          <w:color w:val="auto"/>
        </w:rPr>
      </w:pPr>
      <w:r>
        <w:rPr>
          <w:rFonts w:ascii="Arial" w:cs="Arial" w:eastAsia="Arial" w:hAnsi="Arial"/>
          <w:sz w:val="16"/>
          <w:szCs w:val="16"/>
          <w:color w:val="auto"/>
        </w:rPr>
        <w:t>Expires: April 30, 2003</w:t>
      </w:r>
    </w:p>
    <w:p>
      <w:pPr>
        <w:spacing w:after="0" w:line="185" w:lineRule="exact"/>
        <w:rPr>
          <w:sz w:val="24"/>
          <w:szCs w:val="24"/>
          <w:color w:val="auto"/>
        </w:rPr>
      </w:pPr>
    </w:p>
    <w:p>
      <w:pPr>
        <w:ind w:left="7660"/>
        <w:spacing w:after="0"/>
        <w:rPr>
          <w:sz w:val="20"/>
          <w:szCs w:val="20"/>
          <w:color w:val="auto"/>
        </w:rPr>
      </w:pPr>
      <w:r>
        <w:rPr>
          <w:rFonts w:ascii="Arial" w:cs="Arial" w:eastAsia="Arial" w:hAnsi="Arial"/>
          <w:sz w:val="14"/>
          <w:szCs w:val="14"/>
          <w:color w:val="auto"/>
        </w:rPr>
        <w:t>Estimated average burden</w:t>
      </w:r>
    </w:p>
    <w:p>
      <w:pPr>
        <w:spacing w:after="0" w:line="43" w:lineRule="exact"/>
        <w:rPr>
          <w:sz w:val="24"/>
          <w:szCs w:val="24"/>
          <w:color w:val="auto"/>
        </w:rPr>
      </w:pPr>
    </w:p>
    <w:p>
      <w:pPr>
        <w:ind w:left="7660"/>
        <w:spacing w:after="0"/>
        <w:rPr>
          <w:sz w:val="20"/>
          <w:szCs w:val="20"/>
          <w:color w:val="auto"/>
        </w:rPr>
      </w:pPr>
      <w:r>
        <w:rPr>
          <w:rFonts w:ascii="Arial" w:cs="Arial" w:eastAsia="Arial" w:hAnsi="Arial"/>
          <w:sz w:val="14"/>
          <w:szCs w:val="14"/>
          <w:color w:val="auto"/>
        </w:rPr>
        <w:t>hours per response: 117.00</w:t>
      </w:r>
    </w:p>
    <w:p>
      <w:pPr>
        <w:spacing w:after="0" w:line="381"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ind w:right="340"/>
        <w:spacing w:after="0"/>
        <w:rPr>
          <w:sz w:val="20"/>
          <w:szCs w:val="20"/>
          <w:color w:val="auto"/>
        </w:rPr>
      </w:pPr>
      <w:r>
        <w:rPr>
          <w:rFonts w:ascii="Arial" w:cs="Arial" w:eastAsia="Arial" w:hAnsi="Arial"/>
          <w:sz w:val="22"/>
          <w:szCs w:val="22"/>
          <w:b w:val="1"/>
          <w:bCs w:val="1"/>
          <w:color w:val="auto"/>
        </w:rPr>
        <w:t>SECURITIES AND EXCHANGE COMMISSION</w:t>
      </w:r>
    </w:p>
    <w:p>
      <w:pPr>
        <w:spacing w:after="0" w:line="2" w:lineRule="exact"/>
        <w:rPr>
          <w:sz w:val="24"/>
          <w:szCs w:val="24"/>
          <w:color w:val="auto"/>
        </w:rPr>
      </w:pPr>
    </w:p>
    <w:p>
      <w:pPr>
        <w:jc w:val="center"/>
        <w:ind w:right="340"/>
        <w:spacing w:after="0"/>
        <w:rPr>
          <w:sz w:val="20"/>
          <w:szCs w:val="20"/>
          <w:color w:val="auto"/>
        </w:rPr>
      </w:pPr>
      <w:r>
        <w:rPr>
          <w:rFonts w:ascii="Arial" w:cs="Arial" w:eastAsia="Arial" w:hAnsi="Arial"/>
          <w:sz w:val="20"/>
          <w:szCs w:val="20"/>
          <w:color w:val="auto"/>
        </w:rPr>
        <w:t>Washington, D.C. 20549</w:t>
      </w:r>
    </w:p>
    <w:p>
      <w:pPr>
        <w:spacing w:after="0" w:line="338" w:lineRule="exact"/>
        <w:rPr>
          <w:sz w:val="24"/>
          <w:szCs w:val="24"/>
          <w:color w:val="auto"/>
        </w:rPr>
      </w:pPr>
    </w:p>
    <w:p>
      <w:pPr>
        <w:jc w:val="center"/>
        <w:ind w:right="340"/>
        <w:spacing w:after="0"/>
        <w:rPr>
          <w:sz w:val="20"/>
          <w:szCs w:val="20"/>
          <w:color w:val="auto"/>
        </w:rPr>
      </w:pPr>
      <w:r>
        <w:rPr>
          <w:rFonts w:ascii="Arial" w:cs="Arial" w:eastAsia="Arial" w:hAnsi="Arial"/>
          <w:sz w:val="20"/>
          <w:szCs w:val="20"/>
          <w:b w:val="1"/>
          <w:bCs w:val="1"/>
          <w:color w:val="auto"/>
        </w:rPr>
        <w:t>FORM 10-Q</w:t>
      </w:r>
    </w:p>
    <w:p>
      <w:pPr>
        <w:spacing w:after="0" w:line="299" w:lineRule="exact"/>
        <w:rPr>
          <w:sz w:val="24"/>
          <w:szCs w:val="24"/>
          <w:color w:val="auto"/>
        </w:rPr>
      </w:pPr>
    </w:p>
    <w:p>
      <w:pPr>
        <w:ind w:left="1320" w:hanging="623"/>
        <w:spacing w:after="0"/>
        <w:tabs>
          <w:tab w:leader="none" w:pos="13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6" w:lineRule="exact"/>
        <w:rPr>
          <w:sz w:val="24"/>
          <w:szCs w:val="24"/>
          <w:color w:val="auto"/>
        </w:rPr>
      </w:pPr>
    </w:p>
    <w:tbl>
      <w:tblPr>
        <w:tblLayout w:type="fixed"/>
        <w:tblInd w:w="700" w:type="dxa"/>
        <w:tblCellMar>
          <w:top w:w="0" w:type="dxa"/>
          <w:left w:w="0" w:type="dxa"/>
          <w:bottom w:w="0" w:type="dxa"/>
          <w:right w:w="0" w:type="dxa"/>
        </w:tblCellMar>
      </w:tblPr>
      <w:tr>
        <w:trPr>
          <w:trHeight w:val="184"/>
        </w:trPr>
        <w:tc>
          <w:tcPr>
            <w:tcW w:w="4760" w:type="dxa"/>
            <w:vAlign w:val="bottom"/>
            <w:gridSpan w:val="10"/>
          </w:tcPr>
          <w:p>
            <w:pPr>
              <w:spacing w:after="0"/>
              <w:rPr>
                <w:sz w:val="20"/>
                <w:szCs w:val="20"/>
                <w:color w:val="auto"/>
              </w:rPr>
            </w:pPr>
            <w:r>
              <w:rPr>
                <w:rFonts w:ascii="Arial" w:cs="Arial" w:eastAsia="Arial" w:hAnsi="Arial"/>
                <w:sz w:val="16"/>
                <w:szCs w:val="16"/>
                <w:color w:val="auto"/>
              </w:rPr>
              <w:t>For the quarterly period ended  January 31, 2003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right w:val="single" w:sz="8" w:color="auto"/>
            </w:tcBorders>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280" w:type="dxa"/>
            <w:vAlign w:val="bottom"/>
          </w:tcPr>
          <w:p>
            <w:pPr>
              <w:spacing w:after="0"/>
              <w:rPr>
                <w:sz w:val="20"/>
                <w:szCs w:val="20"/>
                <w:color w:val="auto"/>
              </w:rPr>
            </w:pPr>
            <w:r>
              <w:rPr>
                <w:rFonts w:ascii="Arial" w:cs="Arial" w:eastAsia="Arial" w:hAnsi="Arial"/>
                <w:sz w:val="16"/>
                <w:szCs w:val="16"/>
                <w:b w:val="1"/>
                <w:bCs w:val="1"/>
                <w:color w:val="auto"/>
              </w:rPr>
              <w:t>[  ]</w:t>
            </w:r>
          </w:p>
        </w:tc>
        <w:tc>
          <w:tcPr>
            <w:tcW w:w="80" w:type="dxa"/>
            <w:vAlign w:val="bottom"/>
          </w:tcPr>
          <w:p>
            <w:pPr>
              <w:spacing w:after="0"/>
              <w:rPr>
                <w:sz w:val="24"/>
                <w:szCs w:val="24"/>
                <w:color w:val="auto"/>
              </w:rPr>
            </w:pPr>
          </w:p>
        </w:tc>
        <w:tc>
          <w:tcPr>
            <w:tcW w:w="7040" w:type="dxa"/>
            <w:vAlign w:val="bottom"/>
            <w:gridSpan w:val="14"/>
          </w:tcPr>
          <w:p>
            <w:pPr>
              <w:ind w:left="420"/>
              <w:spacing w:after="0"/>
              <w:rPr>
                <w:sz w:val="20"/>
                <w:szCs w:val="20"/>
                <w:color w:val="auto"/>
              </w:rPr>
            </w:pPr>
            <w:r>
              <w:rPr>
                <w:rFonts w:ascii="Arial" w:cs="Arial" w:eastAsia="Arial" w:hAnsi="Arial"/>
                <w:sz w:val="16"/>
                <w:szCs w:val="16"/>
                <w:b w:val="1"/>
                <w:bCs w:val="1"/>
                <w:color w:val="auto"/>
                <w:w w:val="95"/>
              </w:rPr>
              <w:t>Transition Report Pursuant To Section 13 Or 15(d) Of The Securities Exchange Act Of 1934</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4760" w:type="dxa"/>
            <w:vAlign w:val="bottom"/>
            <w:gridSpan w:val="10"/>
          </w:tcPr>
          <w:p>
            <w:pPr>
              <w:spacing w:after="0"/>
              <w:rPr>
                <w:sz w:val="20"/>
                <w:szCs w:val="20"/>
                <w:color w:val="auto"/>
              </w:rPr>
            </w:pPr>
            <w:r>
              <w:rPr>
                <w:rFonts w:ascii="Arial" w:cs="Arial" w:eastAsia="Arial" w:hAnsi="Arial"/>
                <w:sz w:val="16"/>
                <w:szCs w:val="16"/>
                <w:color w:val="auto"/>
              </w:rPr>
              <w:t>For the transition period from</w:t>
            </w:r>
          </w:p>
        </w:tc>
        <w:tc>
          <w:tcPr>
            <w:tcW w:w="2640" w:type="dxa"/>
            <w:vAlign w:val="bottom"/>
            <w:gridSpan w:val="6"/>
          </w:tcPr>
          <w:p>
            <w:pPr>
              <w:ind w:left="180"/>
              <w:spacing w:after="0"/>
              <w:rPr>
                <w:sz w:val="20"/>
                <w:szCs w:val="20"/>
                <w:color w:val="auto"/>
              </w:rPr>
            </w:pPr>
            <w:r>
              <w:rPr>
                <w:rFonts w:ascii="Arial" w:cs="Arial" w:eastAsia="Arial" w:hAnsi="Arial"/>
                <w:sz w:val="16"/>
                <w:szCs w:val="16"/>
                <w:color w:val="auto"/>
              </w:rPr>
              <w:t>to</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447"/>
        </w:trPr>
        <w:tc>
          <w:tcPr>
            <w:tcW w:w="1420" w:type="dxa"/>
            <w:vAlign w:val="bottom"/>
            <w:gridSpan w:val="3"/>
          </w:tcPr>
          <w:p>
            <w:pPr>
              <w:jc w:val="center"/>
              <w:spacing w:after="0"/>
              <w:rPr>
                <w:sz w:val="20"/>
                <w:szCs w:val="20"/>
                <w:color w:val="auto"/>
              </w:rPr>
            </w:pPr>
            <w:r>
              <w:rPr>
                <w:rFonts w:ascii="Arial" w:cs="Arial" w:eastAsia="Arial" w:hAnsi="Arial"/>
                <w:sz w:val="16"/>
                <w:szCs w:val="16"/>
                <w:color w:val="auto"/>
                <w:w w:val="93"/>
              </w:rPr>
              <w:t>Commission File</w:t>
            </w:r>
          </w:p>
        </w:tc>
        <w:tc>
          <w:tcPr>
            <w:tcW w:w="6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1-9614</w:t>
            </w: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212"/>
        </w:trPr>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320"/>
              <w:spacing w:after="0"/>
              <w:rPr>
                <w:sz w:val="20"/>
                <w:szCs w:val="20"/>
                <w:color w:val="auto"/>
              </w:rPr>
            </w:pPr>
            <w:r>
              <w:rPr>
                <w:rFonts w:ascii="Arial" w:cs="Arial" w:eastAsia="Arial" w:hAnsi="Arial"/>
                <w:sz w:val="16"/>
                <w:szCs w:val="16"/>
                <w:color w:val="auto"/>
                <w:w w:val="94"/>
              </w:rPr>
              <w:t>Number:</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1"/>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Borders>
              <w:bottom w:val="single" w:sz="8" w:color="auto"/>
            </w:tcBorders>
            <w:gridSpan w:val="5"/>
          </w:tcPr>
          <w:p>
            <w:pPr>
              <w:ind w:left="600"/>
              <w:spacing w:after="0"/>
              <w:rPr>
                <w:sz w:val="20"/>
                <w:szCs w:val="20"/>
                <w:color w:val="auto"/>
              </w:rPr>
            </w:pPr>
            <w:r>
              <w:rPr>
                <w:rFonts w:ascii="Arial" w:cs="Arial" w:eastAsia="Arial" w:hAnsi="Arial"/>
                <w:sz w:val="22"/>
                <w:szCs w:val="22"/>
                <w:b w:val="1"/>
                <w:bCs w:val="1"/>
                <w:color w:val="auto"/>
                <w:w w:val="99"/>
              </w:rPr>
              <w:t>Vail Resorts, Inc.</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20" w:type="dxa"/>
            <w:vAlign w:val="bottom"/>
            <w:gridSpan w:val="11"/>
          </w:tcPr>
          <w:p>
            <w:pPr>
              <w:ind w:left="160"/>
              <w:spacing w:after="0"/>
              <w:rPr>
                <w:sz w:val="20"/>
                <w:szCs w:val="20"/>
                <w:color w:val="auto"/>
              </w:rPr>
            </w:pPr>
            <w:r>
              <w:rPr>
                <w:rFonts w:ascii="Arial" w:cs="Arial" w:eastAsia="Arial" w:hAnsi="Arial"/>
                <w:sz w:val="12"/>
                <w:szCs w:val="12"/>
                <w:color w:val="auto"/>
              </w:rPr>
              <w:t>(Exact name of registrant as specified in its charter)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0"/>
        </w:trPr>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center"/>
              <w:ind w:right="1140"/>
              <w:spacing w:after="0"/>
              <w:rPr>
                <w:sz w:val="20"/>
                <w:szCs w:val="20"/>
                <w:color w:val="auto"/>
              </w:rPr>
            </w:pPr>
            <w:r>
              <w:rPr>
                <w:rFonts w:ascii="Arial" w:cs="Arial" w:eastAsia="Arial" w:hAnsi="Arial"/>
                <w:sz w:val="16"/>
                <w:szCs w:val="16"/>
                <w:color w:val="auto"/>
                <w:w w:val="88"/>
              </w:rPr>
              <w:t>Delaware</w:t>
            </w:r>
          </w:p>
        </w:tc>
        <w:tc>
          <w:tcPr>
            <w:tcW w:w="660" w:type="dxa"/>
            <w:vAlign w:val="bottom"/>
          </w:tcPr>
          <w:p>
            <w:pPr>
              <w:spacing w:after="0"/>
              <w:rPr>
                <w:sz w:val="24"/>
                <w:szCs w:val="24"/>
                <w:color w:val="auto"/>
              </w:rPr>
            </w:pPr>
          </w:p>
        </w:tc>
        <w:tc>
          <w:tcPr>
            <w:tcW w:w="660" w:type="dxa"/>
            <w:vAlign w:val="bottom"/>
            <w:tcBorders>
              <w:bottom w:val="single" w:sz="8" w:color="auto"/>
            </w:tcBorders>
            <w:gridSpan w:val="2"/>
          </w:tcPr>
          <w:p>
            <w:pPr>
              <w:spacing w:after="0"/>
              <w:rPr>
                <w:sz w:val="24"/>
                <w:szCs w:val="24"/>
                <w:color w:val="auto"/>
              </w:rPr>
            </w:pPr>
          </w:p>
        </w:tc>
        <w:tc>
          <w:tcPr>
            <w:tcW w:w="2300" w:type="dxa"/>
            <w:vAlign w:val="bottom"/>
            <w:tcBorders>
              <w:bottom w:val="single" w:sz="8" w:color="auto"/>
            </w:tcBorders>
            <w:gridSpan w:val="4"/>
          </w:tcPr>
          <w:p>
            <w:pPr>
              <w:jc w:val="right"/>
              <w:ind w:right="820"/>
              <w:spacing w:after="0"/>
              <w:rPr>
                <w:sz w:val="20"/>
                <w:szCs w:val="20"/>
                <w:color w:val="auto"/>
              </w:rPr>
            </w:pPr>
            <w:r>
              <w:rPr>
                <w:rFonts w:ascii="Arial" w:cs="Arial" w:eastAsia="Arial" w:hAnsi="Arial"/>
                <w:sz w:val="16"/>
                <w:szCs w:val="16"/>
                <w:color w:val="auto"/>
              </w:rPr>
              <w:t>51-0291762</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62"/>
        </w:trPr>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0" w:type="dxa"/>
            <w:vAlign w:val="bottom"/>
            <w:gridSpan w:val="8"/>
          </w:tcPr>
          <w:p>
            <w:pPr>
              <w:jc w:val="center"/>
              <w:ind w:right="1400"/>
              <w:spacing w:after="0"/>
              <w:rPr>
                <w:sz w:val="20"/>
                <w:szCs w:val="20"/>
                <w:color w:val="auto"/>
              </w:rPr>
            </w:pPr>
            <w:r>
              <w:rPr>
                <w:rFonts w:ascii="Arial" w:cs="Arial" w:eastAsia="Arial" w:hAnsi="Arial"/>
                <w:sz w:val="16"/>
                <w:szCs w:val="16"/>
                <w:color w:val="auto"/>
                <w:w w:val="91"/>
              </w:rPr>
              <w:t>(State or other jurisdiction of</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40" w:type="dxa"/>
            <w:vAlign w:val="bottom"/>
            <w:gridSpan w:val="4"/>
          </w:tcPr>
          <w:p>
            <w:pPr>
              <w:jc w:val="center"/>
              <w:ind w:right="920"/>
              <w:spacing w:after="0"/>
              <w:rPr>
                <w:sz w:val="20"/>
                <w:szCs w:val="20"/>
                <w:color w:val="auto"/>
              </w:rPr>
            </w:pPr>
            <w:r>
              <w:rPr>
                <w:rFonts w:ascii="Arial" w:cs="Arial" w:eastAsia="Arial" w:hAnsi="Arial"/>
                <w:sz w:val="16"/>
                <w:szCs w:val="16"/>
                <w:color w:val="auto"/>
                <w:w w:val="93"/>
              </w:rPr>
              <w:t>(I.R.S. Employer</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46"/>
        </w:trPr>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0" w:type="dxa"/>
            <w:vAlign w:val="bottom"/>
            <w:gridSpan w:val="8"/>
          </w:tcPr>
          <w:p>
            <w:pPr>
              <w:jc w:val="center"/>
              <w:ind w:right="1400"/>
              <w:spacing w:after="0"/>
              <w:rPr>
                <w:sz w:val="20"/>
                <w:szCs w:val="20"/>
                <w:color w:val="auto"/>
              </w:rPr>
            </w:pPr>
            <w:r>
              <w:rPr>
                <w:rFonts w:ascii="Arial" w:cs="Arial" w:eastAsia="Arial" w:hAnsi="Arial"/>
                <w:sz w:val="16"/>
                <w:szCs w:val="16"/>
                <w:color w:val="auto"/>
                <w:w w:val="92"/>
              </w:rPr>
              <w:t>incorporation or organization)</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gridSpan w:val="4"/>
          </w:tcPr>
          <w:p>
            <w:pPr>
              <w:jc w:val="center"/>
              <w:ind w:right="920"/>
              <w:spacing w:after="0"/>
              <w:rPr>
                <w:sz w:val="20"/>
                <w:szCs w:val="20"/>
                <w:color w:val="auto"/>
              </w:rPr>
            </w:pPr>
            <w:r>
              <w:rPr>
                <w:rFonts w:ascii="Arial" w:cs="Arial" w:eastAsia="Arial" w:hAnsi="Arial"/>
                <w:sz w:val="16"/>
                <w:szCs w:val="16"/>
                <w:color w:val="auto"/>
                <w:w w:val="94"/>
              </w:rPr>
              <w:t>Identification No.)</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56"/>
        </w:trPr>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2"/>
              </w:rPr>
              <w:t>Post Office Box 7 Vail, Colorado</w:t>
            </w:r>
          </w:p>
        </w:tc>
        <w:tc>
          <w:tcPr>
            <w:tcW w:w="1020" w:type="dxa"/>
            <w:vAlign w:val="bottom"/>
            <w:gridSpan w:val="3"/>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6"/>
                <w:szCs w:val="16"/>
                <w:color w:val="auto"/>
              </w:rPr>
              <w:t>81658</w:t>
            </w: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2"/>
        </w:trPr>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0" w:type="dxa"/>
            <w:vAlign w:val="bottom"/>
            <w:gridSpan w:val="8"/>
          </w:tcPr>
          <w:p>
            <w:pPr>
              <w:jc w:val="center"/>
              <w:ind w:right="1400"/>
              <w:spacing w:after="0"/>
              <w:rPr>
                <w:sz w:val="20"/>
                <w:szCs w:val="20"/>
                <w:color w:val="auto"/>
              </w:rPr>
            </w:pPr>
            <w:r>
              <w:rPr>
                <w:rFonts w:ascii="Arial" w:cs="Arial" w:eastAsia="Arial" w:hAnsi="Arial"/>
                <w:sz w:val="16"/>
                <w:szCs w:val="16"/>
                <w:color w:val="auto"/>
                <w:w w:val="91"/>
              </w:rPr>
              <w:t>(Address of principal executive offices)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3"/>
          </w:tcPr>
          <w:p>
            <w:pPr>
              <w:jc w:val="center"/>
              <w:ind w:right="1120"/>
              <w:spacing w:after="0"/>
              <w:rPr>
                <w:sz w:val="20"/>
                <w:szCs w:val="20"/>
                <w:color w:val="auto"/>
              </w:rPr>
            </w:pPr>
            <w:r>
              <w:rPr>
                <w:rFonts w:ascii="Arial" w:cs="Arial" w:eastAsia="Arial" w:hAnsi="Arial"/>
                <w:sz w:val="16"/>
                <w:szCs w:val="16"/>
                <w:color w:val="auto"/>
                <w:w w:val="92"/>
              </w:rPr>
              <w:t>(Zip Code)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r>
    </w:tbl>
    <w:p>
      <w:pPr>
        <w:spacing w:after="0" w:line="28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(970) 845-2500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1800860</wp:posOffset>
            </wp:positionH>
            <wp:positionV relativeFrom="paragraph">
              <wp:posOffset>-8890</wp:posOffset>
            </wp:positionV>
            <wp:extent cx="21304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0425" cy="7620"/>
                    </a:xfrm>
                    <a:prstGeom prst="rect">
                      <a:avLst/>
                    </a:prstGeom>
                    <a:noFill/>
                  </pic:spPr>
                </pic:pic>
              </a:graphicData>
            </a:graphic>
          </wp:anchor>
        </w:drawing>
      </w:r>
    </w:p>
    <w:p>
      <w:pPr>
        <w:spacing w:after="0" w:line="1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(Registrant's telephone number, including area code)</w:t>
      </w:r>
    </w:p>
    <w:p>
      <w:pPr>
        <w:spacing w:after="0" w:line="234" w:lineRule="exact"/>
        <w:rPr>
          <w:sz w:val="24"/>
          <w:szCs w:val="24"/>
          <w:color w:val="auto"/>
        </w:rPr>
      </w:pPr>
    </w:p>
    <w:p>
      <w:pPr>
        <w:ind w:left="660" w:right="1160"/>
        <w:spacing w:after="0" w:line="28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7160"/>
        <w:spacing w:after="0"/>
        <w:tabs>
          <w:tab w:leader="none" w:pos="7520" w:val="left"/>
          <w:tab w:leader="none" w:pos="7900" w:val="left"/>
        </w:tabs>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X</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6"/>
          <w:szCs w:val="16"/>
          <w:b w:val="1"/>
          <w:bCs w:val="1"/>
          <w:color w:val="auto"/>
        </w:rPr>
        <w:t xml:space="preserve">[  ] </w:t>
      </w:r>
      <w:r>
        <w:rPr>
          <w:rFonts w:ascii="Arial" w:cs="Arial" w:eastAsia="Arial" w:hAnsi="Arial"/>
          <w:sz w:val="16"/>
          <w:szCs w:val="16"/>
          <w:color w:val="auto"/>
        </w:rPr>
        <w:t>No</w:t>
      </w:r>
    </w:p>
    <w:p>
      <w:pPr>
        <w:spacing w:after="0" w:line="263"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an accelerated filer (as defined in Rule 12b-2 of the Exchange Act).</w:t>
      </w:r>
    </w:p>
    <w:p>
      <w:pPr>
        <w:spacing w:after="0" w:line="33" w:lineRule="exact"/>
        <w:rPr>
          <w:sz w:val="24"/>
          <w:szCs w:val="24"/>
          <w:color w:val="auto"/>
        </w:rPr>
      </w:pPr>
    </w:p>
    <w:p>
      <w:pPr>
        <w:ind w:left="7160"/>
        <w:spacing w:after="0"/>
        <w:tabs>
          <w:tab w:leader="none" w:pos="7520" w:val="left"/>
          <w:tab w:leader="none" w:pos="7900" w:val="left"/>
        </w:tabs>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X</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Yes</w:t>
      </w:r>
      <w:r>
        <w:rPr>
          <w:sz w:val="20"/>
          <w:szCs w:val="20"/>
          <w:color w:val="auto"/>
        </w:rPr>
        <w:tab/>
      </w:r>
      <w:r>
        <w:rPr>
          <w:rFonts w:ascii="Arial" w:cs="Arial" w:eastAsia="Arial" w:hAnsi="Arial"/>
          <w:sz w:val="16"/>
          <w:szCs w:val="16"/>
          <w:b w:val="1"/>
          <w:bCs w:val="1"/>
          <w:color w:val="auto"/>
        </w:rPr>
        <w:t xml:space="preserve">[  ] </w:t>
      </w:r>
      <w:r>
        <w:rPr>
          <w:rFonts w:ascii="Arial" w:cs="Arial" w:eastAsia="Arial" w:hAnsi="Arial"/>
          <w:sz w:val="16"/>
          <w:szCs w:val="16"/>
          <w:color w:val="auto"/>
        </w:rPr>
        <w:t>No</w:t>
      </w:r>
    </w:p>
    <w:p>
      <w:pPr>
        <w:spacing w:after="0" w:line="263" w:lineRule="exact"/>
        <w:rPr>
          <w:sz w:val="24"/>
          <w:szCs w:val="24"/>
          <w:color w:val="auto"/>
        </w:rPr>
      </w:pPr>
    </w:p>
    <w:p>
      <w:pPr>
        <w:ind w:left="680" w:right="1420"/>
        <w:spacing w:after="0" w:line="283" w:lineRule="auto"/>
        <w:rPr>
          <w:sz w:val="20"/>
          <w:szCs w:val="20"/>
          <w:color w:val="auto"/>
        </w:rPr>
      </w:pPr>
      <w:r>
        <w:rPr>
          <w:rFonts w:ascii="Arial" w:cs="Arial" w:eastAsia="Arial" w:hAnsi="Arial"/>
          <w:sz w:val="16"/>
          <w:szCs w:val="16"/>
          <w:color w:val="auto"/>
        </w:rPr>
        <w:t>As of March 7, 2003, 7,439,834 shares of Class A Common Stock and 27,748,792 shares of Common Stock were issued and outstanding.</w:t>
      </w:r>
    </w:p>
    <w:p>
      <w:pPr>
        <w:spacing w:after="0" w:line="200" w:lineRule="exact"/>
        <w:rPr>
          <w:sz w:val="24"/>
          <w:szCs w:val="24"/>
          <w:color w:val="auto"/>
        </w:rPr>
      </w:pPr>
    </w:p>
    <w:p>
      <w:pPr>
        <w:spacing w:after="0" w:line="370" w:lineRule="exact"/>
        <w:rPr>
          <w:sz w:val="24"/>
          <w:szCs w:val="24"/>
          <w:color w:val="auto"/>
        </w:rPr>
      </w:pPr>
    </w:p>
    <w:tbl>
      <w:tblPr>
        <w:tblLayout w:type="fixed"/>
        <w:tblInd w:w="660" w:type="dxa"/>
        <w:tblCellMar>
          <w:top w:w="0" w:type="dxa"/>
          <w:left w:w="0" w:type="dxa"/>
          <w:bottom w:w="0" w:type="dxa"/>
          <w:right w:w="0" w:type="dxa"/>
        </w:tblCellMar>
      </w:tblPr>
      <w:tr>
        <w:trPr>
          <w:trHeight w:val="208"/>
        </w:trPr>
        <w:tc>
          <w:tcPr>
            <w:tcW w:w="700" w:type="dxa"/>
            <w:vAlign w:val="bottom"/>
          </w:tcPr>
          <w:p>
            <w:pPr>
              <w:spacing w:after="0"/>
              <w:rPr>
                <w:sz w:val="18"/>
                <w:szCs w:val="18"/>
                <w:color w:val="auto"/>
              </w:rPr>
            </w:pPr>
          </w:p>
        </w:tc>
        <w:tc>
          <w:tcPr>
            <w:tcW w:w="6340" w:type="dxa"/>
            <w:vAlign w:val="bottom"/>
          </w:tcPr>
          <w:p>
            <w:pPr>
              <w:ind w:left="2820"/>
              <w:spacing w:after="0"/>
              <w:rPr>
                <w:sz w:val="20"/>
                <w:szCs w:val="20"/>
                <w:color w:val="auto"/>
              </w:rPr>
            </w:pPr>
            <w:r>
              <w:rPr>
                <w:rFonts w:ascii="Arial" w:cs="Arial" w:eastAsia="Arial" w:hAnsi="Arial"/>
                <w:sz w:val="16"/>
                <w:szCs w:val="16"/>
                <w:b w:val="1"/>
                <w:bCs w:val="1"/>
                <w:color w:val="auto"/>
              </w:rPr>
              <w:t>Table of Contents</w:t>
            </w:r>
          </w:p>
        </w:tc>
        <w:tc>
          <w:tcPr>
            <w:tcW w:w="660" w:type="dxa"/>
            <w:vAlign w:val="bottom"/>
          </w:tcPr>
          <w:p>
            <w:pPr>
              <w:spacing w:after="0"/>
              <w:rPr>
                <w:sz w:val="18"/>
                <w:szCs w:val="18"/>
                <w:color w:val="auto"/>
              </w:rPr>
            </w:pPr>
          </w:p>
        </w:tc>
      </w:tr>
      <w:tr>
        <w:trPr>
          <w:trHeight w:val="492"/>
        </w:trPr>
        <w:tc>
          <w:tcPr>
            <w:tcW w:w="70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6340" w:type="dxa"/>
            <w:vAlign w:val="bottom"/>
          </w:tcPr>
          <w:p>
            <w:pPr>
              <w:ind w:left="160"/>
              <w:spacing w:after="0"/>
              <w:rPr>
                <w:sz w:val="20"/>
                <w:szCs w:val="20"/>
                <w:color w:val="auto"/>
              </w:rPr>
            </w:pPr>
            <w:r>
              <w:rPr>
                <w:rFonts w:ascii="Arial" w:cs="Arial" w:eastAsia="Arial" w:hAnsi="Arial"/>
                <w:sz w:val="16"/>
                <w:szCs w:val="16"/>
                <w:b w:val="1"/>
                <w:bCs w:val="1"/>
                <w:color w:val="auto"/>
              </w:rPr>
              <w:t>FINANCIAL INFORMATION</w:t>
            </w:r>
          </w:p>
        </w:tc>
        <w:tc>
          <w:tcPr>
            <w:tcW w:w="660" w:type="dxa"/>
            <w:vAlign w:val="bottom"/>
          </w:tcPr>
          <w:p>
            <w:pPr>
              <w:spacing w:after="0"/>
              <w:rPr>
                <w:sz w:val="24"/>
                <w:szCs w:val="24"/>
                <w:color w:val="auto"/>
              </w:rPr>
            </w:pPr>
          </w:p>
        </w:tc>
      </w:tr>
      <w:tr>
        <w:trPr>
          <w:trHeight w:val="492"/>
        </w:trPr>
        <w:tc>
          <w:tcPr>
            <w:tcW w:w="700" w:type="dxa"/>
            <w:vAlign w:val="bottom"/>
          </w:tcPr>
          <w:p>
            <w:pPr>
              <w:spacing w:after="0"/>
              <w:rPr>
                <w:sz w:val="20"/>
                <w:szCs w:val="20"/>
                <w:color w:val="auto"/>
              </w:rPr>
            </w:pPr>
            <w:r>
              <w:rPr>
                <w:rFonts w:ascii="Arial" w:cs="Arial" w:eastAsia="Arial" w:hAnsi="Arial"/>
                <w:sz w:val="16"/>
                <w:szCs w:val="16"/>
                <w:color w:val="auto"/>
              </w:rPr>
              <w:t>Item 1.</w:t>
            </w:r>
          </w:p>
        </w:tc>
        <w:tc>
          <w:tcPr>
            <w:tcW w:w="6340" w:type="dxa"/>
            <w:vAlign w:val="bottom"/>
          </w:tcPr>
          <w:p>
            <w:pPr>
              <w:ind w:left="160"/>
              <w:spacing w:after="0"/>
              <w:rPr>
                <w:sz w:val="20"/>
                <w:szCs w:val="20"/>
                <w:color w:val="auto"/>
              </w:rPr>
            </w:pPr>
            <w:r>
              <w:rPr>
                <w:rFonts w:ascii="Arial" w:cs="Arial" w:eastAsia="Arial" w:hAnsi="Arial"/>
                <w:sz w:val="16"/>
                <w:szCs w:val="16"/>
                <w:color w:val="auto"/>
              </w:rPr>
              <w:t>Financial Statements</w:t>
            </w:r>
          </w:p>
        </w:tc>
        <w:tc>
          <w:tcPr>
            <w:tcW w:w="660" w:type="dxa"/>
            <w:vAlign w:val="bottom"/>
          </w:tcPr>
          <w:p>
            <w:pPr>
              <w:jc w:val="right"/>
              <w:spacing w:after="0"/>
              <w:rPr>
                <w:sz w:val="20"/>
                <w:szCs w:val="20"/>
                <w:color w:val="auto"/>
              </w:rPr>
            </w:pPr>
            <w:r>
              <w:rPr>
                <w:rFonts w:ascii="Arial" w:cs="Arial" w:eastAsia="Arial" w:hAnsi="Arial"/>
                <w:sz w:val="16"/>
                <w:szCs w:val="16"/>
                <w:color w:val="auto"/>
              </w:rPr>
              <w:t>F-1</w:t>
            </w:r>
          </w:p>
        </w:tc>
      </w:tr>
      <w:tr>
        <w:trPr>
          <w:trHeight w:val="221"/>
        </w:trPr>
        <w:tc>
          <w:tcPr>
            <w:tcW w:w="700" w:type="dxa"/>
            <w:vAlign w:val="bottom"/>
          </w:tcPr>
          <w:p>
            <w:pPr>
              <w:spacing w:after="0"/>
              <w:rPr>
                <w:sz w:val="20"/>
                <w:szCs w:val="20"/>
                <w:color w:val="auto"/>
              </w:rPr>
            </w:pPr>
            <w:r>
              <w:rPr>
                <w:rFonts w:ascii="Arial" w:cs="Arial" w:eastAsia="Arial" w:hAnsi="Arial"/>
                <w:sz w:val="16"/>
                <w:szCs w:val="16"/>
                <w:color w:val="auto"/>
              </w:rPr>
              <w:t>Item 2.</w:t>
            </w:r>
          </w:p>
        </w:tc>
        <w:tc>
          <w:tcPr>
            <w:tcW w:w="6340" w:type="dxa"/>
            <w:vAlign w:val="bottom"/>
          </w:tcPr>
          <w:p>
            <w:pPr>
              <w:ind w:left="160"/>
              <w:spacing w:after="0"/>
              <w:rPr>
                <w:sz w:val="20"/>
                <w:szCs w:val="20"/>
                <w:color w:val="auto"/>
              </w:rPr>
            </w:pPr>
            <w:r>
              <w:rPr>
                <w:rFonts w:ascii="Arial" w:cs="Arial" w:eastAsia="Arial" w:hAnsi="Arial"/>
                <w:sz w:val="16"/>
                <w:szCs w:val="16"/>
                <w:color w:val="auto"/>
                <w:w w:val="97"/>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21"/>
        </w:trPr>
        <w:tc>
          <w:tcPr>
            <w:tcW w:w="700" w:type="dxa"/>
            <w:vAlign w:val="bottom"/>
          </w:tcPr>
          <w:p>
            <w:pPr>
              <w:spacing w:after="0"/>
              <w:rPr>
                <w:sz w:val="20"/>
                <w:szCs w:val="20"/>
                <w:color w:val="auto"/>
              </w:rPr>
            </w:pPr>
            <w:r>
              <w:rPr>
                <w:rFonts w:ascii="Arial" w:cs="Arial" w:eastAsia="Arial" w:hAnsi="Arial"/>
                <w:sz w:val="16"/>
                <w:szCs w:val="16"/>
                <w:color w:val="auto"/>
              </w:rPr>
              <w:t>Item 3.</w:t>
            </w:r>
          </w:p>
        </w:tc>
        <w:tc>
          <w:tcPr>
            <w:tcW w:w="6340" w:type="dxa"/>
            <w:vAlign w:val="bottom"/>
          </w:tcPr>
          <w:p>
            <w:pPr>
              <w:ind w:left="160"/>
              <w:spacing w:after="0"/>
              <w:rPr>
                <w:sz w:val="20"/>
                <w:szCs w:val="20"/>
                <w:color w:val="auto"/>
              </w:rPr>
            </w:pPr>
            <w:r>
              <w:rPr>
                <w:rFonts w:ascii="Arial" w:cs="Arial" w:eastAsia="Arial" w:hAnsi="Arial"/>
                <w:sz w:val="16"/>
                <w:szCs w:val="16"/>
                <w:color w:val="auto"/>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21"/>
        </w:trPr>
        <w:tc>
          <w:tcPr>
            <w:tcW w:w="700" w:type="dxa"/>
            <w:vAlign w:val="bottom"/>
          </w:tcPr>
          <w:p>
            <w:pPr>
              <w:spacing w:after="0"/>
              <w:rPr>
                <w:sz w:val="20"/>
                <w:szCs w:val="20"/>
                <w:color w:val="auto"/>
              </w:rPr>
            </w:pPr>
            <w:r>
              <w:rPr>
                <w:rFonts w:ascii="Arial" w:cs="Arial" w:eastAsia="Arial" w:hAnsi="Arial"/>
                <w:sz w:val="16"/>
                <w:szCs w:val="16"/>
                <w:color w:val="auto"/>
              </w:rPr>
              <w:t>Item 4.</w:t>
            </w:r>
          </w:p>
        </w:tc>
        <w:tc>
          <w:tcPr>
            <w:tcW w:w="6340" w:type="dxa"/>
            <w:vAlign w:val="bottom"/>
          </w:tcPr>
          <w:p>
            <w:pPr>
              <w:ind w:left="160"/>
              <w:spacing w:after="0"/>
              <w:rPr>
                <w:sz w:val="20"/>
                <w:szCs w:val="20"/>
                <w:color w:val="auto"/>
              </w:rPr>
            </w:pPr>
            <w:r>
              <w:rPr>
                <w:rFonts w:ascii="Arial" w:cs="Arial" w:eastAsia="Arial" w:hAnsi="Arial"/>
                <w:sz w:val="16"/>
                <w:szCs w:val="16"/>
                <w:color w:val="auto"/>
              </w:rPr>
              <w:t>Controls and Procedures</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00" w:lineRule="exact"/>
        <w:rPr>
          <w:sz w:val="24"/>
          <w:szCs w:val="24"/>
          <w:color w:val="auto"/>
        </w:rPr>
      </w:pPr>
    </w:p>
    <w:p>
      <w:pPr>
        <w:spacing w:after="0" w:line="305" w:lineRule="exact"/>
        <w:rPr>
          <w:sz w:val="24"/>
          <w:szCs w:val="24"/>
          <w:color w:val="auto"/>
        </w:rPr>
      </w:pPr>
    </w:p>
    <w:tbl>
      <w:tblPr>
        <w:tblLayout w:type="fixed"/>
        <w:tblInd w:w="660" w:type="dxa"/>
        <w:tblCellMar>
          <w:top w:w="0" w:type="dxa"/>
          <w:left w:w="0" w:type="dxa"/>
          <w:bottom w:w="0" w:type="dxa"/>
          <w:right w:w="0" w:type="dxa"/>
        </w:tblCellMar>
      </w:tblPr>
      <w:tr>
        <w:trPr>
          <w:trHeight w:val="208"/>
        </w:trPr>
        <w:tc>
          <w:tcPr>
            <w:tcW w:w="72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5160" w:type="dxa"/>
            <w:vAlign w:val="bottom"/>
          </w:tcPr>
          <w:p>
            <w:pPr>
              <w:ind w:left="140"/>
              <w:spacing w:after="0"/>
              <w:rPr>
                <w:sz w:val="20"/>
                <w:szCs w:val="20"/>
                <w:color w:val="auto"/>
              </w:rPr>
            </w:pPr>
            <w:r>
              <w:rPr>
                <w:rFonts w:ascii="Arial" w:cs="Arial" w:eastAsia="Arial" w:hAnsi="Arial"/>
                <w:sz w:val="16"/>
                <w:szCs w:val="16"/>
                <w:b w:val="1"/>
                <w:bCs w:val="1"/>
                <w:color w:val="auto"/>
              </w:rPr>
              <w:t>OTHER INFORMATION</w:t>
            </w:r>
          </w:p>
        </w:tc>
        <w:tc>
          <w:tcPr>
            <w:tcW w:w="1820" w:type="dxa"/>
            <w:vAlign w:val="bottom"/>
          </w:tcPr>
          <w:p>
            <w:pPr>
              <w:spacing w:after="0"/>
              <w:rPr>
                <w:sz w:val="18"/>
                <w:szCs w:val="18"/>
                <w:color w:val="auto"/>
              </w:rPr>
            </w:pPr>
          </w:p>
        </w:tc>
      </w:tr>
      <w:tr>
        <w:trPr>
          <w:trHeight w:val="492"/>
        </w:trPr>
        <w:tc>
          <w:tcPr>
            <w:tcW w:w="720" w:type="dxa"/>
            <w:vAlign w:val="bottom"/>
          </w:tcPr>
          <w:p>
            <w:pPr>
              <w:spacing w:after="0"/>
              <w:rPr>
                <w:sz w:val="20"/>
                <w:szCs w:val="20"/>
                <w:color w:val="auto"/>
              </w:rPr>
            </w:pPr>
            <w:r>
              <w:rPr>
                <w:rFonts w:ascii="Arial" w:cs="Arial" w:eastAsia="Arial" w:hAnsi="Arial"/>
                <w:sz w:val="16"/>
                <w:szCs w:val="16"/>
                <w:color w:val="auto"/>
              </w:rPr>
              <w:t>Item 1.</w:t>
            </w:r>
          </w:p>
        </w:tc>
        <w:tc>
          <w:tcPr>
            <w:tcW w:w="5160" w:type="dxa"/>
            <w:vAlign w:val="bottom"/>
          </w:tcPr>
          <w:p>
            <w:pPr>
              <w:ind w:left="140"/>
              <w:spacing w:after="0"/>
              <w:rPr>
                <w:sz w:val="20"/>
                <w:szCs w:val="20"/>
                <w:color w:val="auto"/>
              </w:rPr>
            </w:pPr>
            <w:r>
              <w:rPr>
                <w:rFonts w:ascii="Arial" w:cs="Arial" w:eastAsia="Arial" w:hAnsi="Arial"/>
                <w:sz w:val="16"/>
                <w:szCs w:val="16"/>
                <w:color w:val="auto"/>
              </w:rPr>
              <w:t>Legal Proceedings</w:t>
            </w:r>
          </w:p>
        </w:tc>
        <w:tc>
          <w:tcPr>
            <w:tcW w:w="1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1"/>
        </w:trPr>
        <w:tc>
          <w:tcPr>
            <w:tcW w:w="720" w:type="dxa"/>
            <w:vAlign w:val="bottom"/>
          </w:tcPr>
          <w:p>
            <w:pPr>
              <w:spacing w:after="0"/>
              <w:rPr>
                <w:sz w:val="20"/>
                <w:szCs w:val="20"/>
                <w:color w:val="auto"/>
              </w:rPr>
            </w:pPr>
            <w:r>
              <w:rPr>
                <w:rFonts w:ascii="Arial" w:cs="Arial" w:eastAsia="Arial" w:hAnsi="Arial"/>
                <w:sz w:val="16"/>
                <w:szCs w:val="16"/>
                <w:color w:val="auto"/>
              </w:rPr>
              <w:t>Item 2.</w:t>
            </w:r>
          </w:p>
        </w:tc>
        <w:tc>
          <w:tcPr>
            <w:tcW w:w="5160" w:type="dxa"/>
            <w:vAlign w:val="bottom"/>
          </w:tcPr>
          <w:p>
            <w:pPr>
              <w:ind w:left="140"/>
              <w:spacing w:after="0"/>
              <w:rPr>
                <w:sz w:val="20"/>
                <w:szCs w:val="20"/>
                <w:color w:val="auto"/>
              </w:rPr>
            </w:pPr>
            <w:r>
              <w:rPr>
                <w:rFonts w:ascii="Arial" w:cs="Arial" w:eastAsia="Arial" w:hAnsi="Arial"/>
                <w:sz w:val="16"/>
                <w:szCs w:val="16"/>
                <w:color w:val="auto"/>
              </w:rPr>
              <w:t>Changes in Securities and Use of Proceeds</w:t>
            </w:r>
          </w:p>
        </w:tc>
        <w:tc>
          <w:tcPr>
            <w:tcW w:w="1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1"/>
        </w:trPr>
        <w:tc>
          <w:tcPr>
            <w:tcW w:w="720" w:type="dxa"/>
            <w:vAlign w:val="bottom"/>
          </w:tcPr>
          <w:p>
            <w:pPr>
              <w:spacing w:after="0"/>
              <w:rPr>
                <w:sz w:val="20"/>
                <w:szCs w:val="20"/>
                <w:color w:val="auto"/>
              </w:rPr>
            </w:pPr>
            <w:r>
              <w:rPr>
                <w:rFonts w:ascii="Arial" w:cs="Arial" w:eastAsia="Arial" w:hAnsi="Arial"/>
                <w:sz w:val="16"/>
                <w:szCs w:val="16"/>
                <w:color w:val="auto"/>
              </w:rPr>
              <w:t>Item 3.</w:t>
            </w:r>
          </w:p>
        </w:tc>
        <w:tc>
          <w:tcPr>
            <w:tcW w:w="5160" w:type="dxa"/>
            <w:vAlign w:val="bottom"/>
          </w:tcPr>
          <w:p>
            <w:pPr>
              <w:ind w:left="140"/>
              <w:spacing w:after="0"/>
              <w:rPr>
                <w:sz w:val="20"/>
                <w:szCs w:val="20"/>
                <w:color w:val="auto"/>
              </w:rPr>
            </w:pPr>
            <w:r>
              <w:rPr>
                <w:rFonts w:ascii="Arial" w:cs="Arial" w:eastAsia="Arial" w:hAnsi="Arial"/>
                <w:sz w:val="16"/>
                <w:szCs w:val="16"/>
                <w:color w:val="auto"/>
              </w:rPr>
              <w:t>Defaults Upon Senior Securities</w:t>
            </w:r>
          </w:p>
        </w:tc>
        <w:tc>
          <w:tcPr>
            <w:tcW w:w="1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1"/>
        </w:trPr>
        <w:tc>
          <w:tcPr>
            <w:tcW w:w="720" w:type="dxa"/>
            <w:vAlign w:val="bottom"/>
          </w:tcPr>
          <w:p>
            <w:pPr>
              <w:spacing w:after="0"/>
              <w:rPr>
                <w:sz w:val="20"/>
                <w:szCs w:val="20"/>
                <w:color w:val="auto"/>
              </w:rPr>
            </w:pPr>
            <w:r>
              <w:rPr>
                <w:rFonts w:ascii="Arial" w:cs="Arial" w:eastAsia="Arial" w:hAnsi="Arial"/>
                <w:sz w:val="16"/>
                <w:szCs w:val="16"/>
                <w:color w:val="auto"/>
              </w:rPr>
              <w:t>Item 4.</w:t>
            </w:r>
          </w:p>
        </w:tc>
        <w:tc>
          <w:tcPr>
            <w:tcW w:w="5160" w:type="dxa"/>
            <w:vAlign w:val="bottom"/>
          </w:tcPr>
          <w:p>
            <w:pPr>
              <w:ind w:left="140"/>
              <w:spacing w:after="0"/>
              <w:rPr>
                <w:sz w:val="20"/>
                <w:szCs w:val="20"/>
                <w:color w:val="auto"/>
              </w:rPr>
            </w:pPr>
            <w:r>
              <w:rPr>
                <w:rFonts w:ascii="Arial" w:cs="Arial" w:eastAsia="Arial" w:hAnsi="Arial"/>
                <w:sz w:val="16"/>
                <w:szCs w:val="16"/>
                <w:color w:val="auto"/>
              </w:rPr>
              <w:t>Submission of Matters to a Vote of Security Holders</w:t>
            </w:r>
          </w:p>
        </w:tc>
        <w:tc>
          <w:tcPr>
            <w:tcW w:w="18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21"/>
        </w:trPr>
        <w:tc>
          <w:tcPr>
            <w:tcW w:w="720" w:type="dxa"/>
            <w:vAlign w:val="bottom"/>
          </w:tcPr>
          <w:p>
            <w:pPr>
              <w:spacing w:after="0"/>
              <w:rPr>
                <w:sz w:val="20"/>
                <w:szCs w:val="20"/>
                <w:color w:val="auto"/>
              </w:rPr>
            </w:pPr>
            <w:r>
              <w:rPr>
                <w:rFonts w:ascii="Arial" w:cs="Arial" w:eastAsia="Arial" w:hAnsi="Arial"/>
                <w:sz w:val="16"/>
                <w:szCs w:val="16"/>
                <w:color w:val="auto"/>
              </w:rPr>
              <w:t>Item 5.</w:t>
            </w:r>
          </w:p>
        </w:tc>
        <w:tc>
          <w:tcPr>
            <w:tcW w:w="5160" w:type="dxa"/>
            <w:vAlign w:val="bottom"/>
          </w:tcPr>
          <w:p>
            <w:pPr>
              <w:ind w:left="140"/>
              <w:spacing w:after="0"/>
              <w:rPr>
                <w:sz w:val="20"/>
                <w:szCs w:val="20"/>
                <w:color w:val="auto"/>
              </w:rPr>
            </w:pPr>
            <w:r>
              <w:rPr>
                <w:rFonts w:ascii="Arial" w:cs="Arial" w:eastAsia="Arial" w:hAnsi="Arial"/>
                <w:sz w:val="16"/>
                <w:szCs w:val="16"/>
                <w:color w:val="auto"/>
              </w:rPr>
              <w:t>Other Information</w:t>
            </w:r>
          </w:p>
        </w:tc>
        <w:tc>
          <w:tcPr>
            <w:tcW w:w="18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21"/>
        </w:trPr>
        <w:tc>
          <w:tcPr>
            <w:tcW w:w="720" w:type="dxa"/>
            <w:vAlign w:val="bottom"/>
          </w:tcPr>
          <w:p>
            <w:pPr>
              <w:spacing w:after="0"/>
              <w:rPr>
                <w:sz w:val="20"/>
                <w:szCs w:val="20"/>
                <w:color w:val="auto"/>
              </w:rPr>
            </w:pPr>
            <w:r>
              <w:rPr>
                <w:rFonts w:ascii="Arial" w:cs="Arial" w:eastAsia="Arial" w:hAnsi="Arial"/>
                <w:sz w:val="16"/>
                <w:szCs w:val="16"/>
                <w:color w:val="auto"/>
              </w:rPr>
              <w:t>Item 6.</w:t>
            </w:r>
          </w:p>
        </w:tc>
        <w:tc>
          <w:tcPr>
            <w:tcW w:w="5160" w:type="dxa"/>
            <w:vAlign w:val="bottom"/>
          </w:tcPr>
          <w:p>
            <w:pPr>
              <w:ind w:left="140"/>
              <w:spacing w:after="0"/>
              <w:rPr>
                <w:sz w:val="20"/>
                <w:szCs w:val="20"/>
                <w:color w:val="auto"/>
              </w:rPr>
            </w:pPr>
            <w:r>
              <w:rPr>
                <w:rFonts w:ascii="Arial" w:cs="Arial" w:eastAsia="Arial" w:hAnsi="Arial"/>
                <w:sz w:val="16"/>
                <w:szCs w:val="16"/>
                <w:color w:val="auto"/>
              </w:rPr>
              <w:t>Exhibits and Reports on Form 8-K</w:t>
            </w:r>
          </w:p>
        </w:tc>
        <w:tc>
          <w:tcPr>
            <w:tcW w:w="18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418"/>
        </w:trPr>
        <w:tc>
          <w:tcPr>
            <w:tcW w:w="720" w:type="dxa"/>
            <w:vAlign w:val="bottom"/>
          </w:tcPr>
          <w:p>
            <w:pPr>
              <w:ind w:left="120"/>
              <w:spacing w:after="0"/>
              <w:rPr>
                <w:sz w:val="20"/>
                <w:szCs w:val="20"/>
                <w:color w:val="auto"/>
              </w:rPr>
            </w:pPr>
            <w:r>
              <w:rPr>
                <w:rFonts w:ascii="Arial" w:cs="Arial" w:eastAsia="Arial" w:hAnsi="Arial"/>
                <w:sz w:val="16"/>
                <w:szCs w:val="16"/>
                <w:b w:val="1"/>
                <w:bCs w:val="1"/>
                <w:color w:val="auto"/>
              </w:rPr>
              <w:t>PART I</w:t>
            </w:r>
          </w:p>
        </w:tc>
        <w:tc>
          <w:tcPr>
            <w:tcW w:w="5160" w:type="dxa"/>
            <w:vAlign w:val="bottom"/>
          </w:tcPr>
          <w:p>
            <w:pPr>
              <w:ind w:left="80"/>
              <w:spacing w:after="0"/>
              <w:rPr>
                <w:sz w:val="20"/>
                <w:szCs w:val="20"/>
                <w:color w:val="auto"/>
              </w:rPr>
            </w:pPr>
            <w:r>
              <w:rPr>
                <w:rFonts w:ascii="Arial" w:cs="Arial" w:eastAsia="Arial" w:hAnsi="Arial"/>
                <w:sz w:val="16"/>
                <w:szCs w:val="16"/>
                <w:b w:val="1"/>
                <w:bCs w:val="1"/>
                <w:color w:val="auto"/>
              </w:rPr>
              <w:t>FINANCIAL INFORMATION</w:t>
            </w:r>
          </w:p>
        </w:tc>
        <w:tc>
          <w:tcPr>
            <w:tcW w:w="1820" w:type="dxa"/>
            <w:vAlign w:val="bottom"/>
          </w:tcPr>
          <w:p>
            <w:pPr>
              <w:spacing w:after="0"/>
              <w:rPr>
                <w:sz w:val="24"/>
                <w:szCs w:val="24"/>
                <w:color w:val="auto"/>
              </w:rPr>
            </w:pPr>
          </w:p>
        </w:tc>
      </w:tr>
      <w:tr>
        <w:trPr>
          <w:trHeight w:val="492"/>
        </w:trPr>
        <w:tc>
          <w:tcPr>
            <w:tcW w:w="720" w:type="dxa"/>
            <w:vAlign w:val="bottom"/>
          </w:tcPr>
          <w:p>
            <w:pPr>
              <w:ind w:left="120"/>
              <w:spacing w:after="0"/>
              <w:rPr>
                <w:sz w:val="20"/>
                <w:szCs w:val="20"/>
                <w:color w:val="auto"/>
              </w:rPr>
            </w:pPr>
            <w:r>
              <w:rPr>
                <w:rFonts w:ascii="Arial" w:cs="Arial" w:eastAsia="Arial" w:hAnsi="Arial"/>
                <w:sz w:val="16"/>
                <w:szCs w:val="16"/>
                <w:b w:val="1"/>
                <w:bCs w:val="1"/>
                <w:color w:val="auto"/>
              </w:rPr>
              <w:t>Item 1.</w:t>
            </w:r>
          </w:p>
        </w:tc>
        <w:tc>
          <w:tcPr>
            <w:tcW w:w="5160" w:type="dxa"/>
            <w:vAlign w:val="bottom"/>
          </w:tcPr>
          <w:p>
            <w:pPr>
              <w:ind w:left="80"/>
              <w:spacing w:after="0"/>
              <w:rPr>
                <w:sz w:val="20"/>
                <w:szCs w:val="20"/>
                <w:color w:val="auto"/>
              </w:rPr>
            </w:pPr>
            <w:r>
              <w:rPr>
                <w:rFonts w:ascii="Arial" w:cs="Arial" w:eastAsia="Arial" w:hAnsi="Arial"/>
                <w:sz w:val="16"/>
                <w:szCs w:val="16"/>
                <w:b w:val="1"/>
                <w:bCs w:val="1"/>
                <w:color w:val="auto"/>
              </w:rPr>
              <w:t>Financial Statements-Unaudited</w:t>
            </w:r>
          </w:p>
        </w:tc>
        <w:tc>
          <w:tcPr>
            <w:tcW w:w="1820" w:type="dxa"/>
            <w:vAlign w:val="bottom"/>
          </w:tcPr>
          <w:p>
            <w:pPr>
              <w:spacing w:after="0"/>
              <w:rPr>
                <w:sz w:val="24"/>
                <w:szCs w:val="24"/>
                <w:color w:val="auto"/>
              </w:rPr>
            </w:pPr>
          </w:p>
        </w:tc>
      </w:tr>
    </w:tbl>
    <w:p>
      <w:pPr>
        <w:sectPr>
          <w:pgSz w:w="11900" w:h="16838" w:orient="portrait"/>
          <w:cols w:equalWidth="0" w:num="1">
            <w:col w:w="9380"/>
          </w:cols>
          <w:pgMar w:left="1440" w:top="315" w:right="1079" w:bottom="0" w:gutter="0" w:footer="0" w:header="0"/>
        </w:sectPr>
      </w:pPr>
    </w:p>
    <w:bookmarkStart w:id="1" w:name="page2"/>
    <w:bookmarkEnd w:id="1"/>
    <w:p>
      <w:pPr>
        <w:spacing w:after="0" w:line="37"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6760" w:type="dxa"/>
            <w:vAlign w:val="bottom"/>
            <w:gridSpan w:val="17"/>
          </w:tcPr>
          <w:p>
            <w:pPr>
              <w:spacing w:after="0"/>
              <w:rPr>
                <w:sz w:val="20"/>
                <w:szCs w:val="20"/>
                <w:color w:val="auto"/>
              </w:rPr>
            </w:pPr>
            <w:r>
              <w:rPr>
                <w:rFonts w:ascii="Arial" w:cs="Arial" w:eastAsia="Arial" w:hAnsi="Arial"/>
                <w:sz w:val="16"/>
                <w:szCs w:val="16"/>
                <w:color w:val="auto"/>
                <w:w w:val="92"/>
              </w:rPr>
              <w:t>Consolidated Condensed Balance Sheets as of January 31, 2003, July 31, 2002 and January 31, 2002</w:t>
            </w:r>
          </w:p>
        </w:tc>
        <w:tc>
          <w:tcPr>
            <w:tcW w:w="140" w:type="dxa"/>
            <w:vAlign w:val="bottom"/>
          </w:tcPr>
          <w:p>
            <w:pPr>
              <w:spacing w:after="0"/>
              <w:rPr>
                <w:sz w:val="17"/>
                <w:szCs w:val="17"/>
                <w:color w:val="auto"/>
              </w:rPr>
            </w:pPr>
          </w:p>
        </w:tc>
        <w:tc>
          <w:tcPr>
            <w:tcW w:w="500" w:type="dxa"/>
            <w:vAlign w:val="bottom"/>
            <w:gridSpan w:val="2"/>
          </w:tcPr>
          <w:p>
            <w:pPr>
              <w:ind w:left="280"/>
              <w:spacing w:after="0"/>
              <w:rPr>
                <w:sz w:val="20"/>
                <w:szCs w:val="20"/>
                <w:color w:val="auto"/>
              </w:rPr>
            </w:pPr>
            <w:r>
              <w:rPr>
                <w:rFonts w:ascii="Arial" w:cs="Arial" w:eastAsia="Arial" w:hAnsi="Arial"/>
                <w:sz w:val="16"/>
                <w:szCs w:val="16"/>
                <w:color w:val="auto"/>
                <w:w w:val="83"/>
              </w:rPr>
              <w:t>F-2</w:t>
            </w:r>
          </w:p>
        </w:tc>
      </w:tr>
      <w:tr>
        <w:trPr>
          <w:trHeight w:val="221"/>
        </w:trPr>
        <w:tc>
          <w:tcPr>
            <w:tcW w:w="6900" w:type="dxa"/>
            <w:vAlign w:val="bottom"/>
            <w:gridSpan w:val="18"/>
          </w:tcPr>
          <w:p>
            <w:pPr>
              <w:spacing w:after="0"/>
              <w:rPr>
                <w:sz w:val="20"/>
                <w:szCs w:val="20"/>
                <w:color w:val="auto"/>
              </w:rPr>
            </w:pPr>
            <w:r>
              <w:rPr>
                <w:rFonts w:ascii="Arial" w:cs="Arial" w:eastAsia="Arial" w:hAnsi="Arial"/>
                <w:sz w:val="16"/>
                <w:szCs w:val="16"/>
                <w:color w:val="auto"/>
                <w:w w:val="89"/>
              </w:rPr>
              <w:t>Consolidated Condensed Statements of Operations for the Three Months Ended January 31, 2003 and 2002</w:t>
            </w:r>
          </w:p>
        </w:tc>
        <w:tc>
          <w:tcPr>
            <w:tcW w:w="500" w:type="dxa"/>
            <w:vAlign w:val="bottom"/>
            <w:gridSpan w:val="2"/>
          </w:tcPr>
          <w:p>
            <w:pPr>
              <w:ind w:left="280"/>
              <w:spacing w:after="0"/>
              <w:rPr>
                <w:sz w:val="20"/>
                <w:szCs w:val="20"/>
                <w:color w:val="auto"/>
              </w:rPr>
            </w:pPr>
            <w:r>
              <w:rPr>
                <w:rFonts w:ascii="Arial" w:cs="Arial" w:eastAsia="Arial" w:hAnsi="Arial"/>
                <w:sz w:val="16"/>
                <w:szCs w:val="16"/>
                <w:color w:val="auto"/>
                <w:w w:val="83"/>
              </w:rPr>
              <w:t>F-3</w:t>
            </w:r>
          </w:p>
        </w:tc>
      </w:tr>
      <w:tr>
        <w:trPr>
          <w:trHeight w:val="221"/>
        </w:trPr>
        <w:tc>
          <w:tcPr>
            <w:tcW w:w="6760" w:type="dxa"/>
            <w:vAlign w:val="bottom"/>
            <w:gridSpan w:val="17"/>
          </w:tcPr>
          <w:p>
            <w:pPr>
              <w:spacing w:after="0"/>
              <w:rPr>
                <w:sz w:val="20"/>
                <w:szCs w:val="20"/>
                <w:color w:val="auto"/>
              </w:rPr>
            </w:pPr>
            <w:r>
              <w:rPr>
                <w:rFonts w:ascii="Arial" w:cs="Arial" w:eastAsia="Arial" w:hAnsi="Arial"/>
                <w:sz w:val="16"/>
                <w:szCs w:val="16"/>
                <w:color w:val="auto"/>
                <w:w w:val="89"/>
              </w:rPr>
              <w:t>Consolidated Condensed Statements of Operations for the Six Months Ended January 31, 2003 and 2002</w:t>
            </w:r>
          </w:p>
        </w:tc>
        <w:tc>
          <w:tcPr>
            <w:tcW w:w="14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6"/>
                <w:szCs w:val="16"/>
                <w:color w:val="auto"/>
                <w:w w:val="83"/>
              </w:rPr>
              <w:t>F-4</w:t>
            </w:r>
          </w:p>
        </w:tc>
      </w:tr>
      <w:tr>
        <w:trPr>
          <w:trHeight w:val="221"/>
        </w:trPr>
        <w:tc>
          <w:tcPr>
            <w:tcW w:w="6760" w:type="dxa"/>
            <w:vAlign w:val="bottom"/>
            <w:gridSpan w:val="17"/>
          </w:tcPr>
          <w:p>
            <w:pPr>
              <w:spacing w:after="0"/>
              <w:rPr>
                <w:sz w:val="20"/>
                <w:szCs w:val="20"/>
                <w:color w:val="auto"/>
              </w:rPr>
            </w:pPr>
            <w:r>
              <w:rPr>
                <w:rFonts w:ascii="Arial" w:cs="Arial" w:eastAsia="Arial" w:hAnsi="Arial"/>
                <w:sz w:val="16"/>
                <w:szCs w:val="16"/>
                <w:color w:val="auto"/>
                <w:w w:val="89"/>
              </w:rPr>
              <w:t>Consolidated Condensed Statements of Cash Flows for the Six Months Ended January 31, 2003 and 2002</w:t>
            </w:r>
          </w:p>
        </w:tc>
        <w:tc>
          <w:tcPr>
            <w:tcW w:w="14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6"/>
                <w:szCs w:val="16"/>
                <w:color w:val="auto"/>
                <w:w w:val="83"/>
              </w:rPr>
              <w:t>F-5</w:t>
            </w:r>
          </w:p>
        </w:tc>
      </w:tr>
      <w:tr>
        <w:trPr>
          <w:trHeight w:val="221"/>
        </w:trPr>
        <w:tc>
          <w:tcPr>
            <w:tcW w:w="4520" w:type="dxa"/>
            <w:vAlign w:val="bottom"/>
          </w:tcPr>
          <w:p>
            <w:pPr>
              <w:spacing w:after="0"/>
              <w:rPr>
                <w:sz w:val="20"/>
                <w:szCs w:val="20"/>
                <w:color w:val="auto"/>
              </w:rPr>
            </w:pPr>
            <w:r>
              <w:rPr>
                <w:rFonts w:ascii="Arial" w:cs="Arial" w:eastAsia="Arial" w:hAnsi="Arial"/>
                <w:sz w:val="16"/>
                <w:szCs w:val="16"/>
                <w:color w:val="auto"/>
              </w:rPr>
              <w:t>Notes to Consolidated Condensed Financial Statements</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ind w:left="280"/>
              <w:spacing w:after="0"/>
              <w:rPr>
                <w:sz w:val="20"/>
                <w:szCs w:val="20"/>
                <w:color w:val="auto"/>
              </w:rPr>
            </w:pPr>
            <w:r>
              <w:rPr>
                <w:rFonts w:ascii="Arial" w:cs="Arial" w:eastAsia="Arial" w:hAnsi="Arial"/>
                <w:sz w:val="16"/>
                <w:szCs w:val="16"/>
                <w:color w:val="auto"/>
                <w:w w:val="83"/>
              </w:rPr>
              <w:t>F-6</w:t>
            </w:r>
          </w:p>
        </w:tc>
      </w:tr>
      <w:tr>
        <w:trPr>
          <w:trHeight w:val="394"/>
        </w:trPr>
        <w:tc>
          <w:tcPr>
            <w:tcW w:w="4520" w:type="dxa"/>
            <w:vAlign w:val="bottom"/>
          </w:tcPr>
          <w:p>
            <w:pPr>
              <w:ind w:left="3140"/>
              <w:spacing w:after="0"/>
              <w:rPr>
                <w:sz w:val="20"/>
                <w:szCs w:val="20"/>
                <w:color w:val="auto"/>
              </w:rPr>
            </w:pPr>
            <w:r>
              <w:rPr>
                <w:rFonts w:ascii="Arial" w:cs="Arial" w:eastAsia="Arial" w:hAnsi="Arial"/>
                <w:sz w:val="16"/>
                <w:szCs w:val="16"/>
                <w:b w:val="1"/>
                <w:bCs w:val="1"/>
                <w:color w:val="auto"/>
              </w:rPr>
              <w:t>Vail Resorts, Inc.</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5500" w:type="dxa"/>
            <w:vAlign w:val="bottom"/>
            <w:gridSpan w:val="7"/>
          </w:tcPr>
          <w:p>
            <w:pPr>
              <w:ind w:left="2360"/>
              <w:spacing w:after="0"/>
              <w:rPr>
                <w:sz w:val="20"/>
                <w:szCs w:val="20"/>
                <w:color w:val="auto"/>
              </w:rPr>
            </w:pPr>
            <w:r>
              <w:rPr>
                <w:rFonts w:ascii="Arial" w:cs="Arial" w:eastAsia="Arial" w:hAnsi="Arial"/>
                <w:sz w:val="16"/>
                <w:szCs w:val="16"/>
                <w:b w:val="1"/>
                <w:bCs w:val="1"/>
                <w:color w:val="auto"/>
                <w:w w:val="98"/>
              </w:rPr>
              <w:t>Consolidated Condensed Balance Sheets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8"/>
        </w:trPr>
        <w:tc>
          <w:tcPr>
            <w:tcW w:w="5500" w:type="dxa"/>
            <w:vAlign w:val="bottom"/>
            <w:gridSpan w:val="7"/>
          </w:tcPr>
          <w:p>
            <w:pPr>
              <w:ind w:left="1960"/>
              <w:spacing w:after="0"/>
              <w:rPr>
                <w:sz w:val="20"/>
                <w:szCs w:val="20"/>
                <w:color w:val="auto"/>
              </w:rPr>
            </w:pPr>
            <w:r>
              <w:rPr>
                <w:rFonts w:ascii="Arial" w:cs="Arial" w:eastAsia="Arial" w:hAnsi="Arial"/>
                <w:sz w:val="16"/>
                <w:szCs w:val="16"/>
                <w:b w:val="1"/>
                <w:bCs w:val="1"/>
                <w:color w:val="auto"/>
                <w:w w:val="88"/>
              </w:rPr>
              <w:t>(In thousands, except share and per share amounts)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6"/>
        </w:trPr>
        <w:tc>
          <w:tcPr>
            <w:tcW w:w="4520" w:type="dxa"/>
            <w:vAlign w:val="bottom"/>
          </w:tcPr>
          <w:p>
            <w:pPr>
              <w:spacing w:after="0"/>
              <w:rPr>
                <w:sz w:val="24"/>
                <w:szCs w:val="24"/>
                <w:color w:val="auto"/>
              </w:rPr>
            </w:pPr>
          </w:p>
        </w:tc>
        <w:tc>
          <w:tcPr>
            <w:tcW w:w="980" w:type="dxa"/>
            <w:vAlign w:val="bottom"/>
            <w:gridSpan w:val="6"/>
          </w:tcPr>
          <w:p>
            <w:pPr>
              <w:jc w:val="center"/>
              <w:ind w:right="200"/>
              <w:spacing w:after="0"/>
              <w:rPr>
                <w:sz w:val="20"/>
                <w:szCs w:val="20"/>
                <w:color w:val="auto"/>
              </w:rPr>
            </w:pPr>
            <w:r>
              <w:rPr>
                <w:rFonts w:ascii="Arial" w:cs="Arial" w:eastAsia="Arial" w:hAnsi="Arial"/>
                <w:sz w:val="16"/>
                <w:szCs w:val="16"/>
                <w:b w:val="1"/>
                <w:bCs w:val="1"/>
                <w:color w:val="auto"/>
                <w:w w:val="88"/>
              </w:rPr>
              <w:t>January 31,</w:t>
            </w:r>
          </w:p>
        </w:tc>
        <w:tc>
          <w:tcPr>
            <w:tcW w:w="20" w:type="dxa"/>
            <w:vAlign w:val="bottom"/>
          </w:tcPr>
          <w:p>
            <w:pPr>
              <w:spacing w:after="0"/>
              <w:rPr>
                <w:sz w:val="24"/>
                <w:szCs w:val="24"/>
                <w:color w:val="auto"/>
              </w:rPr>
            </w:pPr>
          </w:p>
        </w:tc>
        <w:tc>
          <w:tcPr>
            <w:tcW w:w="900" w:type="dxa"/>
            <w:vAlign w:val="bottom"/>
            <w:gridSpan w:val="7"/>
          </w:tcPr>
          <w:p>
            <w:pPr>
              <w:ind w:left="80"/>
              <w:spacing w:after="0"/>
              <w:rPr>
                <w:sz w:val="20"/>
                <w:szCs w:val="20"/>
                <w:color w:val="auto"/>
              </w:rPr>
            </w:pPr>
            <w:r>
              <w:rPr>
                <w:rFonts w:ascii="Arial" w:cs="Arial" w:eastAsia="Arial" w:hAnsi="Arial"/>
                <w:sz w:val="16"/>
                <w:szCs w:val="16"/>
                <w:b w:val="1"/>
                <w:bCs w:val="1"/>
                <w:color w:val="auto"/>
              </w:rPr>
              <w:t>July 31,</w:t>
            </w:r>
          </w:p>
        </w:tc>
        <w:tc>
          <w:tcPr>
            <w:tcW w:w="980" w:type="dxa"/>
            <w:vAlign w:val="bottom"/>
            <w:gridSpan w:val="5"/>
          </w:tcPr>
          <w:p>
            <w:pPr>
              <w:ind w:left="20"/>
              <w:spacing w:after="0"/>
              <w:rPr>
                <w:sz w:val="20"/>
                <w:szCs w:val="20"/>
                <w:color w:val="auto"/>
              </w:rPr>
            </w:pPr>
            <w:r>
              <w:rPr>
                <w:rFonts w:ascii="Arial" w:cs="Arial" w:eastAsia="Arial" w:hAnsi="Arial"/>
                <w:sz w:val="16"/>
                <w:szCs w:val="16"/>
                <w:b w:val="1"/>
                <w:bCs w:val="1"/>
                <w:color w:val="auto"/>
              </w:rPr>
              <w:t>January 31,</w:t>
            </w:r>
          </w:p>
        </w:tc>
      </w:tr>
      <w:tr>
        <w:trPr>
          <w:trHeight w:val="210"/>
        </w:trPr>
        <w:tc>
          <w:tcPr>
            <w:tcW w:w="452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6"/>
                <w:szCs w:val="16"/>
                <w:b w:val="1"/>
                <w:bCs w:val="1"/>
                <w:color w:val="auto"/>
              </w:rPr>
              <w:t>2003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2002</w:t>
            </w:r>
          </w:p>
        </w:tc>
        <w:tc>
          <w:tcPr>
            <w:tcW w:w="2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2002</w:t>
            </w:r>
          </w:p>
        </w:tc>
        <w:tc>
          <w:tcPr>
            <w:tcW w:w="100" w:type="dxa"/>
            <w:vAlign w:val="bottom"/>
          </w:tcPr>
          <w:p>
            <w:pPr>
              <w:spacing w:after="0"/>
              <w:rPr>
                <w:sz w:val="18"/>
                <w:szCs w:val="18"/>
                <w:color w:val="auto"/>
              </w:rPr>
            </w:pPr>
          </w:p>
        </w:tc>
      </w:tr>
      <w:tr>
        <w:trPr>
          <w:trHeight w:val="262"/>
        </w:trPr>
        <w:tc>
          <w:tcPr>
            <w:tcW w:w="4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gridSpan w:val="5"/>
          </w:tcPr>
          <w:p>
            <w:pPr>
              <w:ind w:left="20"/>
              <w:spacing w:after="0"/>
              <w:rPr>
                <w:sz w:val="20"/>
                <w:szCs w:val="20"/>
                <w:color w:val="auto"/>
              </w:rPr>
            </w:pPr>
            <w:r>
              <w:rPr>
                <w:rFonts w:ascii="Arial" w:cs="Arial" w:eastAsia="Arial" w:hAnsi="Arial"/>
                <w:sz w:val="16"/>
                <w:szCs w:val="16"/>
                <w:color w:val="auto"/>
              </w:rPr>
              <w:t>(as restated)</w:t>
            </w:r>
          </w:p>
        </w:tc>
      </w:tr>
      <w:tr>
        <w:trPr>
          <w:trHeight w:val="246"/>
        </w:trPr>
        <w:tc>
          <w:tcPr>
            <w:tcW w:w="4520" w:type="dxa"/>
            <w:vAlign w:val="bottom"/>
          </w:tcPr>
          <w:p>
            <w:pPr>
              <w:spacing w:after="0"/>
              <w:rPr>
                <w:sz w:val="21"/>
                <w:szCs w:val="21"/>
                <w:color w:val="auto"/>
              </w:rPr>
            </w:pPr>
          </w:p>
        </w:tc>
        <w:tc>
          <w:tcPr>
            <w:tcW w:w="980" w:type="dxa"/>
            <w:vAlign w:val="bottom"/>
            <w:gridSpan w:val="6"/>
          </w:tcPr>
          <w:p>
            <w:pPr>
              <w:jc w:val="center"/>
              <w:ind w:right="240"/>
              <w:spacing w:after="0"/>
              <w:rPr>
                <w:sz w:val="20"/>
                <w:szCs w:val="20"/>
                <w:color w:val="auto"/>
              </w:rPr>
            </w:pPr>
            <w:r>
              <w:rPr>
                <w:rFonts w:ascii="Arial" w:cs="Arial" w:eastAsia="Arial" w:hAnsi="Arial"/>
                <w:sz w:val="16"/>
                <w:szCs w:val="16"/>
                <w:color w:val="auto"/>
                <w:w w:val="91"/>
              </w:rPr>
              <w:t>(unaudited)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5"/>
          </w:tcPr>
          <w:p>
            <w:pPr>
              <w:ind w:left="40"/>
              <w:spacing w:after="0"/>
              <w:rPr>
                <w:sz w:val="20"/>
                <w:szCs w:val="20"/>
                <w:color w:val="auto"/>
              </w:rPr>
            </w:pPr>
            <w:r>
              <w:rPr>
                <w:rFonts w:ascii="Arial" w:cs="Arial" w:eastAsia="Arial" w:hAnsi="Arial"/>
                <w:sz w:val="16"/>
                <w:szCs w:val="16"/>
                <w:color w:val="auto"/>
              </w:rPr>
              <w:t>(unaudited)</w:t>
            </w:r>
          </w:p>
        </w:tc>
      </w:tr>
      <w:tr>
        <w:trPr>
          <w:trHeight w:val="246"/>
        </w:trPr>
        <w:tc>
          <w:tcPr>
            <w:tcW w:w="4520" w:type="dxa"/>
            <w:vAlign w:val="bottom"/>
          </w:tcPr>
          <w:p>
            <w:pPr>
              <w:ind w:left="160"/>
              <w:spacing w:after="0"/>
              <w:rPr>
                <w:sz w:val="20"/>
                <w:szCs w:val="20"/>
                <w:color w:val="auto"/>
              </w:rPr>
            </w:pPr>
            <w:r>
              <w:rPr>
                <w:rFonts w:ascii="Arial" w:cs="Arial" w:eastAsia="Arial" w:hAnsi="Arial"/>
                <w:sz w:val="16"/>
                <w:szCs w:val="16"/>
                <w:b w:val="1"/>
                <w:bCs w:val="1"/>
                <w:color w:val="auto"/>
              </w:rPr>
              <w:t>Assets</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4520" w:type="dxa"/>
            <w:vAlign w:val="bottom"/>
          </w:tcPr>
          <w:p>
            <w:pPr>
              <w:ind w:left="160"/>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2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7"/>
          </w:tcPr>
          <w:p>
            <w:pPr>
              <w:jc w:val="right"/>
              <w:ind w:right="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r>
      <w:tr>
        <w:trPr>
          <w:trHeight w:val="204"/>
        </w:trPr>
        <w:tc>
          <w:tcPr>
            <w:tcW w:w="4520" w:type="dxa"/>
            <w:vAlign w:val="bottom"/>
          </w:tcPr>
          <w:p>
            <w:pPr>
              <w:ind w:left="44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24,690</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25,965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26,230</w:t>
            </w:r>
          </w:p>
        </w:tc>
        <w:tc>
          <w:tcPr>
            <w:tcW w:w="100" w:type="dxa"/>
            <w:vAlign w:val="bottom"/>
          </w:tcPr>
          <w:p>
            <w:pPr>
              <w:spacing w:after="0"/>
              <w:rPr>
                <w:sz w:val="17"/>
                <w:szCs w:val="17"/>
                <w:color w:val="auto"/>
              </w:rPr>
            </w:pPr>
          </w:p>
        </w:tc>
      </w:tr>
      <w:tr>
        <w:trPr>
          <w:trHeight w:val="246"/>
        </w:trPr>
        <w:tc>
          <w:tcPr>
            <w:tcW w:w="4520" w:type="dxa"/>
            <w:vAlign w:val="bottom"/>
          </w:tcPr>
          <w:p>
            <w:pPr>
              <w:ind w:left="460"/>
              <w:spacing w:after="0"/>
              <w:rPr>
                <w:sz w:val="20"/>
                <w:szCs w:val="20"/>
                <w:color w:val="auto"/>
              </w:rPr>
            </w:pPr>
            <w:r>
              <w:rPr>
                <w:rFonts w:ascii="Arial" w:cs="Arial" w:eastAsia="Arial" w:hAnsi="Arial"/>
                <w:sz w:val="16"/>
                <w:szCs w:val="16"/>
                <w:color w:val="auto"/>
              </w:rPr>
              <w:t>Receivables, net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41,656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31,837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40,346</w:t>
            </w:r>
          </w:p>
        </w:tc>
        <w:tc>
          <w:tcPr>
            <w:tcW w:w="100" w:type="dxa"/>
            <w:vAlign w:val="bottom"/>
          </w:tcPr>
          <w:p>
            <w:pPr>
              <w:spacing w:after="0"/>
              <w:rPr>
                <w:sz w:val="21"/>
                <w:szCs w:val="21"/>
                <w:color w:val="auto"/>
              </w:rPr>
            </w:pPr>
          </w:p>
        </w:tc>
      </w:tr>
      <w:tr>
        <w:trPr>
          <w:trHeight w:val="246"/>
        </w:trPr>
        <w:tc>
          <w:tcPr>
            <w:tcW w:w="4520" w:type="dxa"/>
            <w:vAlign w:val="bottom"/>
          </w:tcPr>
          <w:p>
            <w:pPr>
              <w:ind w:left="460"/>
              <w:spacing w:after="0"/>
              <w:rPr>
                <w:sz w:val="20"/>
                <w:szCs w:val="20"/>
                <w:color w:val="auto"/>
              </w:rPr>
            </w:pPr>
            <w:r>
              <w:rPr>
                <w:rFonts w:ascii="Arial" w:cs="Arial" w:eastAsia="Arial" w:hAnsi="Arial"/>
                <w:sz w:val="16"/>
                <w:szCs w:val="16"/>
                <w:color w:val="auto"/>
              </w:rPr>
              <w:t>Inventories, net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36,022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32,326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29,538</w:t>
            </w:r>
          </w:p>
        </w:tc>
        <w:tc>
          <w:tcPr>
            <w:tcW w:w="100" w:type="dxa"/>
            <w:vAlign w:val="bottom"/>
          </w:tcPr>
          <w:p>
            <w:pPr>
              <w:spacing w:after="0"/>
              <w:rPr>
                <w:sz w:val="21"/>
                <w:szCs w:val="21"/>
                <w:color w:val="auto"/>
              </w:rPr>
            </w:pPr>
          </w:p>
        </w:tc>
      </w:tr>
      <w:tr>
        <w:trPr>
          <w:trHeight w:val="210"/>
        </w:trPr>
        <w:tc>
          <w:tcPr>
            <w:tcW w:w="4520" w:type="dxa"/>
            <w:vAlign w:val="bottom"/>
          </w:tcPr>
          <w:p>
            <w:pPr>
              <w:ind w:left="460"/>
              <w:spacing w:after="0"/>
              <w:rPr>
                <w:sz w:val="20"/>
                <w:szCs w:val="20"/>
                <w:color w:val="auto"/>
              </w:rPr>
            </w:pPr>
            <w:r>
              <w:rPr>
                <w:rFonts w:ascii="Arial" w:cs="Arial" w:eastAsia="Arial" w:hAnsi="Arial"/>
                <w:sz w:val="16"/>
                <w:szCs w:val="16"/>
                <w:color w:val="auto"/>
              </w:rPr>
              <w:t>Other current assets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26,753</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color w:val="auto"/>
              </w:rPr>
              <w:t>19,288</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24,310</w:t>
            </w:r>
          </w:p>
        </w:tc>
        <w:tc>
          <w:tcPr>
            <w:tcW w:w="100" w:type="dxa"/>
            <w:vAlign w:val="bottom"/>
          </w:tcPr>
          <w:p>
            <w:pPr>
              <w:spacing w:after="0"/>
              <w:rPr>
                <w:sz w:val="18"/>
                <w:szCs w:val="18"/>
                <w:color w:val="auto"/>
              </w:rPr>
            </w:pPr>
          </w:p>
        </w:tc>
      </w:tr>
      <w:tr>
        <w:trPr>
          <w:trHeight w:val="262"/>
        </w:trPr>
        <w:tc>
          <w:tcPr>
            <w:tcW w:w="45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129,121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109,416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9"/>
              </w:rPr>
              <w:t>120,424</w:t>
            </w:r>
          </w:p>
        </w:tc>
        <w:tc>
          <w:tcPr>
            <w:tcW w:w="100" w:type="dxa"/>
            <w:vAlign w:val="bottom"/>
          </w:tcPr>
          <w:p>
            <w:pPr>
              <w:spacing w:after="0"/>
              <w:rPr>
                <w:sz w:val="22"/>
                <w:szCs w:val="22"/>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Property, plant and equipment, net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946,501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913,806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9"/>
              </w:rPr>
              <w:t>788,795</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Real estate held for sale and investment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136,983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161,778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9"/>
              </w:rPr>
              <w:t>172,231</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Goodwill, net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141,596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139,600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9"/>
              </w:rPr>
              <w:t>132,342</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Other intangibles, net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81,333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77,986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70,707</w:t>
            </w:r>
          </w:p>
        </w:tc>
        <w:tc>
          <w:tcPr>
            <w:tcW w:w="100" w:type="dxa"/>
            <w:vAlign w:val="bottom"/>
          </w:tcPr>
          <w:p>
            <w:pPr>
              <w:spacing w:after="0"/>
              <w:rPr>
                <w:sz w:val="19"/>
                <w:szCs w:val="19"/>
                <w:color w:val="auto"/>
              </w:rPr>
            </w:pPr>
          </w:p>
        </w:tc>
      </w:tr>
      <w:tr>
        <w:trPr>
          <w:trHeight w:val="186"/>
        </w:trPr>
        <w:tc>
          <w:tcPr>
            <w:tcW w:w="4520" w:type="dxa"/>
            <w:vAlign w:val="bottom"/>
          </w:tcPr>
          <w:p>
            <w:pPr>
              <w:ind w:left="160"/>
              <w:spacing w:after="0"/>
              <w:rPr>
                <w:sz w:val="20"/>
                <w:szCs w:val="20"/>
                <w:color w:val="auto"/>
              </w:rPr>
            </w:pPr>
            <w:r>
              <w:rPr>
                <w:rFonts w:ascii="Arial" w:cs="Arial" w:eastAsia="Arial" w:hAnsi="Arial"/>
                <w:sz w:val="16"/>
                <w:szCs w:val="16"/>
                <w:color w:val="auto"/>
              </w:rPr>
              <w:t>Other assets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38,832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color w:val="auto"/>
              </w:rPr>
              <w:t>45,124</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47,433</w:t>
            </w:r>
          </w:p>
        </w:tc>
        <w:tc>
          <w:tcPr>
            <w:tcW w:w="100" w:type="dxa"/>
            <w:vAlign w:val="bottom"/>
          </w:tcPr>
          <w:p>
            <w:pPr>
              <w:spacing w:after="0"/>
              <w:rPr>
                <w:sz w:val="16"/>
                <w:szCs w:val="16"/>
                <w:color w:val="auto"/>
              </w:rPr>
            </w:pPr>
          </w:p>
        </w:tc>
      </w:tr>
      <w:tr>
        <w:trPr>
          <w:trHeight w:val="226"/>
        </w:trPr>
        <w:tc>
          <w:tcPr>
            <w:tcW w:w="452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w w:val="96"/>
              </w:rPr>
              <w:t>$ 1,474,366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w w:val="94"/>
              </w:rPr>
              <w:t>$  1,447,710</w:t>
            </w:r>
          </w:p>
        </w:tc>
        <w:tc>
          <w:tcPr>
            <w:tcW w:w="880" w:type="dxa"/>
            <w:vAlign w:val="bottom"/>
            <w:gridSpan w:val="4"/>
          </w:tcPr>
          <w:p>
            <w:pPr>
              <w:jc w:val="right"/>
              <w:spacing w:after="0"/>
              <w:rPr>
                <w:sz w:val="20"/>
                <w:szCs w:val="20"/>
                <w:color w:val="auto"/>
              </w:rPr>
            </w:pPr>
            <w:r>
              <w:rPr>
                <w:rFonts w:ascii="Arial" w:cs="Arial" w:eastAsia="Arial" w:hAnsi="Arial"/>
                <w:sz w:val="16"/>
                <w:szCs w:val="16"/>
                <w:color w:val="auto"/>
              </w:rPr>
              <w:t>$ 1,331,932</w:t>
            </w:r>
          </w:p>
        </w:tc>
        <w:tc>
          <w:tcPr>
            <w:tcW w:w="100" w:type="dxa"/>
            <w:vAlign w:val="bottom"/>
          </w:tcPr>
          <w:p>
            <w:pPr>
              <w:spacing w:after="0"/>
              <w:rPr>
                <w:sz w:val="19"/>
                <w:szCs w:val="19"/>
                <w:color w:val="auto"/>
              </w:rPr>
            </w:pPr>
          </w:p>
        </w:tc>
      </w:tr>
      <w:tr>
        <w:trPr>
          <w:trHeight w:val="483"/>
        </w:trPr>
        <w:tc>
          <w:tcPr>
            <w:tcW w:w="4520" w:type="dxa"/>
            <w:vAlign w:val="bottom"/>
          </w:tcPr>
          <w:p>
            <w:pPr>
              <w:ind w:left="160"/>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4520" w:type="dxa"/>
            <w:vAlign w:val="bottom"/>
          </w:tcPr>
          <w:p>
            <w:pPr>
              <w:ind w:left="160"/>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4520" w:type="dxa"/>
            <w:vAlign w:val="bottom"/>
          </w:tcPr>
          <w:p>
            <w:pPr>
              <w:ind w:left="460"/>
              <w:spacing w:after="0"/>
              <w:rPr>
                <w:sz w:val="20"/>
                <w:szCs w:val="20"/>
                <w:color w:val="auto"/>
              </w:rPr>
            </w:pPr>
            <w:r>
              <w:rPr>
                <w:rFonts w:ascii="Arial" w:cs="Arial" w:eastAsia="Arial" w:hAnsi="Arial"/>
                <w:sz w:val="16"/>
                <w:szCs w:val="16"/>
                <w:color w:val="auto"/>
              </w:rPr>
              <w:t>Accounts payable and accrued expenses (Note 5)</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7"/>
          </w:tcPr>
          <w:p>
            <w:pPr>
              <w:jc w:val="right"/>
              <w:ind w:right="2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4520" w:type="dxa"/>
            <w:vAlign w:val="bottom"/>
          </w:tcPr>
          <w:p>
            <w:pPr>
              <w:ind w:left="44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210,191</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140,230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9"/>
              </w:rPr>
              <w:t>170,995</w:t>
            </w:r>
          </w:p>
        </w:tc>
        <w:tc>
          <w:tcPr>
            <w:tcW w:w="100" w:type="dxa"/>
            <w:vAlign w:val="bottom"/>
          </w:tcPr>
          <w:p>
            <w:pPr>
              <w:spacing w:after="0"/>
              <w:rPr>
                <w:sz w:val="17"/>
                <w:szCs w:val="17"/>
                <w:color w:val="auto"/>
              </w:rPr>
            </w:pPr>
          </w:p>
        </w:tc>
      </w:tr>
      <w:tr>
        <w:trPr>
          <w:trHeight w:val="246"/>
        </w:trPr>
        <w:tc>
          <w:tcPr>
            <w:tcW w:w="4520" w:type="dxa"/>
            <w:vAlign w:val="bottom"/>
          </w:tcPr>
          <w:p>
            <w:pPr>
              <w:ind w:left="460"/>
              <w:spacing w:after="0"/>
              <w:rPr>
                <w:sz w:val="20"/>
                <w:szCs w:val="20"/>
                <w:color w:val="auto"/>
              </w:rPr>
            </w:pPr>
            <w:r>
              <w:rPr>
                <w:rFonts w:ascii="Arial" w:cs="Arial" w:eastAsia="Arial" w:hAnsi="Arial"/>
                <w:sz w:val="16"/>
                <w:szCs w:val="16"/>
                <w:color w:val="auto"/>
              </w:rPr>
              <w:t>Income taxes payable</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2,731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7,934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r>
      <w:tr>
        <w:trPr>
          <w:trHeight w:val="210"/>
        </w:trPr>
        <w:tc>
          <w:tcPr>
            <w:tcW w:w="4520" w:type="dxa"/>
            <w:vAlign w:val="bottom"/>
          </w:tcPr>
          <w:p>
            <w:pPr>
              <w:ind w:left="460"/>
              <w:spacing w:after="0"/>
              <w:rPr>
                <w:sz w:val="20"/>
                <w:szCs w:val="20"/>
                <w:color w:val="auto"/>
              </w:rPr>
            </w:pPr>
            <w:r>
              <w:rPr>
                <w:rFonts w:ascii="Arial" w:cs="Arial" w:eastAsia="Arial" w:hAnsi="Arial"/>
                <w:sz w:val="16"/>
                <w:szCs w:val="16"/>
                <w:color w:val="auto"/>
              </w:rPr>
              <w:t>Long-term debt due within one year (Note 4)</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26,577</w:t>
            </w:r>
          </w:p>
        </w:tc>
        <w:tc>
          <w:tcPr>
            <w:tcW w:w="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7"/>
          </w:tcPr>
          <w:p>
            <w:pPr>
              <w:jc w:val="right"/>
              <w:spacing w:after="0"/>
              <w:rPr>
                <w:sz w:val="20"/>
                <w:szCs w:val="20"/>
                <w:color w:val="auto"/>
              </w:rPr>
            </w:pPr>
            <w:r>
              <w:rPr>
                <w:rFonts w:ascii="Arial" w:cs="Arial" w:eastAsia="Arial" w:hAnsi="Arial"/>
                <w:sz w:val="16"/>
                <w:szCs w:val="16"/>
                <w:color w:val="auto"/>
              </w:rPr>
              <w:t>4,754</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3,361</w:t>
            </w:r>
          </w:p>
        </w:tc>
        <w:tc>
          <w:tcPr>
            <w:tcW w:w="100" w:type="dxa"/>
            <w:vAlign w:val="bottom"/>
          </w:tcPr>
          <w:p>
            <w:pPr>
              <w:spacing w:after="0"/>
              <w:rPr>
                <w:sz w:val="18"/>
                <w:szCs w:val="18"/>
                <w:color w:val="auto"/>
              </w:rPr>
            </w:pPr>
          </w:p>
        </w:tc>
      </w:tr>
      <w:tr>
        <w:trPr>
          <w:trHeight w:val="262"/>
        </w:trPr>
        <w:tc>
          <w:tcPr>
            <w:tcW w:w="452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239,499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152,918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9"/>
              </w:rPr>
              <w:t>174,356</w:t>
            </w:r>
          </w:p>
        </w:tc>
        <w:tc>
          <w:tcPr>
            <w:tcW w:w="100" w:type="dxa"/>
            <w:vAlign w:val="bottom"/>
          </w:tcPr>
          <w:p>
            <w:pPr>
              <w:spacing w:after="0"/>
              <w:rPr>
                <w:sz w:val="22"/>
                <w:szCs w:val="22"/>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Long-term debt (Note 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546,196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598,032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9"/>
              </w:rPr>
              <w:t>471,725</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96,658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90,584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80,670</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Deferred income taxes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67,987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73,434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88,705</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Commitments and contingencies (Note 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Minority interest in net assets of consolidated joint ventures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23,727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23,905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23,651</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Put option - RockResorts (Note 14)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198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1,569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r>
      <w:tr>
        <w:trPr>
          <w:trHeight w:val="221"/>
        </w:trPr>
        <w:tc>
          <w:tcPr>
            <w:tcW w:w="4520" w:type="dxa"/>
            <w:vAlign w:val="bottom"/>
          </w:tcPr>
          <w:p>
            <w:pPr>
              <w:ind w:left="160"/>
              <w:spacing w:after="0"/>
              <w:rPr>
                <w:sz w:val="20"/>
                <w:szCs w:val="20"/>
                <w:color w:val="auto"/>
              </w:rPr>
            </w:pPr>
            <w:r>
              <w:rPr>
                <w:rFonts w:ascii="Arial" w:cs="Arial" w:eastAsia="Arial" w:hAnsi="Arial"/>
                <w:sz w:val="16"/>
                <w:szCs w:val="16"/>
                <w:color w:val="auto"/>
              </w:rPr>
              <w:t>Stockholders' equity:</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520" w:type="dxa"/>
            <w:vAlign w:val="bottom"/>
          </w:tcPr>
          <w:p>
            <w:pPr>
              <w:ind w:left="460"/>
              <w:spacing w:after="0"/>
              <w:rPr>
                <w:sz w:val="20"/>
                <w:szCs w:val="20"/>
                <w:color w:val="auto"/>
              </w:rPr>
            </w:pPr>
            <w:r>
              <w:rPr>
                <w:rFonts w:ascii="Arial" w:cs="Arial" w:eastAsia="Arial" w:hAnsi="Arial"/>
                <w:sz w:val="16"/>
                <w:szCs w:val="16"/>
                <w:color w:val="auto"/>
              </w:rPr>
              <w:t>Preferred stock, $0.01 par value, 25,000,000 shares</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4"/>
        </w:trPr>
        <w:tc>
          <w:tcPr>
            <w:tcW w:w="4520" w:type="dxa"/>
            <w:vAlign w:val="bottom"/>
          </w:tcPr>
          <w:p>
            <w:pPr>
              <w:ind w:left="460"/>
              <w:spacing w:after="0"/>
              <w:rPr>
                <w:sz w:val="20"/>
                <w:szCs w:val="20"/>
                <w:color w:val="auto"/>
              </w:rPr>
            </w:pPr>
            <w:r>
              <w:rPr>
                <w:rFonts w:ascii="Arial" w:cs="Arial" w:eastAsia="Arial" w:hAnsi="Arial"/>
                <w:sz w:val="16"/>
                <w:szCs w:val="16"/>
                <w:color w:val="auto"/>
              </w:rPr>
              <w:t>authorized, no shares issued and outstanding</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r>
        <w:trPr>
          <w:trHeight w:val="221"/>
        </w:trPr>
        <w:tc>
          <w:tcPr>
            <w:tcW w:w="4520" w:type="dxa"/>
            <w:vAlign w:val="bottom"/>
          </w:tcPr>
          <w:p>
            <w:pPr>
              <w:ind w:left="460"/>
              <w:spacing w:after="0"/>
              <w:rPr>
                <w:sz w:val="20"/>
                <w:szCs w:val="20"/>
                <w:color w:val="auto"/>
              </w:rPr>
            </w:pPr>
            <w:r>
              <w:rPr>
                <w:rFonts w:ascii="Arial" w:cs="Arial" w:eastAsia="Arial" w:hAnsi="Arial"/>
                <w:sz w:val="16"/>
                <w:szCs w:val="16"/>
                <w:color w:val="auto"/>
              </w:rPr>
              <w:t>Common stock:</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4520" w:type="dxa"/>
            <w:vAlign w:val="bottom"/>
          </w:tcPr>
          <w:p>
            <w:pPr>
              <w:ind w:left="660"/>
              <w:spacing w:after="0"/>
              <w:rPr>
                <w:sz w:val="20"/>
                <w:szCs w:val="20"/>
                <w:color w:val="auto"/>
              </w:rPr>
            </w:pPr>
            <w:r>
              <w:rPr>
                <w:rFonts w:ascii="Arial" w:cs="Arial" w:eastAsia="Arial" w:hAnsi="Arial"/>
                <w:sz w:val="16"/>
                <w:szCs w:val="16"/>
                <w:color w:val="auto"/>
              </w:rPr>
              <w:t>Class A common stock, convertible to common stock,</w:t>
            </w: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4520" w:type="dxa"/>
            <w:vAlign w:val="bottom"/>
          </w:tcPr>
          <w:p>
            <w:pPr>
              <w:ind w:left="660"/>
              <w:spacing w:after="0"/>
              <w:rPr>
                <w:sz w:val="20"/>
                <w:szCs w:val="20"/>
                <w:color w:val="auto"/>
              </w:rPr>
            </w:pPr>
            <w:r>
              <w:rPr>
                <w:rFonts w:ascii="Arial" w:cs="Arial" w:eastAsia="Arial" w:hAnsi="Arial"/>
                <w:sz w:val="16"/>
                <w:szCs w:val="16"/>
                <w:color w:val="auto"/>
                <w:w w:val="92"/>
              </w:rPr>
              <w:t>$0.01 par value, 20,000,000 shares authorized, 7,439,834</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520" w:type="dxa"/>
            <w:vAlign w:val="bottom"/>
          </w:tcPr>
          <w:p>
            <w:pPr>
              <w:ind w:left="660"/>
              <w:spacing w:after="0"/>
              <w:rPr>
                <w:sz w:val="20"/>
                <w:szCs w:val="20"/>
                <w:color w:val="auto"/>
              </w:rPr>
            </w:pPr>
            <w:r>
              <w:rPr>
                <w:rFonts w:ascii="Arial" w:cs="Arial" w:eastAsia="Arial" w:hAnsi="Arial"/>
                <w:sz w:val="16"/>
                <w:szCs w:val="16"/>
                <w:color w:val="auto"/>
              </w:rPr>
              <w:t>shares issued and outstanding</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7"/>
                <w:szCs w:val="17"/>
                <w:color w:val="auto"/>
              </w:rPr>
            </w:pPr>
          </w:p>
        </w:tc>
      </w:tr>
      <w:tr>
        <w:trPr>
          <w:trHeight w:val="214"/>
        </w:trPr>
        <w:tc>
          <w:tcPr>
            <w:tcW w:w="4520" w:type="dxa"/>
            <w:vAlign w:val="bottom"/>
          </w:tcPr>
          <w:p>
            <w:pPr>
              <w:ind w:left="660"/>
              <w:spacing w:after="0"/>
              <w:rPr>
                <w:sz w:val="20"/>
                <w:szCs w:val="20"/>
                <w:color w:val="auto"/>
              </w:rPr>
            </w:pPr>
            <w:r>
              <w:rPr>
                <w:rFonts w:ascii="Arial" w:cs="Arial" w:eastAsia="Arial" w:hAnsi="Arial"/>
                <w:sz w:val="16"/>
                <w:szCs w:val="16"/>
                <w:color w:val="auto"/>
              </w:rPr>
              <w:t>Common stock, $0.01 par value, 80,000,000 shares</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7"/>
        </w:trPr>
        <w:tc>
          <w:tcPr>
            <w:tcW w:w="4520" w:type="dxa"/>
            <w:vAlign w:val="bottom"/>
          </w:tcPr>
          <w:p>
            <w:pPr>
              <w:ind w:left="660"/>
              <w:spacing w:after="0"/>
              <w:rPr>
                <w:sz w:val="20"/>
                <w:szCs w:val="20"/>
                <w:color w:val="auto"/>
              </w:rPr>
            </w:pPr>
            <w:r>
              <w:rPr>
                <w:rFonts w:ascii="Arial" w:cs="Arial" w:eastAsia="Arial" w:hAnsi="Arial"/>
                <w:sz w:val="16"/>
                <w:szCs w:val="16"/>
                <w:color w:val="auto"/>
              </w:rPr>
              <w:t>authorized, 27,748,792, 27,714,220, and 27,703,382</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4520" w:type="dxa"/>
            <w:vAlign w:val="bottom"/>
          </w:tcPr>
          <w:p>
            <w:pPr>
              <w:ind w:left="660"/>
              <w:spacing w:after="0"/>
              <w:rPr>
                <w:sz w:val="20"/>
                <w:szCs w:val="20"/>
                <w:color w:val="auto"/>
              </w:rPr>
            </w:pPr>
            <w:r>
              <w:rPr>
                <w:rFonts w:ascii="Arial" w:cs="Arial" w:eastAsia="Arial" w:hAnsi="Arial"/>
                <w:sz w:val="16"/>
                <w:szCs w:val="16"/>
                <w:color w:val="auto"/>
                <w:w w:val="90"/>
              </w:rPr>
              <w:t>shares issued and outstanding as of January 31, 2003, July</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520" w:type="dxa"/>
            <w:vAlign w:val="bottom"/>
          </w:tcPr>
          <w:p>
            <w:pPr>
              <w:ind w:left="660"/>
              <w:spacing w:after="0"/>
              <w:rPr>
                <w:sz w:val="20"/>
                <w:szCs w:val="20"/>
                <w:color w:val="auto"/>
              </w:rPr>
            </w:pPr>
            <w:r>
              <w:rPr>
                <w:rFonts w:ascii="Arial" w:cs="Arial" w:eastAsia="Arial" w:hAnsi="Arial"/>
                <w:sz w:val="16"/>
                <w:szCs w:val="16"/>
                <w:color w:val="auto"/>
              </w:rPr>
              <w:t>31, 2002, and January 31, 2002, respectively</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277</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r>
      <w:tr>
        <w:trPr>
          <w:trHeight w:val="246"/>
        </w:trPr>
        <w:tc>
          <w:tcPr>
            <w:tcW w:w="452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416,080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415,688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w w:val="89"/>
              </w:rPr>
              <w:t>413,708</w:t>
            </w:r>
          </w:p>
        </w:tc>
        <w:tc>
          <w:tcPr>
            <w:tcW w:w="100" w:type="dxa"/>
            <w:vAlign w:val="bottom"/>
          </w:tcPr>
          <w:p>
            <w:pPr>
              <w:spacing w:after="0"/>
              <w:rPr>
                <w:sz w:val="21"/>
                <w:szCs w:val="21"/>
                <w:color w:val="auto"/>
              </w:rPr>
            </w:pPr>
          </w:p>
        </w:tc>
      </w:tr>
      <w:tr>
        <w:trPr>
          <w:trHeight w:val="246"/>
        </w:trPr>
        <w:tc>
          <w:tcPr>
            <w:tcW w:w="4520" w:type="dxa"/>
            <w:vAlign w:val="bottom"/>
          </w:tcPr>
          <w:p>
            <w:pPr>
              <w:ind w:left="460"/>
              <w:spacing w:after="0"/>
              <w:rPr>
                <w:sz w:val="20"/>
                <w:szCs w:val="20"/>
                <w:color w:val="auto"/>
              </w:rPr>
            </w:pPr>
            <w:r>
              <w:rPr>
                <w:rFonts w:ascii="Arial" w:cs="Arial" w:eastAsia="Arial" w:hAnsi="Arial"/>
                <w:sz w:val="16"/>
                <w:szCs w:val="16"/>
                <w:color w:val="auto"/>
              </w:rPr>
              <w:t>Deferred compensation</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8"/>
          </w:tcPr>
          <w:p>
            <w:pPr>
              <w:jc w:val="right"/>
              <w:ind w:right="60"/>
              <w:spacing w:after="0"/>
              <w:rPr>
                <w:sz w:val="20"/>
                <w:szCs w:val="20"/>
                <w:color w:val="auto"/>
              </w:rPr>
            </w:pPr>
            <w:r>
              <w:rPr>
                <w:rFonts w:ascii="Arial" w:cs="Arial" w:eastAsia="Arial" w:hAnsi="Arial"/>
                <w:sz w:val="16"/>
                <w:szCs w:val="16"/>
                <w:color w:val="auto"/>
              </w:rPr>
              <w:t>(1,348)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Pr>
          <w:p>
            <w:pPr>
              <w:spacing w:after="0"/>
              <w:rPr>
                <w:sz w:val="21"/>
                <w:szCs w:val="21"/>
                <w:color w:val="auto"/>
              </w:rPr>
            </w:pPr>
          </w:p>
        </w:tc>
      </w:tr>
      <w:tr>
        <w:trPr>
          <w:trHeight w:val="186"/>
        </w:trPr>
        <w:tc>
          <w:tcPr>
            <w:tcW w:w="4520" w:type="dxa"/>
            <w:vAlign w:val="bottom"/>
          </w:tcPr>
          <w:p>
            <w:pPr>
              <w:ind w:left="460"/>
              <w:spacing w:after="0"/>
              <w:rPr>
                <w:sz w:val="20"/>
                <w:szCs w:val="20"/>
                <w:color w:val="auto"/>
              </w:rPr>
            </w:pPr>
            <w:r>
              <w:rPr>
                <w:rFonts w:ascii="Arial" w:cs="Arial" w:eastAsia="Arial" w:hAnsi="Arial"/>
                <w:sz w:val="16"/>
                <w:szCs w:val="16"/>
                <w:color w:val="auto"/>
              </w:rPr>
              <w:t>Retained earnings</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7"/>
        </w:trPr>
        <w:tc>
          <w:tcPr>
            <w:tcW w:w="4520" w:type="dxa"/>
            <w:vAlign w:val="bottom"/>
          </w:tcPr>
          <w:p>
            <w:pPr>
              <w:spacing w:after="0"/>
              <w:rPr>
                <w:sz w:val="15"/>
                <w:szCs w:val="15"/>
                <w:color w:val="auto"/>
              </w:rPr>
            </w:pPr>
          </w:p>
        </w:tc>
        <w:tc>
          <w:tcPr>
            <w:tcW w:w="840" w:type="dxa"/>
            <w:vAlign w:val="bottom"/>
            <w:tcBorders>
              <w:bottom w:val="single" w:sz="8" w:color="auto"/>
            </w:tcBorders>
            <w:gridSpan w:val="2"/>
          </w:tcPr>
          <w:p>
            <w:pPr>
              <w:jc w:val="right"/>
              <w:spacing w:after="0" w:line="177" w:lineRule="exact"/>
              <w:rPr>
                <w:sz w:val="20"/>
                <w:szCs w:val="20"/>
                <w:color w:val="auto"/>
              </w:rPr>
            </w:pPr>
            <w:r>
              <w:rPr>
                <w:rFonts w:ascii="Arial" w:cs="Arial" w:eastAsia="Arial" w:hAnsi="Arial"/>
                <w:sz w:val="16"/>
                <w:szCs w:val="16"/>
                <w:color w:val="auto"/>
              </w:rPr>
              <w:t>84,570</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560" w:type="dxa"/>
            <w:vAlign w:val="bottom"/>
            <w:tcBorders>
              <w:bottom w:val="single" w:sz="8" w:color="auto"/>
            </w:tcBorders>
            <w:gridSpan w:val="4"/>
          </w:tcPr>
          <w:p>
            <w:pPr>
              <w:jc w:val="right"/>
              <w:spacing w:after="0" w:line="177" w:lineRule="exact"/>
              <w:rPr>
                <w:sz w:val="20"/>
                <w:szCs w:val="20"/>
                <w:color w:val="auto"/>
              </w:rPr>
            </w:pPr>
            <w:r>
              <w:rPr>
                <w:rFonts w:ascii="Arial" w:cs="Arial" w:eastAsia="Arial" w:hAnsi="Arial"/>
                <w:sz w:val="16"/>
                <w:szCs w:val="16"/>
                <w:color w:val="auto"/>
              </w:rPr>
              <w:t>92,577</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line="177" w:lineRule="exact"/>
              <w:rPr>
                <w:sz w:val="20"/>
                <w:szCs w:val="20"/>
                <w:color w:val="auto"/>
              </w:rPr>
            </w:pPr>
            <w:r>
              <w:rPr>
                <w:rFonts w:ascii="Arial" w:cs="Arial" w:eastAsia="Arial" w:hAnsi="Arial"/>
                <w:sz w:val="16"/>
                <w:szCs w:val="16"/>
                <w:color w:val="auto"/>
              </w:rPr>
              <w:t>80,606</w:t>
            </w:r>
          </w:p>
        </w:tc>
        <w:tc>
          <w:tcPr>
            <w:tcW w:w="100" w:type="dxa"/>
            <w:vAlign w:val="bottom"/>
          </w:tcPr>
          <w:p>
            <w:pPr>
              <w:spacing w:after="0"/>
              <w:rPr>
                <w:sz w:val="15"/>
                <w:szCs w:val="15"/>
                <w:color w:val="auto"/>
              </w:rPr>
            </w:pPr>
          </w:p>
        </w:tc>
      </w:tr>
      <w:tr>
        <w:trPr>
          <w:trHeight w:val="201"/>
        </w:trPr>
        <w:tc>
          <w:tcPr>
            <w:tcW w:w="4520" w:type="dxa"/>
            <w:vAlign w:val="bottom"/>
          </w:tcPr>
          <w:p>
            <w:pPr>
              <w:ind w:left="560"/>
              <w:spacing w:after="0"/>
              <w:rPr>
                <w:sz w:val="20"/>
                <w:szCs w:val="20"/>
                <w:color w:val="auto"/>
              </w:rPr>
            </w:pPr>
            <w:r>
              <w:rPr>
                <w:rFonts w:ascii="Arial" w:cs="Arial" w:eastAsia="Arial" w:hAnsi="Arial"/>
                <w:sz w:val="16"/>
                <w:szCs w:val="16"/>
                <w:color w:val="auto"/>
              </w:rPr>
              <w:t>Total stockholders' equity</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77"/>
        </w:trPr>
        <w:tc>
          <w:tcPr>
            <w:tcW w:w="4520" w:type="dxa"/>
            <w:vAlign w:val="bottom"/>
          </w:tcPr>
          <w:p>
            <w:pPr>
              <w:spacing w:after="0"/>
              <w:rPr>
                <w:sz w:val="15"/>
                <w:szCs w:val="15"/>
                <w:color w:val="auto"/>
              </w:rPr>
            </w:pPr>
          </w:p>
        </w:tc>
        <w:tc>
          <w:tcPr>
            <w:tcW w:w="840" w:type="dxa"/>
            <w:vAlign w:val="bottom"/>
            <w:tcBorders>
              <w:bottom w:val="single" w:sz="8" w:color="auto"/>
            </w:tcBorders>
            <w:gridSpan w:val="2"/>
          </w:tcPr>
          <w:p>
            <w:pPr>
              <w:jc w:val="right"/>
              <w:spacing w:after="0" w:line="177" w:lineRule="exact"/>
              <w:rPr>
                <w:sz w:val="20"/>
                <w:szCs w:val="20"/>
                <w:color w:val="auto"/>
              </w:rPr>
            </w:pPr>
            <w:r>
              <w:rPr>
                <w:rFonts w:ascii="Arial" w:cs="Arial" w:eastAsia="Arial" w:hAnsi="Arial"/>
                <w:sz w:val="16"/>
                <w:szCs w:val="16"/>
                <w:color w:val="auto"/>
              </w:rPr>
              <w:t>500,101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640" w:type="dxa"/>
            <w:vAlign w:val="bottom"/>
            <w:tcBorders>
              <w:bottom w:val="single" w:sz="8" w:color="auto"/>
            </w:tcBorders>
            <w:gridSpan w:val="5"/>
          </w:tcPr>
          <w:p>
            <w:pPr>
              <w:jc w:val="right"/>
              <w:spacing w:after="0" w:line="177" w:lineRule="exact"/>
              <w:rPr>
                <w:sz w:val="20"/>
                <w:szCs w:val="20"/>
                <w:color w:val="auto"/>
              </w:rPr>
            </w:pPr>
            <w:r>
              <w:rPr>
                <w:rFonts w:ascii="Arial" w:cs="Arial" w:eastAsia="Arial" w:hAnsi="Arial"/>
                <w:sz w:val="16"/>
                <w:szCs w:val="16"/>
                <w:color w:val="auto"/>
              </w:rPr>
              <w:t>507,268</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spacing w:after="0" w:line="177" w:lineRule="exact"/>
              <w:rPr>
                <w:sz w:val="20"/>
                <w:szCs w:val="20"/>
                <w:color w:val="auto"/>
              </w:rPr>
            </w:pPr>
            <w:r>
              <w:rPr>
                <w:rFonts w:ascii="Arial" w:cs="Arial" w:eastAsia="Arial" w:hAnsi="Arial"/>
                <w:sz w:val="16"/>
                <w:szCs w:val="16"/>
                <w:color w:val="auto"/>
                <w:w w:val="89"/>
              </w:rPr>
              <w:t>492,825</w:t>
            </w:r>
          </w:p>
        </w:tc>
        <w:tc>
          <w:tcPr>
            <w:tcW w:w="100" w:type="dxa"/>
            <w:vAlign w:val="bottom"/>
          </w:tcPr>
          <w:p>
            <w:pPr>
              <w:spacing w:after="0"/>
              <w:rPr>
                <w:sz w:val="15"/>
                <w:szCs w:val="15"/>
                <w:color w:val="auto"/>
              </w:rPr>
            </w:pPr>
          </w:p>
        </w:tc>
      </w:tr>
      <w:tr>
        <w:trPr>
          <w:trHeight w:val="201"/>
        </w:trPr>
        <w:tc>
          <w:tcPr>
            <w:tcW w:w="4520" w:type="dxa"/>
            <w:vAlign w:val="bottom"/>
          </w:tcPr>
          <w:p>
            <w:pPr>
              <w:ind w:left="800"/>
              <w:spacing w:after="0"/>
              <w:rPr>
                <w:sz w:val="20"/>
                <w:szCs w:val="20"/>
                <w:color w:val="auto"/>
              </w:rPr>
            </w:pPr>
            <w:r>
              <w:rPr>
                <w:rFonts w:ascii="Arial" w:cs="Arial" w:eastAsia="Arial" w:hAnsi="Arial"/>
                <w:sz w:val="16"/>
                <w:szCs w:val="16"/>
                <w:color w:val="auto"/>
              </w:rPr>
              <w:t>Total liabilities and stockholders' equity</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7"/>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7"/>
        </w:trPr>
        <w:tc>
          <w:tcPr>
            <w:tcW w:w="4520" w:type="dxa"/>
            <w:vAlign w:val="bottom"/>
          </w:tcPr>
          <w:p>
            <w:pPr>
              <w:ind w:left="444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line="177" w:lineRule="exact"/>
              <w:rPr>
                <w:sz w:val="20"/>
                <w:szCs w:val="20"/>
                <w:color w:val="auto"/>
              </w:rPr>
            </w:pPr>
            <w:r>
              <w:rPr>
                <w:rFonts w:ascii="Arial" w:cs="Arial" w:eastAsia="Arial" w:hAnsi="Arial"/>
                <w:sz w:val="16"/>
                <w:szCs w:val="16"/>
                <w:color w:val="auto"/>
              </w:rPr>
              <w:t>1,474,366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8"/>
          </w:tcPr>
          <w:p>
            <w:pPr>
              <w:jc w:val="right"/>
              <w:ind w:right="60"/>
              <w:spacing w:after="0" w:line="177" w:lineRule="exact"/>
              <w:rPr>
                <w:sz w:val="20"/>
                <w:szCs w:val="20"/>
                <w:color w:val="auto"/>
              </w:rPr>
            </w:pPr>
            <w:r>
              <w:rPr>
                <w:rFonts w:ascii="Arial" w:cs="Arial" w:eastAsia="Arial" w:hAnsi="Arial"/>
                <w:sz w:val="16"/>
                <w:szCs w:val="16"/>
                <w:color w:val="auto"/>
              </w:rPr>
              <w:t>1,447,710</w:t>
            </w:r>
          </w:p>
        </w:tc>
        <w:tc>
          <w:tcPr>
            <w:tcW w:w="880" w:type="dxa"/>
            <w:vAlign w:val="bottom"/>
            <w:gridSpan w:val="4"/>
          </w:tcPr>
          <w:p>
            <w:pPr>
              <w:jc w:val="right"/>
              <w:spacing w:after="0" w:line="177" w:lineRule="exact"/>
              <w:rPr>
                <w:sz w:val="20"/>
                <w:szCs w:val="20"/>
                <w:color w:val="auto"/>
              </w:rPr>
            </w:pPr>
            <w:r>
              <w:rPr>
                <w:rFonts w:ascii="Arial" w:cs="Arial" w:eastAsia="Arial" w:hAnsi="Arial"/>
                <w:sz w:val="16"/>
                <w:szCs w:val="16"/>
                <w:color w:val="auto"/>
                <w:w w:val="92"/>
              </w:rPr>
              <w:t>$   1,331,932</w:t>
            </w:r>
          </w:p>
        </w:tc>
        <w:tc>
          <w:tcPr>
            <w:tcW w:w="100" w:type="dxa"/>
            <w:vAlign w:val="bottom"/>
          </w:tcPr>
          <w:p>
            <w:pPr>
              <w:spacing w:after="0"/>
              <w:rPr>
                <w:sz w:val="15"/>
                <w:szCs w:val="15"/>
                <w:color w:val="auto"/>
              </w:rPr>
            </w:pPr>
          </w:p>
        </w:tc>
      </w:tr>
      <w:tr>
        <w:trPr>
          <w:trHeight w:val="20"/>
        </w:trPr>
        <w:tc>
          <w:tcPr>
            <w:tcW w:w="45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Condensed Financial Statements are an integral part of these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Vail Resorts,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Condensed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p>
      <w:pPr>
        <w:jc w:val="center"/>
        <w:ind w:left="4760"/>
        <w:spacing w:after="0"/>
        <w:rPr>
          <w:sz w:val="20"/>
          <w:szCs w:val="20"/>
          <w:color w:val="auto"/>
        </w:rPr>
      </w:pPr>
      <w:r>
        <w:rPr>
          <w:rFonts w:ascii="Arial" w:cs="Arial" w:eastAsia="Arial" w:hAnsi="Arial"/>
          <w:sz w:val="16"/>
          <w:szCs w:val="16"/>
          <w:b w:val="1"/>
          <w:bCs w:val="1"/>
          <w:color w:val="auto"/>
        </w:rPr>
        <w:t>Three Months Ended</w:t>
      </w:r>
    </w:p>
    <w:p>
      <w:pPr>
        <w:spacing w:after="0" w:line="37" w:lineRule="exact"/>
        <w:rPr>
          <w:sz w:val="20"/>
          <w:szCs w:val="20"/>
          <w:color w:val="auto"/>
        </w:rPr>
      </w:pPr>
    </w:p>
    <w:p>
      <w:pPr>
        <w:jc w:val="center"/>
        <w:ind w:left="4760"/>
        <w:spacing w:after="0"/>
        <w:rPr>
          <w:sz w:val="20"/>
          <w:szCs w:val="20"/>
          <w:color w:val="auto"/>
        </w:rPr>
      </w:pPr>
      <w:r>
        <w:rPr>
          <w:rFonts w:ascii="Arial" w:cs="Arial" w:eastAsia="Arial" w:hAnsi="Arial"/>
          <w:sz w:val="16"/>
          <w:szCs w:val="16"/>
          <w:b w:val="1"/>
          <w:bCs w:val="1"/>
          <w:color w:val="auto"/>
        </w:rPr>
        <w:t>January 31,</w:t>
      </w:r>
    </w:p>
    <w:p>
      <w:pPr>
        <w:spacing w:after="0" w:line="62" w:lineRule="exact"/>
        <w:rPr>
          <w:sz w:val="20"/>
          <w:szCs w:val="20"/>
          <w:color w:val="auto"/>
        </w:rPr>
      </w:pPr>
    </w:p>
    <w:p>
      <w:pPr>
        <w:ind w:left="6200"/>
        <w:spacing w:after="0"/>
        <w:tabs>
          <w:tab w:leader="none" w:pos="7280" w:val="left"/>
        </w:tabs>
        <w:rPr>
          <w:sz w:val="20"/>
          <w:szCs w:val="20"/>
          <w:color w:val="auto"/>
        </w:rPr>
      </w:pPr>
      <w:r>
        <w:rPr>
          <w:rFonts w:ascii="Arial" w:cs="Arial" w:eastAsia="Arial" w:hAnsi="Arial"/>
          <w:sz w:val="16"/>
          <w:szCs w:val="16"/>
          <w:b w:val="1"/>
          <w:bCs w:val="1"/>
          <w:color w:val="auto"/>
        </w:rPr>
        <w:t>2003</w:t>
      </w:r>
      <w:r>
        <w:rPr>
          <w:sz w:val="20"/>
          <w:szCs w:val="20"/>
          <w:color w:val="auto"/>
        </w:rPr>
        <w:tab/>
      </w:r>
      <w:r>
        <w:rPr>
          <w:rFonts w:ascii="Arial" w:cs="Arial" w:eastAsia="Arial" w:hAnsi="Arial"/>
          <w:sz w:val="16"/>
          <w:szCs w:val="16"/>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3764280</wp:posOffset>
            </wp:positionH>
            <wp:positionV relativeFrom="paragraph">
              <wp:posOffset>-6350</wp:posOffset>
            </wp:positionV>
            <wp:extent cx="11982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8245" cy="7620"/>
                    </a:xfrm>
                    <a:prstGeom prst="rect">
                      <a:avLst/>
                    </a:prstGeom>
                    <a:noFill/>
                  </pic:spPr>
                </pic:pic>
              </a:graphicData>
            </a:graphic>
          </wp:anchor>
        </w:drawing>
      </w:r>
    </w:p>
    <w:p>
      <w:pPr>
        <w:spacing w:after="0" w:line="46" w:lineRule="exact"/>
        <w:rPr>
          <w:sz w:val="20"/>
          <w:szCs w:val="20"/>
          <w:color w:val="auto"/>
        </w:rPr>
      </w:pPr>
    </w:p>
    <w:p>
      <w:pPr>
        <w:ind w:left="7020"/>
        <w:spacing w:after="0"/>
        <w:rPr>
          <w:sz w:val="20"/>
          <w:szCs w:val="20"/>
          <w:color w:val="auto"/>
        </w:rPr>
      </w:pPr>
      <w:r>
        <w:rPr>
          <w:rFonts w:ascii="Arial" w:cs="Arial" w:eastAsia="Arial" w:hAnsi="Arial"/>
          <w:sz w:val="16"/>
          <w:szCs w:val="16"/>
          <w:color w:val="auto"/>
        </w:rPr>
        <w:t>(as restated)</w:t>
      </w:r>
    </w:p>
    <w:p>
      <w:pPr>
        <w:spacing w:after="0" w:line="6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Net revenue:</w:t>
      </w:r>
    </w:p>
    <w:p>
      <w:pPr>
        <w:sectPr>
          <w:pgSz w:w="11900" w:h="16875" w:orient="portrait"/>
          <w:cols w:equalWidth="0" w:num="1">
            <w:col w:w="9019"/>
          </w:cols>
          <w:pgMar w:left="1440" w:top="376" w:right="1440" w:bottom="0" w:gutter="0" w:footer="0" w:header="0"/>
        </w:sectPr>
      </w:pPr>
    </w:p>
    <w:bookmarkStart w:id="2" w:name="page3"/>
    <w:bookmarkEnd w:id="2"/>
    <w:tbl>
      <w:tblPr>
        <w:tblLayout w:type="fixed"/>
        <w:tblInd w:w="1100" w:type="dxa"/>
        <w:tblCellMar>
          <w:top w:w="0" w:type="dxa"/>
          <w:left w:w="0" w:type="dxa"/>
          <w:bottom w:w="0" w:type="dxa"/>
          <w:right w:w="0" w:type="dxa"/>
        </w:tblCellMar>
      </w:tblPr>
      <w:tr>
        <w:trPr>
          <w:trHeight w:val="229"/>
        </w:trPr>
        <w:tc>
          <w:tcPr>
            <w:tcW w:w="4760" w:type="dxa"/>
            <w:vAlign w:val="bottom"/>
          </w:tcPr>
          <w:p>
            <w:pPr>
              <w:ind w:left="180"/>
              <w:spacing w:after="0"/>
              <w:rPr>
                <w:sz w:val="20"/>
                <w:szCs w:val="20"/>
                <w:color w:val="auto"/>
              </w:rPr>
            </w:pPr>
            <w:r>
              <w:rPr>
                <w:rFonts w:ascii="Arial" w:cs="Arial" w:eastAsia="Arial" w:hAnsi="Arial"/>
                <w:sz w:val="16"/>
                <w:szCs w:val="16"/>
                <w:color w:val="auto"/>
              </w:rPr>
              <w:t>Mountain</w:t>
            </w:r>
          </w:p>
        </w:tc>
        <w:tc>
          <w:tcPr>
            <w:tcW w:w="240" w:type="dxa"/>
            <w:vAlign w:val="bottom"/>
            <w:gridSpan w:val="2"/>
          </w:tcPr>
          <w:p>
            <w:pPr>
              <w:jc w:val="right"/>
              <w:ind w:right="8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189,163</w:t>
            </w: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145,960</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Lodging</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34,981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32,517</w:t>
            </w:r>
          </w:p>
        </w:tc>
      </w:tr>
      <w:tr>
        <w:trPr>
          <w:trHeight w:val="210"/>
        </w:trPr>
        <w:tc>
          <w:tcPr>
            <w:tcW w:w="4760" w:type="dxa"/>
            <w:vAlign w:val="bottom"/>
          </w:tcPr>
          <w:p>
            <w:pPr>
              <w:ind w:left="180"/>
              <w:spacing w:after="0"/>
              <w:rPr>
                <w:sz w:val="20"/>
                <w:szCs w:val="20"/>
                <w:color w:val="auto"/>
              </w:rPr>
            </w:pPr>
            <w:r>
              <w:rPr>
                <w:rFonts w:ascii="Arial" w:cs="Arial" w:eastAsia="Arial" w:hAnsi="Arial"/>
                <w:sz w:val="16"/>
                <w:szCs w:val="16"/>
                <w:color w:val="auto"/>
              </w:rPr>
              <w:t>Real estate</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35,037</w:t>
            </w:r>
          </w:p>
        </w:tc>
      </w:tr>
      <w:tr>
        <w:trPr>
          <w:trHeight w:val="262"/>
        </w:trPr>
        <w:tc>
          <w:tcPr>
            <w:tcW w:w="4760" w:type="dxa"/>
            <w:vAlign w:val="bottom"/>
          </w:tcPr>
          <w:p>
            <w:pPr>
              <w:ind w:left="300"/>
              <w:spacing w:after="0"/>
              <w:rPr>
                <w:sz w:val="20"/>
                <w:szCs w:val="20"/>
                <w:color w:val="auto"/>
              </w:rPr>
            </w:pPr>
            <w:r>
              <w:rPr>
                <w:rFonts w:ascii="Arial" w:cs="Arial" w:eastAsia="Arial" w:hAnsi="Arial"/>
                <w:sz w:val="16"/>
                <w:szCs w:val="16"/>
                <w:color w:val="auto"/>
              </w:rPr>
              <w:t>Total net revenue</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246,767</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213,514</w:t>
            </w:r>
          </w:p>
        </w:tc>
      </w:tr>
      <w:tr>
        <w:trPr>
          <w:trHeight w:val="234"/>
        </w:trPr>
        <w:tc>
          <w:tcPr>
            <w:tcW w:w="4760" w:type="dxa"/>
            <w:vAlign w:val="bottom"/>
          </w:tcPr>
          <w:p>
            <w:pPr>
              <w:spacing w:after="0"/>
              <w:rPr>
                <w:sz w:val="20"/>
                <w:szCs w:val="20"/>
                <w:color w:val="auto"/>
              </w:rPr>
            </w:pPr>
            <w:r>
              <w:rPr>
                <w:rFonts w:ascii="Arial" w:cs="Arial" w:eastAsia="Arial" w:hAnsi="Arial"/>
                <w:sz w:val="16"/>
                <w:szCs w:val="16"/>
                <w:color w:val="auto"/>
              </w:rPr>
              <w:t>Operating expense:</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8"/>
        </w:trPr>
        <w:tc>
          <w:tcPr>
            <w:tcW w:w="4760" w:type="dxa"/>
            <w:vAlign w:val="bottom"/>
          </w:tcPr>
          <w:p>
            <w:pPr>
              <w:ind w:left="180"/>
              <w:spacing w:after="0"/>
              <w:rPr>
                <w:sz w:val="20"/>
                <w:szCs w:val="20"/>
                <w:color w:val="auto"/>
              </w:rPr>
            </w:pPr>
            <w:r>
              <w:rPr>
                <w:rFonts w:ascii="Arial" w:cs="Arial" w:eastAsia="Arial" w:hAnsi="Arial"/>
                <w:sz w:val="16"/>
                <w:szCs w:val="16"/>
                <w:color w:val="auto"/>
              </w:rPr>
              <w:t>Mountain</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123,825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93,985</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Lodging</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37,188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30,817</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Real estate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22,274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28,292</w:t>
            </w:r>
          </w:p>
        </w:tc>
      </w:tr>
      <w:tr>
        <w:trPr>
          <w:trHeight w:val="210"/>
        </w:trPr>
        <w:tc>
          <w:tcPr>
            <w:tcW w:w="476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16,066</w:t>
            </w:r>
          </w:p>
        </w:tc>
      </w:tr>
      <w:tr>
        <w:trPr>
          <w:trHeight w:val="226"/>
        </w:trPr>
        <w:tc>
          <w:tcPr>
            <w:tcW w:w="4760" w:type="dxa"/>
            <w:vAlign w:val="bottom"/>
          </w:tcPr>
          <w:p>
            <w:pPr>
              <w:ind w:left="300"/>
              <w:spacing w:after="0"/>
              <w:rPr>
                <w:sz w:val="20"/>
                <w:szCs w:val="20"/>
                <w:color w:val="auto"/>
              </w:rPr>
            </w:pPr>
            <w:r>
              <w:rPr>
                <w:rFonts w:ascii="Arial" w:cs="Arial" w:eastAsia="Arial" w:hAnsi="Arial"/>
                <w:sz w:val="16"/>
                <w:szCs w:val="16"/>
                <w:color w:val="auto"/>
              </w:rPr>
              <w:t>Total operating expense</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169,160</w:t>
            </w:r>
          </w:p>
        </w:tc>
      </w:tr>
      <w:tr>
        <w:trPr>
          <w:trHeight w:val="262"/>
        </w:trPr>
        <w:tc>
          <w:tcPr>
            <w:tcW w:w="4760" w:type="dxa"/>
            <w:vAlign w:val="bottom"/>
          </w:tcPr>
          <w:p>
            <w:pPr>
              <w:spacing w:after="0"/>
              <w:rPr>
                <w:sz w:val="20"/>
                <w:szCs w:val="20"/>
                <w:color w:val="auto"/>
              </w:rPr>
            </w:pPr>
            <w:r>
              <w:rPr>
                <w:rFonts w:ascii="Arial" w:cs="Arial" w:eastAsia="Arial" w:hAnsi="Arial"/>
                <w:sz w:val="16"/>
                <w:szCs w:val="16"/>
                <w:color w:val="auto"/>
              </w:rPr>
              <w:t>Income from operations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43,595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44,354</w:t>
            </w:r>
          </w:p>
        </w:tc>
      </w:tr>
      <w:tr>
        <w:trPr>
          <w:trHeight w:val="221"/>
        </w:trPr>
        <w:tc>
          <w:tcPr>
            <w:tcW w:w="4760" w:type="dxa"/>
            <w:vAlign w:val="bottom"/>
          </w:tcPr>
          <w:p>
            <w:pPr>
              <w:spacing w:after="0"/>
              <w:rPr>
                <w:sz w:val="20"/>
                <w:szCs w:val="20"/>
                <w:color w:val="auto"/>
              </w:rPr>
            </w:pPr>
            <w:r>
              <w:rPr>
                <w:rFonts w:ascii="Arial" w:cs="Arial" w:eastAsia="Arial" w:hAnsi="Arial"/>
                <w:sz w:val="16"/>
                <w:szCs w:val="16"/>
                <w:color w:val="auto"/>
              </w:rPr>
              <w:t>Other income (expense):</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0"/>
        </w:trPr>
        <w:tc>
          <w:tcPr>
            <w:tcW w:w="4760" w:type="dxa"/>
            <w:vAlign w:val="bottom"/>
          </w:tcPr>
          <w:p>
            <w:pPr>
              <w:ind w:left="180"/>
              <w:spacing w:after="0"/>
              <w:rPr>
                <w:sz w:val="20"/>
                <w:szCs w:val="20"/>
                <w:color w:val="auto"/>
              </w:rPr>
            </w:pPr>
            <w:r>
              <w:rPr>
                <w:rFonts w:ascii="Arial" w:cs="Arial" w:eastAsia="Arial" w:hAnsi="Arial"/>
                <w:sz w:val="16"/>
                <w:szCs w:val="16"/>
                <w:color w:val="auto"/>
              </w:rPr>
              <w:t>Mountain equity investment income</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758</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Lodging equity investment loss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Real estate equity investment income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1,614</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243</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(12,782)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(10,364)</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Gain on put option (Note 13)</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Loss on disposal of fixed assets</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w:t>
            </w:r>
          </w:p>
        </w:tc>
      </w:tr>
      <w:tr>
        <w:trPr>
          <w:trHeight w:val="246"/>
        </w:trPr>
        <w:tc>
          <w:tcPr>
            <w:tcW w:w="4760" w:type="dxa"/>
            <w:vAlign w:val="bottom"/>
          </w:tcPr>
          <w:p>
            <w:pPr>
              <w:ind w:left="180"/>
              <w:spacing w:after="0"/>
              <w:rPr>
                <w:sz w:val="20"/>
                <w:szCs w:val="20"/>
                <w:color w:val="auto"/>
              </w:rPr>
            </w:pPr>
            <w:r>
              <w:rPr>
                <w:rFonts w:ascii="Arial" w:cs="Arial" w:eastAsia="Arial" w:hAnsi="Arial"/>
                <w:sz w:val="16"/>
                <w:szCs w:val="16"/>
                <w:color w:val="auto"/>
              </w:rPr>
              <w:t>Other expense</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0"/>
        </w:trPr>
        <w:tc>
          <w:tcPr>
            <w:tcW w:w="4760" w:type="dxa"/>
            <w:vAlign w:val="bottom"/>
          </w:tcPr>
          <w:p>
            <w:pPr>
              <w:ind w:left="180"/>
              <w:spacing w:after="0"/>
              <w:rPr>
                <w:sz w:val="20"/>
                <w:szCs w:val="20"/>
                <w:color w:val="auto"/>
              </w:rPr>
            </w:pPr>
            <w:r>
              <w:rPr>
                <w:rFonts w:ascii="Arial" w:cs="Arial" w:eastAsia="Arial" w:hAnsi="Arial"/>
                <w:sz w:val="16"/>
                <w:szCs w:val="16"/>
                <w:color w:val="auto"/>
              </w:rPr>
              <w:t>Minority interest in income of consolidated joint ventures</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w:t>
            </w:r>
          </w:p>
        </w:tc>
      </w:tr>
      <w:tr>
        <w:trPr>
          <w:trHeight w:val="262"/>
        </w:trPr>
        <w:tc>
          <w:tcPr>
            <w:tcW w:w="476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29,168</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34,111</w:t>
            </w:r>
          </w:p>
        </w:tc>
      </w:tr>
      <w:tr>
        <w:trPr>
          <w:trHeight w:val="210"/>
        </w:trPr>
        <w:tc>
          <w:tcPr>
            <w:tcW w:w="4760" w:type="dxa"/>
            <w:vAlign w:val="bottom"/>
          </w:tcPr>
          <w:p>
            <w:pPr>
              <w:ind w:left="240"/>
              <w:spacing w:after="0"/>
              <w:rPr>
                <w:sz w:val="20"/>
                <w:szCs w:val="20"/>
                <w:color w:val="auto"/>
              </w:rPr>
            </w:pPr>
            <w:r>
              <w:rPr>
                <w:rFonts w:ascii="Arial" w:cs="Arial" w:eastAsia="Arial" w:hAnsi="Arial"/>
                <w:sz w:val="16"/>
                <w:szCs w:val="16"/>
                <w:color w:val="auto"/>
              </w:rPr>
              <w:t>Provision for income taxes</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(12,356)</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(12,384)</w:t>
            </w:r>
          </w:p>
        </w:tc>
      </w:tr>
      <w:tr>
        <w:trPr>
          <w:trHeight w:val="226"/>
        </w:trPr>
        <w:tc>
          <w:tcPr>
            <w:tcW w:w="476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gridSpan w:val="2"/>
          </w:tcPr>
          <w:p>
            <w:pPr>
              <w:jc w:val="right"/>
              <w:ind w:right="8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16,812</w:t>
            </w: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21,727</w:t>
            </w:r>
          </w:p>
        </w:tc>
      </w:tr>
      <w:tr>
        <w:trPr>
          <w:trHeight w:val="507"/>
        </w:trPr>
        <w:tc>
          <w:tcPr>
            <w:tcW w:w="4760" w:type="dxa"/>
            <w:vAlign w:val="bottom"/>
          </w:tcPr>
          <w:p>
            <w:pPr>
              <w:spacing w:after="0"/>
              <w:rPr>
                <w:sz w:val="20"/>
                <w:szCs w:val="20"/>
                <w:color w:val="auto"/>
              </w:rPr>
            </w:pPr>
            <w:r>
              <w:rPr>
                <w:rFonts w:ascii="Arial" w:cs="Arial" w:eastAsia="Arial" w:hAnsi="Arial"/>
                <w:sz w:val="16"/>
                <w:szCs w:val="16"/>
                <w:color w:val="auto"/>
              </w:rPr>
              <w:t>Per share amounts (basic) (Note 3):</w:t>
            </w: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10"/>
        </w:trPr>
        <w:tc>
          <w:tcPr>
            <w:tcW w:w="47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40" w:type="dxa"/>
            <w:vAlign w:val="bottom"/>
            <w:gridSpan w:val="2"/>
          </w:tcPr>
          <w:p>
            <w:pPr>
              <w:jc w:val="right"/>
              <w:ind w:right="8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0.48</w:t>
            </w: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0.62</w:t>
            </w:r>
          </w:p>
        </w:tc>
      </w:tr>
      <w:tr>
        <w:trPr>
          <w:trHeight w:val="507"/>
        </w:trPr>
        <w:tc>
          <w:tcPr>
            <w:tcW w:w="4760" w:type="dxa"/>
            <w:vAlign w:val="bottom"/>
          </w:tcPr>
          <w:p>
            <w:pPr>
              <w:spacing w:after="0"/>
              <w:rPr>
                <w:sz w:val="20"/>
                <w:szCs w:val="20"/>
                <w:color w:val="auto"/>
              </w:rPr>
            </w:pPr>
            <w:r>
              <w:rPr>
                <w:rFonts w:ascii="Arial" w:cs="Arial" w:eastAsia="Arial" w:hAnsi="Arial"/>
                <w:sz w:val="16"/>
                <w:szCs w:val="16"/>
                <w:color w:val="auto"/>
              </w:rPr>
              <w:t>Per share amounts (diluted) (Note 3):</w:t>
            </w:r>
          </w:p>
        </w:tc>
        <w:tc>
          <w:tcPr>
            <w:tcW w:w="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10"/>
        </w:trPr>
        <w:tc>
          <w:tcPr>
            <w:tcW w:w="476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40" w:type="dxa"/>
            <w:vAlign w:val="bottom"/>
          </w:tcPr>
          <w:p>
            <w:pPr>
              <w:spacing w:after="0"/>
              <w:rPr>
                <w:sz w:val="18"/>
                <w:szCs w:val="18"/>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0.48</w:t>
            </w: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0.62</w:t>
            </w:r>
          </w:p>
        </w:tc>
      </w:tr>
      <w:tr>
        <w:trPr>
          <w:trHeight w:val="20"/>
        </w:trPr>
        <w:tc>
          <w:tcPr>
            <w:tcW w:w="47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to Consolidated Condensed Financial Statements are an integral part of these financial statements.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Vail Resorts,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Condensed Statements of Operations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tbl>
      <w:tblPr>
        <w:tblLayout w:type="fixed"/>
        <w:tblInd w:w="110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6"/>
          </w:tcPr>
          <w:p>
            <w:pPr>
              <w:jc w:val="right"/>
              <w:ind w:right="420"/>
              <w:spacing w:after="0"/>
              <w:rPr>
                <w:sz w:val="20"/>
                <w:szCs w:val="20"/>
                <w:color w:val="auto"/>
              </w:rPr>
            </w:pPr>
            <w:r>
              <w:rPr>
                <w:rFonts w:ascii="Arial" w:cs="Arial" w:eastAsia="Arial" w:hAnsi="Arial"/>
                <w:sz w:val="16"/>
                <w:szCs w:val="16"/>
                <w:b w:val="1"/>
                <w:bCs w:val="1"/>
                <w:color w:val="auto"/>
              </w:rPr>
              <w:t>Six Months Ended</w:t>
            </w:r>
          </w:p>
        </w:tc>
      </w:tr>
      <w:tr>
        <w:trPr>
          <w:trHeight w:val="246"/>
        </w:trPr>
        <w:tc>
          <w:tcPr>
            <w:tcW w:w="4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6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January 31,</w:t>
            </w:r>
          </w:p>
        </w:tc>
      </w:tr>
      <w:tr>
        <w:trPr>
          <w:trHeight w:val="210"/>
        </w:trPr>
        <w:tc>
          <w:tcPr>
            <w:tcW w:w="4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2003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2002</w:t>
            </w:r>
          </w:p>
        </w:tc>
        <w:tc>
          <w:tcPr>
            <w:tcW w:w="120" w:type="dxa"/>
            <w:vAlign w:val="bottom"/>
          </w:tcPr>
          <w:p>
            <w:pPr>
              <w:spacing w:after="0"/>
              <w:rPr>
                <w:sz w:val="18"/>
                <w:szCs w:val="18"/>
                <w:color w:val="auto"/>
              </w:rPr>
            </w:pPr>
          </w:p>
        </w:tc>
      </w:tr>
      <w:tr>
        <w:trPr>
          <w:trHeight w:val="262"/>
        </w:trPr>
        <w:tc>
          <w:tcPr>
            <w:tcW w:w="4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w w:val="86"/>
              </w:rPr>
              <w:t>(as restated)</w:t>
            </w:r>
          </w:p>
        </w:tc>
      </w:tr>
      <w:tr>
        <w:trPr>
          <w:trHeight w:val="246"/>
        </w:trPr>
        <w:tc>
          <w:tcPr>
            <w:tcW w:w="4520" w:type="dxa"/>
            <w:vAlign w:val="bottom"/>
          </w:tcPr>
          <w:p>
            <w:pPr>
              <w:spacing w:after="0"/>
              <w:rPr>
                <w:sz w:val="20"/>
                <w:szCs w:val="20"/>
                <w:color w:val="auto"/>
              </w:rPr>
            </w:pPr>
            <w:r>
              <w:rPr>
                <w:rFonts w:ascii="Arial" w:cs="Arial" w:eastAsia="Arial" w:hAnsi="Arial"/>
                <w:sz w:val="16"/>
                <w:szCs w:val="16"/>
                <w:color w:val="auto"/>
              </w:rPr>
              <w:t>Net revenue:</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6"/>
                <w:szCs w:val="16"/>
                <w:color w:val="auto"/>
              </w:rPr>
              <w:t>Mountain</w:t>
            </w:r>
          </w:p>
        </w:tc>
        <w:tc>
          <w:tcPr>
            <w:tcW w:w="460" w:type="dxa"/>
            <w:vAlign w:val="bottom"/>
            <w:gridSpan w:val="5"/>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223,603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175,378</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Lodging</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75,039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61,124</w:t>
            </w:r>
          </w:p>
        </w:tc>
      </w:tr>
      <w:tr>
        <w:trPr>
          <w:trHeight w:val="210"/>
        </w:trPr>
        <w:tc>
          <w:tcPr>
            <w:tcW w:w="4520" w:type="dxa"/>
            <w:vAlign w:val="bottom"/>
          </w:tcPr>
          <w:p>
            <w:pPr>
              <w:ind w:left="18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61,978</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50,031</w:t>
            </w:r>
          </w:p>
        </w:tc>
      </w:tr>
      <w:tr>
        <w:trPr>
          <w:trHeight w:val="262"/>
        </w:trPr>
        <w:tc>
          <w:tcPr>
            <w:tcW w:w="4520" w:type="dxa"/>
            <w:vAlign w:val="bottom"/>
          </w:tcPr>
          <w:p>
            <w:pPr>
              <w:ind w:left="300"/>
              <w:spacing w:after="0"/>
              <w:rPr>
                <w:sz w:val="20"/>
                <w:szCs w:val="20"/>
                <w:color w:val="auto"/>
              </w:rPr>
            </w:pPr>
            <w:r>
              <w:rPr>
                <w:rFonts w:ascii="Arial" w:cs="Arial" w:eastAsia="Arial" w:hAnsi="Arial"/>
                <w:sz w:val="16"/>
                <w:szCs w:val="16"/>
                <w:color w:val="auto"/>
              </w:rPr>
              <w:t>Total net revenue</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360,620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286,533</w:t>
            </w:r>
          </w:p>
        </w:tc>
      </w:tr>
      <w:tr>
        <w:trPr>
          <w:trHeight w:val="234"/>
        </w:trPr>
        <w:tc>
          <w:tcPr>
            <w:tcW w:w="4520" w:type="dxa"/>
            <w:vAlign w:val="bottom"/>
          </w:tcPr>
          <w:p>
            <w:pPr>
              <w:spacing w:after="0"/>
              <w:rPr>
                <w:sz w:val="20"/>
                <w:szCs w:val="20"/>
                <w:color w:val="auto"/>
              </w:rPr>
            </w:pPr>
            <w:r>
              <w:rPr>
                <w:rFonts w:ascii="Arial" w:cs="Arial" w:eastAsia="Arial" w:hAnsi="Arial"/>
                <w:sz w:val="16"/>
                <w:szCs w:val="16"/>
                <w:color w:val="auto"/>
              </w:rPr>
              <w:t>Operating expense:</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8"/>
        </w:trPr>
        <w:tc>
          <w:tcPr>
            <w:tcW w:w="4520" w:type="dxa"/>
            <w:vAlign w:val="bottom"/>
          </w:tcPr>
          <w:p>
            <w:pPr>
              <w:ind w:left="180"/>
              <w:spacing w:after="0"/>
              <w:rPr>
                <w:sz w:val="20"/>
                <w:szCs w:val="20"/>
                <w:color w:val="auto"/>
              </w:rPr>
            </w:pPr>
            <w:r>
              <w:rPr>
                <w:rFonts w:ascii="Arial" w:cs="Arial" w:eastAsia="Arial" w:hAnsi="Arial"/>
                <w:sz w:val="16"/>
                <w:szCs w:val="16"/>
                <w:color w:val="auto"/>
              </w:rPr>
              <w:t>Mountain</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189,287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148,001</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Lodging</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75,935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59,896</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Real estate</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49,805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37,831</w:t>
            </w:r>
          </w:p>
        </w:tc>
      </w:tr>
      <w:tr>
        <w:trPr>
          <w:trHeight w:val="210"/>
        </w:trPr>
        <w:tc>
          <w:tcPr>
            <w:tcW w:w="452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37,870</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31,428</w:t>
            </w:r>
          </w:p>
        </w:tc>
      </w:tr>
      <w:tr>
        <w:trPr>
          <w:trHeight w:val="226"/>
        </w:trPr>
        <w:tc>
          <w:tcPr>
            <w:tcW w:w="4520" w:type="dxa"/>
            <w:vAlign w:val="bottom"/>
          </w:tcPr>
          <w:p>
            <w:pPr>
              <w:ind w:left="300"/>
              <w:spacing w:after="0"/>
              <w:rPr>
                <w:sz w:val="20"/>
                <w:szCs w:val="20"/>
                <w:color w:val="auto"/>
              </w:rPr>
            </w:pPr>
            <w:r>
              <w:rPr>
                <w:rFonts w:ascii="Arial" w:cs="Arial" w:eastAsia="Arial" w:hAnsi="Arial"/>
                <w:sz w:val="16"/>
                <w:szCs w:val="16"/>
                <w:color w:val="auto"/>
              </w:rPr>
              <w:t>Total operating expense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352,897</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277,156</w:t>
            </w:r>
          </w:p>
        </w:tc>
      </w:tr>
      <w:tr>
        <w:trPr>
          <w:trHeight w:val="262"/>
        </w:trPr>
        <w:tc>
          <w:tcPr>
            <w:tcW w:w="4520" w:type="dxa"/>
            <w:vAlign w:val="bottom"/>
          </w:tcPr>
          <w:p>
            <w:pPr>
              <w:spacing w:after="0"/>
              <w:rPr>
                <w:sz w:val="20"/>
                <w:szCs w:val="20"/>
                <w:color w:val="auto"/>
              </w:rPr>
            </w:pPr>
            <w:r>
              <w:rPr>
                <w:rFonts w:ascii="Arial" w:cs="Arial" w:eastAsia="Arial" w:hAnsi="Arial"/>
                <w:sz w:val="16"/>
                <w:szCs w:val="16"/>
                <w:color w:val="auto"/>
              </w:rPr>
              <w:t>Income from operations</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7,723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9,377</w:t>
            </w:r>
          </w:p>
        </w:tc>
      </w:tr>
      <w:tr>
        <w:trPr>
          <w:trHeight w:val="221"/>
        </w:trPr>
        <w:tc>
          <w:tcPr>
            <w:tcW w:w="4520" w:type="dxa"/>
            <w:vAlign w:val="bottom"/>
          </w:tcPr>
          <w:p>
            <w:pPr>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70"/>
        </w:trPr>
        <w:tc>
          <w:tcPr>
            <w:tcW w:w="4520" w:type="dxa"/>
            <w:vAlign w:val="bottom"/>
          </w:tcPr>
          <w:p>
            <w:pPr>
              <w:ind w:left="180"/>
              <w:spacing w:after="0"/>
              <w:rPr>
                <w:sz w:val="20"/>
                <w:szCs w:val="20"/>
                <w:color w:val="auto"/>
              </w:rPr>
            </w:pPr>
            <w:r>
              <w:rPr>
                <w:rFonts w:ascii="Arial" w:cs="Arial" w:eastAsia="Arial" w:hAnsi="Arial"/>
                <w:sz w:val="16"/>
                <w:szCs w:val="16"/>
                <w:color w:val="auto"/>
              </w:rPr>
              <w:t>Mountain equity investment income</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1,223</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1,208</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Lodging equity investment loss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(3,332)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Real estate equity investment income</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3,841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2,470</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955</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(24,746)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(18,226)</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Gain on put option (Note 13)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Loss on disposal of fixed assets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(127)</w:t>
            </w:r>
          </w:p>
        </w:tc>
      </w:tr>
      <w:tr>
        <w:trPr>
          <w:trHeight w:val="246"/>
        </w:trPr>
        <w:tc>
          <w:tcPr>
            <w:tcW w:w="4520" w:type="dxa"/>
            <w:vAlign w:val="bottom"/>
          </w:tcPr>
          <w:p>
            <w:pPr>
              <w:ind w:left="18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10"/>
        </w:trPr>
        <w:tc>
          <w:tcPr>
            <w:tcW w:w="4520" w:type="dxa"/>
            <w:vAlign w:val="bottom"/>
          </w:tcPr>
          <w:p>
            <w:pPr>
              <w:ind w:left="180"/>
              <w:spacing w:after="0"/>
              <w:rPr>
                <w:sz w:val="20"/>
                <w:szCs w:val="20"/>
                <w:color w:val="auto"/>
              </w:rPr>
            </w:pPr>
            <w:r>
              <w:rPr>
                <w:rFonts w:ascii="Arial" w:cs="Arial" w:eastAsia="Arial" w:hAnsi="Arial"/>
                <w:sz w:val="16"/>
                <w:szCs w:val="16"/>
                <w:color w:val="auto"/>
                <w:w w:val="97"/>
              </w:rPr>
              <w:t>Minority interest in (income) loss of consolidated joint ventures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w:t>
            </w:r>
          </w:p>
        </w:tc>
      </w:tr>
      <w:tr>
        <w:trPr>
          <w:trHeight w:val="262"/>
        </w:trPr>
        <w:tc>
          <w:tcPr>
            <w:tcW w:w="4520" w:type="dxa"/>
            <w:vAlign w:val="bottom"/>
          </w:tcPr>
          <w:p>
            <w:pPr>
              <w:spacing w:after="0"/>
              <w:rPr>
                <w:sz w:val="20"/>
                <w:szCs w:val="20"/>
                <w:color w:val="auto"/>
              </w:rPr>
            </w:pPr>
            <w:r>
              <w:rPr>
                <w:rFonts w:ascii="Arial" w:cs="Arial" w:eastAsia="Arial" w:hAnsi="Arial"/>
                <w:sz w:val="16"/>
                <w:szCs w:val="16"/>
                <w:color w:val="auto"/>
              </w:rPr>
              <w:t>Loss before benefit for income taxes</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(13,552)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(4,350)</w:t>
            </w:r>
          </w:p>
        </w:tc>
      </w:tr>
      <w:tr>
        <w:trPr>
          <w:trHeight w:val="210"/>
        </w:trPr>
        <w:tc>
          <w:tcPr>
            <w:tcW w:w="4520" w:type="dxa"/>
            <w:vAlign w:val="bottom"/>
          </w:tcPr>
          <w:p>
            <w:pPr>
              <w:ind w:left="240"/>
              <w:spacing w:after="0"/>
              <w:rPr>
                <w:sz w:val="20"/>
                <w:szCs w:val="20"/>
                <w:color w:val="auto"/>
              </w:rPr>
            </w:pPr>
            <w:r>
              <w:rPr>
                <w:rFonts w:ascii="Arial" w:cs="Arial" w:eastAsia="Arial" w:hAnsi="Arial"/>
                <w:sz w:val="16"/>
                <w:szCs w:val="16"/>
                <w:color w:val="auto"/>
              </w:rPr>
              <w:t>Benefit for income taxes</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5,544</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1,654</w:t>
            </w:r>
          </w:p>
        </w:tc>
      </w:tr>
      <w:tr>
        <w:trPr>
          <w:trHeight w:val="262"/>
        </w:trPr>
        <w:tc>
          <w:tcPr>
            <w:tcW w:w="4520" w:type="dxa"/>
            <w:vAlign w:val="bottom"/>
          </w:tcPr>
          <w:p>
            <w:pPr>
              <w:spacing w:after="0"/>
              <w:rPr>
                <w:sz w:val="20"/>
                <w:szCs w:val="20"/>
                <w:color w:val="auto"/>
              </w:rPr>
            </w:pPr>
            <w:r>
              <w:rPr>
                <w:rFonts w:ascii="Arial" w:cs="Arial" w:eastAsia="Arial" w:hAnsi="Arial"/>
                <w:sz w:val="16"/>
                <w:szCs w:val="16"/>
                <w:color w:val="auto"/>
              </w:rPr>
              <w:t>Loss before cumulative effect of change in accounting principle</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(8,008)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(2,696)</w:t>
            </w:r>
          </w:p>
        </w:tc>
      </w:tr>
      <w:tr>
        <w:trPr>
          <w:trHeight w:val="186"/>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(1,708)</w:t>
            </w:r>
          </w:p>
        </w:tc>
      </w:tr>
    </w:tbl>
    <w:p>
      <w:pPr>
        <w:sectPr>
          <w:pgSz w:w="11900" w:h="16838" w:orient="portrait"/>
          <w:cols w:equalWidth="0" w:num="1">
            <w:col w:w="9019"/>
          </w:cols>
          <w:pgMar w:left="1440" w:top="376" w:right="1440" w:bottom="0" w:gutter="0" w:footer="0" w:header="0"/>
        </w:sectPr>
      </w:pPr>
    </w:p>
    <w:bookmarkStart w:id="3" w:name="page4"/>
    <w:bookmarkEnd w:id="3"/>
    <w:p>
      <w:pPr>
        <w:spacing w:after="0" w:line="53" w:lineRule="exact"/>
        <w:rPr>
          <w:sz w:val="20"/>
          <w:szCs w:val="20"/>
          <w:color w:val="auto"/>
        </w:rPr>
      </w:pPr>
    </w:p>
    <w:tbl>
      <w:tblPr>
        <w:tblLayout w:type="fixed"/>
        <w:tblInd w:w="2300" w:type="dxa"/>
        <w:tblCellMar>
          <w:top w:w="0" w:type="dxa"/>
          <w:left w:w="0" w:type="dxa"/>
          <w:bottom w:w="0" w:type="dxa"/>
          <w:right w:w="0" w:type="dxa"/>
        </w:tblCellMar>
      </w:tblPr>
      <w:tr>
        <w:trPr>
          <w:trHeight w:val="197"/>
        </w:trPr>
        <w:tc>
          <w:tcPr>
            <w:tcW w:w="4780" w:type="dxa"/>
            <w:vAlign w:val="bottom"/>
          </w:tcPr>
          <w:p>
            <w:pPr>
              <w:ind w:left="180"/>
              <w:spacing w:after="0"/>
              <w:rPr>
                <w:sz w:val="20"/>
                <w:szCs w:val="20"/>
                <w:color w:val="auto"/>
              </w:rPr>
            </w:pPr>
            <w:r>
              <w:rPr>
                <w:rFonts w:ascii="Arial" w:cs="Arial" w:eastAsia="Arial" w:hAnsi="Arial"/>
                <w:sz w:val="16"/>
                <w:szCs w:val="16"/>
                <w:color w:val="auto"/>
                <w:w w:val="98"/>
              </w:rPr>
              <w:t>Cumulative effect of change in accounting principle, net of income</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4780" w:type="dxa"/>
            <w:vAlign w:val="bottom"/>
          </w:tcPr>
          <w:p>
            <w:pPr>
              <w:ind w:left="180"/>
              <w:spacing w:after="0"/>
              <w:rPr>
                <w:sz w:val="20"/>
                <w:szCs w:val="20"/>
                <w:color w:val="auto"/>
              </w:rPr>
            </w:pPr>
            <w:r>
              <w:rPr>
                <w:rFonts w:ascii="Arial" w:cs="Arial" w:eastAsia="Arial" w:hAnsi="Arial"/>
                <w:sz w:val="16"/>
                <w:szCs w:val="16"/>
                <w:color w:val="auto"/>
              </w:rPr>
              <w:t>taxes</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4780" w:type="dxa"/>
            <w:vAlign w:val="bottom"/>
          </w:tcPr>
          <w:p>
            <w:pPr>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(8,008)</w:t>
            </w:r>
          </w:p>
        </w:tc>
        <w:tc>
          <w:tcPr>
            <w:tcW w:w="42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(4,404)</w:t>
            </w:r>
          </w:p>
        </w:tc>
      </w:tr>
      <w:tr>
        <w:trPr>
          <w:trHeight w:val="507"/>
        </w:trPr>
        <w:tc>
          <w:tcPr>
            <w:tcW w:w="4780" w:type="dxa"/>
            <w:vAlign w:val="bottom"/>
          </w:tcPr>
          <w:p>
            <w:pPr>
              <w:spacing w:after="0"/>
              <w:rPr>
                <w:sz w:val="20"/>
                <w:szCs w:val="20"/>
                <w:color w:val="auto"/>
              </w:rPr>
            </w:pPr>
            <w:r>
              <w:rPr>
                <w:rFonts w:ascii="Arial" w:cs="Arial" w:eastAsia="Arial" w:hAnsi="Arial"/>
                <w:sz w:val="16"/>
                <w:szCs w:val="16"/>
                <w:color w:val="auto"/>
              </w:rPr>
              <w:t>Per share amounts (basic) (Note 3):</w:t>
            </w: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46"/>
        </w:trPr>
        <w:tc>
          <w:tcPr>
            <w:tcW w:w="4780" w:type="dxa"/>
            <w:vAlign w:val="bottom"/>
          </w:tcPr>
          <w:p>
            <w:pPr>
              <w:ind w:left="180"/>
              <w:spacing w:after="0"/>
              <w:rPr>
                <w:sz w:val="20"/>
                <w:szCs w:val="20"/>
                <w:color w:val="auto"/>
              </w:rPr>
            </w:pPr>
            <w:r>
              <w:rPr>
                <w:rFonts w:ascii="Arial" w:cs="Arial" w:eastAsia="Arial" w:hAnsi="Arial"/>
                <w:sz w:val="16"/>
                <w:szCs w:val="16"/>
                <w:color w:val="auto"/>
              </w:rPr>
              <w:t>Loss before cumulative effect of change in accounting principle</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(0.23)</w:t>
            </w:r>
          </w:p>
        </w:tc>
        <w:tc>
          <w:tcPr>
            <w:tcW w:w="42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4"/>
        </w:trPr>
        <w:tc>
          <w:tcPr>
            <w:tcW w:w="4780" w:type="dxa"/>
            <w:vAlign w:val="bottom"/>
          </w:tcPr>
          <w:p>
            <w:pPr>
              <w:ind w:left="180"/>
              <w:spacing w:after="0"/>
              <w:rPr>
                <w:sz w:val="20"/>
                <w:szCs w:val="20"/>
                <w:color w:val="auto"/>
              </w:rPr>
            </w:pPr>
            <w:r>
              <w:rPr>
                <w:rFonts w:ascii="Arial" w:cs="Arial" w:eastAsia="Arial" w:hAnsi="Arial"/>
                <w:sz w:val="16"/>
                <w:szCs w:val="16"/>
                <w:color w:val="auto"/>
                <w:w w:val="98"/>
              </w:rPr>
              <w:t>Cumulative effect of change in accounting principle, net of income</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69"/>
        </w:trPr>
        <w:tc>
          <w:tcPr>
            <w:tcW w:w="4780" w:type="dxa"/>
            <w:vAlign w:val="bottom"/>
          </w:tcPr>
          <w:p>
            <w:pPr>
              <w:ind w:left="180"/>
              <w:spacing w:after="0" w:line="169" w:lineRule="exact"/>
              <w:rPr>
                <w:sz w:val="20"/>
                <w:szCs w:val="20"/>
                <w:color w:val="auto"/>
              </w:rPr>
            </w:pPr>
            <w:r>
              <w:rPr>
                <w:rFonts w:ascii="Arial" w:cs="Arial" w:eastAsia="Arial" w:hAnsi="Arial"/>
                <w:sz w:val="16"/>
                <w:szCs w:val="16"/>
                <w:color w:val="auto"/>
              </w:rPr>
              <w:t>taxes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(0.05)</w:t>
            </w:r>
          </w:p>
        </w:tc>
      </w:tr>
      <w:tr>
        <w:trPr>
          <w:trHeight w:val="226"/>
        </w:trPr>
        <w:tc>
          <w:tcPr>
            <w:tcW w:w="47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(0.23)</w:t>
            </w:r>
          </w:p>
        </w:tc>
        <w:tc>
          <w:tcPr>
            <w:tcW w:w="42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507"/>
        </w:trPr>
        <w:tc>
          <w:tcPr>
            <w:tcW w:w="4780" w:type="dxa"/>
            <w:vAlign w:val="bottom"/>
          </w:tcPr>
          <w:p>
            <w:pPr>
              <w:spacing w:after="0"/>
              <w:rPr>
                <w:sz w:val="20"/>
                <w:szCs w:val="20"/>
                <w:color w:val="auto"/>
              </w:rPr>
            </w:pPr>
            <w:r>
              <w:rPr>
                <w:rFonts w:ascii="Arial" w:cs="Arial" w:eastAsia="Arial" w:hAnsi="Arial"/>
                <w:sz w:val="16"/>
                <w:szCs w:val="16"/>
                <w:color w:val="auto"/>
              </w:rPr>
              <w:t>Per share amounts (diluted) (Note 3):</w:t>
            </w:r>
          </w:p>
        </w:tc>
        <w:tc>
          <w:tcPr>
            <w:tcW w:w="2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46"/>
        </w:trPr>
        <w:tc>
          <w:tcPr>
            <w:tcW w:w="4780" w:type="dxa"/>
            <w:vAlign w:val="bottom"/>
          </w:tcPr>
          <w:p>
            <w:pPr>
              <w:ind w:left="180"/>
              <w:spacing w:after="0"/>
              <w:rPr>
                <w:sz w:val="20"/>
                <w:szCs w:val="20"/>
                <w:color w:val="auto"/>
              </w:rPr>
            </w:pPr>
            <w:r>
              <w:rPr>
                <w:rFonts w:ascii="Arial" w:cs="Arial" w:eastAsia="Arial" w:hAnsi="Arial"/>
                <w:sz w:val="16"/>
                <w:szCs w:val="16"/>
                <w:color w:val="auto"/>
              </w:rPr>
              <w:t>Loss before cumulative effect of change in accounting principle</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(0.23)</w:t>
            </w:r>
          </w:p>
        </w:tc>
        <w:tc>
          <w:tcPr>
            <w:tcW w:w="420" w:type="dxa"/>
            <w:vAlign w:val="bottom"/>
            <w:gridSpan w:val="2"/>
          </w:tcPr>
          <w:p>
            <w:pPr>
              <w:jc w:val="right"/>
              <w:ind w:right="146"/>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4"/>
        </w:trPr>
        <w:tc>
          <w:tcPr>
            <w:tcW w:w="4780" w:type="dxa"/>
            <w:vAlign w:val="bottom"/>
          </w:tcPr>
          <w:p>
            <w:pPr>
              <w:ind w:left="180"/>
              <w:spacing w:after="0"/>
              <w:rPr>
                <w:sz w:val="20"/>
                <w:szCs w:val="20"/>
                <w:color w:val="auto"/>
              </w:rPr>
            </w:pPr>
            <w:r>
              <w:rPr>
                <w:rFonts w:ascii="Arial" w:cs="Arial" w:eastAsia="Arial" w:hAnsi="Arial"/>
                <w:sz w:val="16"/>
                <w:szCs w:val="16"/>
                <w:color w:val="auto"/>
                <w:w w:val="98"/>
              </w:rPr>
              <w:t>Cumulative effect of change in accounting principle, net of income</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69"/>
        </w:trPr>
        <w:tc>
          <w:tcPr>
            <w:tcW w:w="4780" w:type="dxa"/>
            <w:vAlign w:val="bottom"/>
          </w:tcPr>
          <w:p>
            <w:pPr>
              <w:ind w:left="180"/>
              <w:spacing w:after="0" w:line="169" w:lineRule="exact"/>
              <w:rPr>
                <w:sz w:val="20"/>
                <w:szCs w:val="20"/>
                <w:color w:val="auto"/>
              </w:rPr>
            </w:pPr>
            <w:r>
              <w:rPr>
                <w:rFonts w:ascii="Arial" w:cs="Arial" w:eastAsia="Arial" w:hAnsi="Arial"/>
                <w:sz w:val="16"/>
                <w:szCs w:val="16"/>
                <w:color w:val="auto"/>
              </w:rPr>
              <w:t>taxes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(0.05)</w:t>
            </w:r>
          </w:p>
        </w:tc>
      </w:tr>
      <w:tr>
        <w:trPr>
          <w:trHeight w:val="226"/>
        </w:trPr>
        <w:tc>
          <w:tcPr>
            <w:tcW w:w="47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Condensed Financial Statements are an integral part of these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Vail Resorts,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Condensed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0" w:lineRule="exact"/>
        <w:rPr>
          <w:sz w:val="20"/>
          <w:szCs w:val="20"/>
          <w:color w:val="auto"/>
        </w:rPr>
      </w:pPr>
    </w:p>
    <w:tbl>
      <w:tblPr>
        <w:tblLayout w:type="fixed"/>
        <w:tblInd w:w="2240" w:type="dxa"/>
        <w:tblCellMar>
          <w:top w:w="0" w:type="dxa"/>
          <w:left w:w="0" w:type="dxa"/>
          <w:bottom w:w="0" w:type="dxa"/>
          <w:right w:w="0" w:type="dxa"/>
        </w:tblCellMar>
      </w:tblPr>
      <w:tr>
        <w:trPr>
          <w:trHeight w:val="208"/>
        </w:trPr>
        <w:tc>
          <w:tcPr>
            <w:tcW w:w="5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7"/>
          </w:tcPr>
          <w:p>
            <w:pPr>
              <w:jc w:val="right"/>
              <w:ind w:right="340"/>
              <w:spacing w:after="0"/>
              <w:rPr>
                <w:sz w:val="20"/>
                <w:szCs w:val="20"/>
                <w:color w:val="auto"/>
              </w:rPr>
            </w:pPr>
            <w:r>
              <w:rPr>
                <w:rFonts w:ascii="Arial" w:cs="Arial" w:eastAsia="Arial" w:hAnsi="Arial"/>
                <w:sz w:val="16"/>
                <w:szCs w:val="16"/>
                <w:b w:val="1"/>
                <w:bCs w:val="1"/>
                <w:color w:val="auto"/>
                <w:w w:val="96"/>
              </w:rPr>
              <w:t>Six Months Ended</w:t>
            </w:r>
          </w:p>
        </w:tc>
      </w:tr>
      <w:tr>
        <w:trPr>
          <w:trHeight w:val="246"/>
        </w:trPr>
        <w:tc>
          <w:tcPr>
            <w:tcW w:w="5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7"/>
          </w:tcPr>
          <w:p>
            <w:pPr>
              <w:jc w:val="right"/>
              <w:ind w:right="560"/>
              <w:spacing w:after="0"/>
              <w:rPr>
                <w:sz w:val="20"/>
                <w:szCs w:val="20"/>
                <w:color w:val="auto"/>
              </w:rPr>
            </w:pPr>
            <w:r>
              <w:rPr>
                <w:rFonts w:ascii="Arial" w:cs="Arial" w:eastAsia="Arial" w:hAnsi="Arial"/>
                <w:sz w:val="16"/>
                <w:szCs w:val="16"/>
                <w:b w:val="1"/>
                <w:bCs w:val="1"/>
                <w:color w:val="auto"/>
              </w:rPr>
              <w:t>January 31,</w:t>
            </w:r>
          </w:p>
        </w:tc>
      </w:tr>
      <w:tr>
        <w:trPr>
          <w:trHeight w:val="210"/>
        </w:trPr>
        <w:tc>
          <w:tcPr>
            <w:tcW w:w="50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2002</w:t>
            </w:r>
          </w:p>
        </w:tc>
        <w:tc>
          <w:tcPr>
            <w:tcW w:w="60" w:type="dxa"/>
            <w:vAlign w:val="bottom"/>
          </w:tcPr>
          <w:p>
            <w:pPr>
              <w:spacing w:after="0"/>
              <w:rPr>
                <w:sz w:val="18"/>
                <w:szCs w:val="18"/>
                <w:color w:val="auto"/>
              </w:rPr>
            </w:pPr>
          </w:p>
        </w:tc>
      </w:tr>
      <w:tr>
        <w:trPr>
          <w:trHeight w:val="286"/>
        </w:trPr>
        <w:tc>
          <w:tcPr>
            <w:tcW w:w="50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126,102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91,609</w:t>
            </w:r>
          </w:p>
        </w:tc>
      </w:tr>
      <w:tr>
        <w:trPr>
          <w:trHeight w:val="246"/>
        </w:trPr>
        <w:tc>
          <w:tcPr>
            <w:tcW w:w="50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6"/>
        </w:trPr>
        <w:tc>
          <w:tcPr>
            <w:tcW w:w="508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(66,373)</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(35,477)</w:t>
            </w:r>
          </w:p>
        </w:tc>
      </w:tr>
      <w:tr>
        <w:trPr>
          <w:trHeight w:val="246"/>
        </w:trPr>
        <w:tc>
          <w:tcPr>
            <w:tcW w:w="5080" w:type="dxa"/>
            <w:vAlign w:val="bottom"/>
          </w:tcPr>
          <w:p>
            <w:pPr>
              <w:ind w:left="280"/>
              <w:spacing w:after="0"/>
              <w:rPr>
                <w:sz w:val="20"/>
                <w:szCs w:val="20"/>
                <w:color w:val="auto"/>
              </w:rPr>
            </w:pPr>
            <w:r>
              <w:rPr>
                <w:rFonts w:ascii="Arial" w:cs="Arial" w:eastAsia="Arial" w:hAnsi="Arial"/>
                <w:sz w:val="16"/>
                <w:szCs w:val="16"/>
                <w:color w:val="auto"/>
              </w:rPr>
              <w:t>Investments in real estate</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(27,961)</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(36,625)</w:t>
            </w:r>
          </w:p>
        </w:tc>
      </w:tr>
      <w:tr>
        <w:trPr>
          <w:trHeight w:val="246"/>
        </w:trPr>
        <w:tc>
          <w:tcPr>
            <w:tcW w:w="5080" w:type="dxa"/>
            <w:vAlign w:val="bottom"/>
          </w:tcPr>
          <w:p>
            <w:pPr>
              <w:ind w:left="280"/>
              <w:spacing w:after="0"/>
              <w:rPr>
                <w:sz w:val="20"/>
                <w:szCs w:val="20"/>
                <w:color w:val="auto"/>
              </w:rPr>
            </w:pPr>
            <w:r>
              <w:rPr>
                <w:rFonts w:ascii="Arial" w:cs="Arial" w:eastAsia="Arial" w:hAnsi="Arial"/>
                <w:sz w:val="16"/>
                <w:szCs w:val="16"/>
                <w:color w:val="auto"/>
              </w:rPr>
              <w:t>Cash paid in acquisitions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(77,520)</w:t>
            </w:r>
          </w:p>
        </w:tc>
      </w:tr>
      <w:tr>
        <w:trPr>
          <w:trHeight w:val="210"/>
        </w:trPr>
        <w:tc>
          <w:tcPr>
            <w:tcW w:w="5080" w:type="dxa"/>
            <w:vAlign w:val="bottom"/>
          </w:tcPr>
          <w:p>
            <w:pPr>
              <w:ind w:left="280"/>
              <w:spacing w:after="0"/>
              <w:rPr>
                <w:sz w:val="20"/>
                <w:szCs w:val="20"/>
                <w:color w:val="auto"/>
              </w:rPr>
            </w:pPr>
            <w:r>
              <w:rPr>
                <w:rFonts w:ascii="Arial" w:cs="Arial" w:eastAsia="Arial" w:hAnsi="Arial"/>
                <w:sz w:val="16"/>
                <w:szCs w:val="16"/>
                <w:color w:val="auto"/>
              </w:rPr>
              <w:t>Other investing activities</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(1,934)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370</w:t>
            </w:r>
          </w:p>
        </w:tc>
      </w:tr>
      <w:tr>
        <w:trPr>
          <w:trHeight w:val="262"/>
        </w:trPr>
        <w:tc>
          <w:tcPr>
            <w:tcW w:w="5080" w:type="dxa"/>
            <w:vAlign w:val="bottom"/>
          </w:tcPr>
          <w:p>
            <w:pPr>
              <w:ind w:left="420"/>
              <w:spacing w:after="0"/>
              <w:rPr>
                <w:sz w:val="20"/>
                <w:szCs w:val="20"/>
                <w:color w:val="auto"/>
              </w:rPr>
            </w:pPr>
            <w:r>
              <w:rPr>
                <w:rFonts w:ascii="Arial" w:cs="Arial" w:eastAsia="Arial" w:hAnsi="Arial"/>
                <w:sz w:val="16"/>
                <w:szCs w:val="16"/>
                <w:color w:val="auto"/>
              </w:rPr>
              <w:t>Net cash used in investing activities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(96,268)</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(149,252)</w:t>
            </w:r>
          </w:p>
        </w:tc>
      </w:tr>
      <w:tr>
        <w:trPr>
          <w:trHeight w:val="246"/>
        </w:trPr>
        <w:tc>
          <w:tcPr>
            <w:tcW w:w="50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6"/>
        </w:trPr>
        <w:tc>
          <w:tcPr>
            <w:tcW w:w="5080" w:type="dxa"/>
            <w:vAlign w:val="bottom"/>
          </w:tcPr>
          <w:p>
            <w:pPr>
              <w:ind w:left="280"/>
              <w:spacing w:after="0"/>
              <w:rPr>
                <w:sz w:val="20"/>
                <w:szCs w:val="20"/>
                <w:color w:val="auto"/>
              </w:rPr>
            </w:pPr>
            <w:r>
              <w:rPr>
                <w:rFonts w:ascii="Arial" w:cs="Arial" w:eastAsia="Arial" w:hAnsi="Arial"/>
                <w:sz w:val="16"/>
                <w:szCs w:val="16"/>
                <w:color w:val="auto"/>
              </w:rPr>
              <w:t>Proceeds from borrowings under long-term debt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151,100</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568,801</w:t>
            </w:r>
          </w:p>
        </w:tc>
      </w:tr>
      <w:tr>
        <w:trPr>
          <w:trHeight w:val="246"/>
        </w:trPr>
        <w:tc>
          <w:tcPr>
            <w:tcW w:w="5080" w:type="dxa"/>
            <w:vAlign w:val="bottom"/>
          </w:tcPr>
          <w:p>
            <w:pPr>
              <w:ind w:left="280"/>
              <w:spacing w:after="0"/>
              <w:rPr>
                <w:sz w:val="20"/>
                <w:szCs w:val="20"/>
                <w:color w:val="auto"/>
              </w:rPr>
            </w:pPr>
            <w:r>
              <w:rPr>
                <w:rFonts w:ascii="Arial" w:cs="Arial" w:eastAsia="Arial" w:hAnsi="Arial"/>
                <w:sz w:val="16"/>
                <w:szCs w:val="16"/>
                <w:color w:val="auto"/>
              </w:rPr>
              <w:t>Payments on long-term debt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w w:val="90"/>
              </w:rPr>
              <w:t>(182,013)</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(505,871)</w:t>
            </w:r>
          </w:p>
        </w:tc>
      </w:tr>
      <w:tr>
        <w:trPr>
          <w:trHeight w:val="210"/>
        </w:trPr>
        <w:tc>
          <w:tcPr>
            <w:tcW w:w="5080" w:type="dxa"/>
            <w:vAlign w:val="bottom"/>
          </w:tcPr>
          <w:p>
            <w:pPr>
              <w:ind w:left="280"/>
              <w:spacing w:after="0"/>
              <w:rPr>
                <w:sz w:val="20"/>
                <w:szCs w:val="20"/>
                <w:color w:val="auto"/>
              </w:rPr>
            </w:pPr>
            <w:r>
              <w:rPr>
                <w:rFonts w:ascii="Arial" w:cs="Arial" w:eastAsia="Arial" w:hAnsi="Arial"/>
                <w:sz w:val="16"/>
                <w:szCs w:val="16"/>
                <w:color w:val="auto"/>
              </w:rPr>
              <w:t>Other financing activities</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(196)</w:t>
            </w:r>
          </w:p>
        </w:tc>
        <w:tc>
          <w:tcPr>
            <w:tcW w:w="1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(7,051)</w:t>
            </w:r>
          </w:p>
        </w:tc>
      </w:tr>
      <w:tr>
        <w:trPr>
          <w:trHeight w:val="226"/>
        </w:trPr>
        <w:tc>
          <w:tcPr>
            <w:tcW w:w="5080" w:type="dxa"/>
            <w:vAlign w:val="bottom"/>
          </w:tcPr>
          <w:p>
            <w:pPr>
              <w:ind w:left="420"/>
              <w:spacing w:after="0"/>
              <w:rPr>
                <w:sz w:val="20"/>
                <w:szCs w:val="20"/>
                <w:color w:val="auto"/>
              </w:rPr>
            </w:pPr>
            <w:r>
              <w:rPr>
                <w:rFonts w:ascii="Arial" w:cs="Arial" w:eastAsia="Arial" w:hAnsi="Arial"/>
                <w:sz w:val="16"/>
                <w:szCs w:val="16"/>
                <w:color w:val="auto"/>
              </w:rPr>
              <w:t>Net cash provided by (used in) financing activities</w:t>
            </w: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(31,109)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55,879</w:t>
            </w:r>
          </w:p>
        </w:tc>
      </w:tr>
      <w:tr>
        <w:trPr>
          <w:trHeight w:val="262"/>
        </w:trPr>
        <w:tc>
          <w:tcPr>
            <w:tcW w:w="5080" w:type="dxa"/>
            <w:vAlign w:val="bottom"/>
          </w:tcPr>
          <w:p>
            <w:pPr>
              <w:ind w:left="640"/>
              <w:spacing w:after="0"/>
              <w:rPr>
                <w:sz w:val="20"/>
                <w:szCs w:val="20"/>
                <w:color w:val="auto"/>
              </w:rPr>
            </w:pPr>
            <w:r>
              <w:rPr>
                <w:rFonts w:ascii="Arial" w:cs="Arial" w:eastAsia="Arial" w:hAnsi="Arial"/>
                <w:sz w:val="16"/>
                <w:szCs w:val="16"/>
                <w:color w:val="auto"/>
              </w:rPr>
              <w:t>Net decrease in cash and cash equivalents</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(1,275)</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(1,764)</w:t>
            </w:r>
          </w:p>
        </w:tc>
      </w:tr>
      <w:tr>
        <w:trPr>
          <w:trHeight w:val="246"/>
        </w:trPr>
        <w:tc>
          <w:tcPr>
            <w:tcW w:w="50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0"/>
        </w:trPr>
        <w:tc>
          <w:tcPr>
            <w:tcW w:w="5080" w:type="dxa"/>
            <w:vAlign w:val="bottom"/>
          </w:tcPr>
          <w:p>
            <w:pPr>
              <w:ind w:left="280"/>
              <w:spacing w:after="0"/>
              <w:rPr>
                <w:sz w:val="20"/>
                <w:szCs w:val="20"/>
                <w:color w:val="auto"/>
              </w:rPr>
            </w:pPr>
            <w:r>
              <w:rPr>
                <w:rFonts w:ascii="Arial" w:cs="Arial" w:eastAsia="Arial" w:hAnsi="Arial"/>
                <w:sz w:val="16"/>
                <w:szCs w:val="16"/>
                <w:color w:val="auto"/>
              </w:rPr>
              <w:t>Beginning of period</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25,965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27,994</w:t>
            </w:r>
          </w:p>
        </w:tc>
      </w:tr>
      <w:tr>
        <w:trPr>
          <w:trHeight w:val="226"/>
        </w:trPr>
        <w:tc>
          <w:tcPr>
            <w:tcW w:w="5080" w:type="dxa"/>
            <w:vAlign w:val="bottom"/>
          </w:tcPr>
          <w:p>
            <w:pPr>
              <w:ind w:left="280"/>
              <w:spacing w:after="0"/>
              <w:rPr>
                <w:sz w:val="20"/>
                <w:szCs w:val="20"/>
                <w:color w:val="auto"/>
              </w:rPr>
            </w:pPr>
            <w:r>
              <w:rPr>
                <w:rFonts w:ascii="Arial" w:cs="Arial" w:eastAsia="Arial" w:hAnsi="Arial"/>
                <w:sz w:val="16"/>
                <w:szCs w:val="16"/>
                <w:color w:val="auto"/>
              </w:rPr>
              <w:t>End of period</w:t>
            </w:r>
          </w:p>
        </w:tc>
        <w:tc>
          <w:tcPr>
            <w:tcW w:w="6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24,690</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26,230</w:t>
            </w:r>
          </w:p>
        </w:tc>
      </w:tr>
    </w:tbl>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to Consolidated Condensed Financial Statements are an integral part of these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Vail Resorts,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Condensed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Vail Resorts, Inc. ("Vail Resorts") is organized as a holding company and operates through various subsidiaries. Vail Resorts and its subsidiaries (collectively, the "Company") currently operate in three business segments: Mountain, Lodging and Real Estate. The Vail Corporation (d/b/a Vail Associates, Inc.), an indirect wholly owned subsidiary of Vail Resorts, and its subsidiaries (collectively, "Vail Associates") owns and operates four world-class ski resorts and related amenities at Vail, Breckenridge, Keystone and Beaver Creek mountains in Colorado. The Company, through a subsidiary, also owns and operates Heavenly Ski Resort ("Heavenly") in the Lake Tahoe area of California and Nevada. In addition to the ski resorts, Vail Associates owns Grand Teton Lodge Company ("GTLC"), which operates three resorts within Grand Teton National Park (under a National Park Service concessionaire contract) and the Jackson Hole Golf &amp; Tennis Club in Wyoming. Vail Associates also owns a 51% interest in Snake Rive r Lodge &amp; Spa ("SRL&amp;S") located near Jackson, Wyoming and owns 100% of the Lodge at Rancho Mirage ("Rancho Mirage") near Palm Springs, California. The Company also holds a majority interest in RockResorts International, LLC ("RockResorts"), a luxury hotel management company. Vail Resorts Development Company ("VRDC"), a wholly owned subsidiary of Vail Associates, conducts the operations of the Company's Real Estate segment. The Company's mountain and lodging businesses are seasonal in nature. The Company's mountain and most of its lodging operations typically have operating seasons from late October through April; the Company's operations at GTLC generally run from mid-May through mid-October.</w:t>
      </w:r>
    </w:p>
    <w:p>
      <w:pPr>
        <w:spacing w:after="0" w:line="125" w:lineRule="exact"/>
        <w:rPr>
          <w:sz w:val="20"/>
          <w:szCs w:val="20"/>
          <w:color w:val="auto"/>
        </w:rPr>
      </w:pPr>
    </w:p>
    <w:p>
      <w:pPr>
        <w:ind w:right="460"/>
        <w:spacing w:after="0" w:line="288" w:lineRule="auto"/>
        <w:rPr>
          <w:sz w:val="20"/>
          <w:szCs w:val="20"/>
          <w:color w:val="auto"/>
        </w:rPr>
      </w:pPr>
      <w:r>
        <w:rPr>
          <w:rFonts w:ascii="Arial" w:cs="Arial" w:eastAsia="Arial" w:hAnsi="Arial"/>
          <w:sz w:val="15"/>
          <w:szCs w:val="15"/>
          <w:color w:val="auto"/>
        </w:rPr>
        <w:t>In the opinion of the Company, the accompanying Consolidated Condensed Financial Statements reflect all adjustments necessary to present fairly the Company's financial position, results of operations and cash flows for the interim periods presented. All such adjustments are of a normal recurring nature. Results for interim periods are not indicative of the results for the entire year. The accompanying Consolidated Condensed Financial Statements should be read in conjunction with the audited Consolidated Financial Statements included in the Company's Annual Report on Form 10-K for the fiscal year ended July 31, 2002.</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76"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i w:val="1"/>
          <w:iCs w:val="1"/>
          <w:color w:val="auto"/>
        </w:rPr>
        <w:t>Use of Estimates--</w:t>
      </w:r>
      <w:r>
        <w:rPr>
          <w:rFonts w:ascii="Arial" w:cs="Arial" w:eastAsia="Arial" w:hAnsi="Arial"/>
          <w:sz w:val="16"/>
          <w:szCs w:val="16"/>
          <w:color w:val="auto"/>
        </w:rPr>
        <w:t>The preparation of financial statements in conformity with generally accepted accounting principles requires management to make estimates and assumptions</w:t>
      </w:r>
      <w:r>
        <w:rPr>
          <w:rFonts w:ascii="Arial" w:cs="Arial" w:eastAsia="Arial" w:hAnsi="Arial"/>
          <w:sz w:val="16"/>
          <w:szCs w:val="16"/>
          <w:i w:val="1"/>
          <w:iCs w:val="1"/>
          <w:color w:val="auto"/>
        </w:rPr>
        <w:t xml:space="preserve"> </w:t>
      </w:r>
      <w:r>
        <w:rPr>
          <w:rFonts w:ascii="Arial" w:cs="Arial" w:eastAsia="Arial" w:hAnsi="Arial"/>
          <w:sz w:val="16"/>
          <w:szCs w:val="16"/>
          <w:color w:val="auto"/>
        </w:rPr>
        <w:t>that affect the reported amounts of assets and liabilities, the disclosure of contingent assets and liabilities at the balance sheet date and the reported amounts of revenues and expenses during the reporting period. Actual results could differ from those estimates.</w:t>
      </w:r>
    </w:p>
    <w:p>
      <w:pPr>
        <w:spacing w:after="0" w:line="131" w:lineRule="exact"/>
        <w:rPr>
          <w:sz w:val="20"/>
          <w:szCs w:val="20"/>
          <w:color w:val="auto"/>
        </w:rPr>
      </w:pPr>
    </w:p>
    <w:p>
      <w:pPr>
        <w:ind w:right="220"/>
        <w:spacing w:after="0" w:line="283" w:lineRule="auto"/>
        <w:rPr>
          <w:sz w:val="20"/>
          <w:szCs w:val="20"/>
          <w:color w:val="auto"/>
        </w:rPr>
      </w:pPr>
      <w:r>
        <w:rPr>
          <w:rFonts w:ascii="Arial" w:cs="Arial" w:eastAsia="Arial" w:hAnsi="Arial"/>
          <w:sz w:val="16"/>
          <w:szCs w:val="16"/>
          <w:i w:val="1"/>
          <w:iCs w:val="1"/>
          <w:color w:val="auto"/>
        </w:rPr>
        <w:t>Reclassifications</w:t>
      </w:r>
      <w:r>
        <w:rPr>
          <w:rFonts w:ascii="Arial" w:cs="Arial" w:eastAsia="Arial" w:hAnsi="Arial"/>
          <w:sz w:val="16"/>
          <w:szCs w:val="16"/>
          <w:color w:val="auto"/>
        </w:rPr>
        <w:t>--Certain reclassifications have been made to the accompanying Consolidated Condensed Financial Statements for the three and six months ended January 31,</w:t>
      </w:r>
      <w:r>
        <w:rPr>
          <w:rFonts w:ascii="Arial" w:cs="Arial" w:eastAsia="Arial" w:hAnsi="Arial"/>
          <w:sz w:val="16"/>
          <w:szCs w:val="16"/>
          <w:i w:val="1"/>
          <w:iCs w:val="1"/>
          <w:color w:val="auto"/>
        </w:rPr>
        <w:t xml:space="preserve"> </w:t>
      </w:r>
      <w:r>
        <w:rPr>
          <w:rFonts w:ascii="Arial" w:cs="Arial" w:eastAsia="Arial" w:hAnsi="Arial"/>
          <w:sz w:val="16"/>
          <w:szCs w:val="16"/>
          <w:color w:val="auto"/>
        </w:rPr>
        <w:t>2002 to conform to the present period presentation.</w:t>
      </w:r>
    </w:p>
    <w:p>
      <w:pPr>
        <w:sectPr>
          <w:pgSz w:w="11900" w:h="16892" w:orient="portrait"/>
          <w:cols w:equalWidth="0" w:num="1">
            <w:col w:w="11420"/>
          </w:cols>
          <w:pgMar w:left="240" w:top="131" w:right="239" w:bottom="0" w:gutter="0" w:footer="0" w:header="0"/>
        </w:sectPr>
      </w:pPr>
    </w:p>
    <w:bookmarkStart w:id="4" w:name="page5"/>
    <w:bookmarkEnd w:id="4"/>
    <w:p>
      <w:pPr>
        <w:ind w:right="160"/>
        <w:spacing w:after="0" w:line="261" w:lineRule="auto"/>
        <w:rPr>
          <w:sz w:val="20"/>
          <w:szCs w:val="20"/>
          <w:color w:val="auto"/>
        </w:rPr>
      </w:pPr>
      <w:r>
        <w:rPr>
          <w:rFonts w:ascii="Arial" w:cs="Arial" w:eastAsia="Arial" w:hAnsi="Arial"/>
          <w:sz w:val="16"/>
          <w:szCs w:val="16"/>
          <w:i w:val="1"/>
          <w:iCs w:val="1"/>
          <w:color w:val="auto"/>
        </w:rPr>
        <w:t>New Accounting Pronouncements--</w:t>
      </w:r>
      <w:r>
        <w:rPr>
          <w:rFonts w:ascii="Arial" w:cs="Arial" w:eastAsia="Arial" w:hAnsi="Arial"/>
          <w:sz w:val="16"/>
          <w:szCs w:val="16"/>
          <w:color w:val="auto"/>
        </w:rPr>
        <w:t>In June 2001, the Financial Accounting Standards Board ("FASB") issued Statement of Financial Accounting Standard ("SFAS") No. 143,</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Asset Retirement Obligations". SFAS No. 143 addresses financial accounting and reporting for obligations associated with the retirement of tangible long-lived assets and the associated asset retirement costs. It applies to legal obligations associated with the retirement of long-lived assets that result from the acquisition, construction, development and (or) the normal operation of a long-lived asset, except for certain obligations of lessees. The Company adopted the provisions of SFAS No. 143 on August 1, 2002. The Company does not currently have any obligations falling under the scope of SFAS No. 143. Adoption of SFAS No. 143 did not have a significant impact on the Company's financial position or results of operations.</w:t>
      </w:r>
    </w:p>
    <w:p>
      <w:pPr>
        <w:spacing w:after="0" w:line="139"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In August 2001, the FASB issued SFAS No. 144, "Accounting for the Impairment or Disposal of Long-Lived Assets". SFAS No. 144 supersedes SFAS No. 121, "Accounting for the Impairment of Long-Lived Assets and for Long-Lived Assets to Be Disposed Of", but retains the requirements of SFAS No.121 to (a) recognize an impairment loss only if the carrying amount of a long-lived asset is not recoverable from its undiscounted cash flows and (b) measure an impairment loss as the difference between the carrying amount and fair value of the asset. SFAS No. 144 removes goodwill from its scope as the impairment of goodwill is addressed pursuant to SFAS No. 142. The Company adopted the provisions of SFAS No. 144 on August 1, 2002. Adoption of SFAS No. 144 did not have a significant impact on the Company's financial position or results of operations.</w:t>
      </w:r>
    </w:p>
    <w:p>
      <w:pPr>
        <w:spacing w:after="0" w:line="10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This Statement rescinds SFAS No. 4, "Reporting Gains and Losses from Extinguishment of Debt", SFAS No. 44, "Accounting for Intangible Assets of Motor Carriers" and SFAS No. 64, "Extinguishments of Debt Made to Satisfy Sinking-Fund Requirements". This statement amends SFAS No. 13, "Accounting for Leases", to eliminate an inconsistency between the required accounting for sale-leaseback transactions and the required accounting for certain lease modifications that have economic effects that are similar to sale-leaseback transactions. SFAS No. 145 is generally effective for the Company for fiscal year 2003. Adoption of SFAS No. 145 did not have a significant impact on the Company's financial position or results of operations.</w:t>
      </w:r>
    </w:p>
    <w:p>
      <w:pPr>
        <w:spacing w:after="0" w:line="139"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In May 2002, the Emerging Issues Task Force ("EITF") reached consensus on EITF Issue No. 01-14, "Income Statement Characterization of Reimbursements Received for "Out-of-Pocket" Expenses Incurred". This issue requires that reimbursements received for out-of-pocket expenses incurred should be characterized as revenue in the income statement. EITF Issue No. 01-14 should be applied in financial reporting periods beginning after December 15, 2001. The Company adopted the provisions of EITF Issue 01-14 on August 1, 2002. Adoption of EITF Issue 01-14 did not have a significant impact on the Company's financial position or results of operations.</w:t>
      </w:r>
    </w:p>
    <w:p>
      <w:pPr>
        <w:spacing w:after="0" w:line="11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July 2002, the FASB issued SFAS No. 146, "Accounting for Costs Associated with Exit or Disposal Activities". This statement requires that a liability for a cost that is associated with an exit or disposal activity be recognized when the liability is incurred. This statement nullifies the guidance of the EITF Issue No. 94-3, "Liability Recognition for Certain Employee Termination Benefits and Other Costs to Exit an Activity (including Certain Costs Incurred in Restructuring)". Under EITF No. 94-3, an entity recognized a liability for an exit cost on the date that the entity committed itself to an exit plan. SFAS No. 146 acknowledges that an entity's commitment to a plan does not, by itself, create a present obligation to other parties that meets the definition of a liability. SFAS No. 146 also establishes that fair value is the objective for the initial measurement of the liability. SFAS No. 146 will be effective for exit or disposal activities that are initiated after December 31, 2002. The Company has not entered into any exit or disposal activities within the scope of SFAS No. 146 subsequent to December 31, 2002.</w:t>
      </w:r>
    </w:p>
    <w:p>
      <w:pPr>
        <w:spacing w:after="0" w:line="141"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In November 2002, the FASB issued FASB Interpretation ("FIN") No. 45, "Guarantor's Accounting and Disclosure Requirements for Guarantees, Including Indirect Guarantees of Indebtedness of Others", and interpretation of FASB Statements No. 5, 57 and 107 and recission of FASB Interpretation No. 34. This interpretation elaborates on the disclosures to be made by a guarantor in its interim and annual financial statements about its obligations under certain guarantees that it has issued. It also clarifies that a guarantor is required to recognize, at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The disclosure requirements in the interpretation are effective for financial statements of interim or annual periods ending after December 15, 2002. The Company adopted the provi sions of FIN No. 45 as of January 1, 2003; initial adoption did not have a significant impact on the Company's financial position or results of operations (see Note 7, Commitments and Contingencies, of the Notes to the Consolidated Condensed Financial Statements).</w:t>
      </w:r>
    </w:p>
    <w:p>
      <w:pPr>
        <w:spacing w:after="0" w:line="129"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In December 2002, the FASB issued SFAS No. 148, "Accounting for Stock-Based Compensation - Transition and Disclosure - an Amendment of FASB Statement No. 123". SFAS No. 148 amends SFAS No. 123, "Accounting for Stock-Based Compensation", by providing alternative methods of transition for an entity that voluntarily changes to the fair value based method of accounting for stock-based employee compensation. It also amends the disclosure provisions of that statement to require prominent disclosure about the effects on reported net income of an entity's accounting policy decisions with respect to stock-based employee compensation. Finally, this Statement amends APB Opinion No. 28, "Interim Financial Reporting", to require disclosure about those effects in interim financial information. SFAS No. 148 is effective for fiscal years ending after December 15, 2002 for transition guidance and annual disclosure provisions; interim disclosure provisions are effective for interim periods beginning after December 15, 2002 . The Company does not anticipate the adoption of SFAS No. 148 will have a significant impact on its financial position or results of operations.</w:t>
      </w:r>
    </w:p>
    <w:p>
      <w:pPr>
        <w:spacing w:after="0" w:line="11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January 2003, the FASB issued FIN No. 46, "Consolidation of Variable Interest Entities, an interpretation of ARB 51". This interpretation addresses consolidation by business enterprises of variable interest entities ("VIEs"). This new model for consolidation applies to an entity in which either (1) the equity investors (if any) do not have a controlling financial interest or (2) the equity investment at risk is insufficient to finance that entity's activities without receiving additional subordinated financial support from other parties. The interpretation applies immediately to VIEs created after January 31, 2003 and to VIEs in which the Company obtains an interest after that date. The interpretation applies in the first fiscal year or interim period beginning after June 15, 2003 to VIEs in which the Company holds a variable interest acquired before February 1, 2003. The Company is currently evaluating the impact that the implementation of this interpretation will have on its financial statements (see Note 11, Variable Interest Entities, of the Notes to the Consolidated Condensed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Net Income (Loss) Per Common Share</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Below is a reconciliation of the numerators (net income) and denominators (weighted-average shares outstanding) used in the calculation of both basic and diluted earnings per share ("EPS"). Basic EPS excludes dilution and is computed by dividing net income (loss) available to common shareholders by the weighted-average shares outstanding. Diluted EPS reflects the potential dilution that could occur if securities or other contracts to issue common stock were exercised, resulting in the issuance of common shares that would then share in the earnings of the Company.</w:t>
      </w:r>
    </w:p>
    <w:p>
      <w:pPr>
        <w:spacing w:after="0" w:line="179" w:lineRule="exact"/>
        <w:rPr>
          <w:sz w:val="20"/>
          <w:szCs w:val="20"/>
          <w:color w:val="auto"/>
        </w:rPr>
      </w:pPr>
    </w:p>
    <w:tbl>
      <w:tblPr>
        <w:tblLayout w:type="fixed"/>
        <w:tblInd w:w="2500" w:type="dxa"/>
        <w:tblCellMar>
          <w:top w:w="0" w:type="dxa"/>
          <w:left w:w="0" w:type="dxa"/>
          <w:bottom w:w="0" w:type="dxa"/>
          <w:right w:w="0" w:type="dxa"/>
        </w:tblCellMar>
      </w:tblPr>
      <w:tr>
        <w:trPr>
          <w:trHeight w:val="208"/>
        </w:trPr>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gridSpan w:val="11"/>
          </w:tcPr>
          <w:p>
            <w:pPr>
              <w:jc w:val="center"/>
              <w:ind w:right="80"/>
              <w:spacing w:after="0"/>
              <w:rPr>
                <w:sz w:val="20"/>
                <w:szCs w:val="20"/>
                <w:color w:val="auto"/>
              </w:rPr>
            </w:pPr>
            <w:r>
              <w:rPr>
                <w:rFonts w:ascii="Arial" w:cs="Arial" w:eastAsia="Arial" w:hAnsi="Arial"/>
                <w:sz w:val="16"/>
                <w:szCs w:val="16"/>
                <w:b w:val="1"/>
                <w:bCs w:val="1"/>
                <w:color w:val="auto"/>
                <w:w w:val="87"/>
              </w:rPr>
              <w:t>For the three months ended</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2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10"/>
          </w:tcPr>
          <w:p>
            <w:pPr>
              <w:jc w:val="center"/>
              <w:ind w:right="220"/>
              <w:spacing w:after="0"/>
              <w:rPr>
                <w:sz w:val="20"/>
                <w:szCs w:val="20"/>
                <w:color w:val="auto"/>
              </w:rPr>
            </w:pPr>
            <w:r>
              <w:rPr>
                <w:rFonts w:ascii="Arial" w:cs="Arial" w:eastAsia="Arial" w:hAnsi="Arial"/>
                <w:sz w:val="16"/>
                <w:szCs w:val="16"/>
                <w:b w:val="1"/>
                <w:bCs w:val="1"/>
                <w:color w:val="auto"/>
                <w:w w:val="90"/>
              </w:rPr>
              <w:t>January 31,</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2003</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2002</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2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7"/>
          </w:tcPr>
          <w:p>
            <w:pPr>
              <w:jc w:val="right"/>
              <w:ind w:right="560"/>
              <w:spacing w:after="0"/>
              <w:rPr>
                <w:sz w:val="20"/>
                <w:szCs w:val="20"/>
                <w:color w:val="auto"/>
              </w:rPr>
            </w:pPr>
            <w:r>
              <w:rPr>
                <w:rFonts w:ascii="Arial" w:cs="Arial" w:eastAsia="Arial" w:hAnsi="Arial"/>
                <w:sz w:val="16"/>
                <w:szCs w:val="16"/>
                <w:color w:val="auto"/>
              </w:rPr>
              <w:t>(as restated)</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20" w:type="dxa"/>
            <w:vAlign w:val="bottom"/>
            <w:gridSpan w:val="18"/>
          </w:tcPr>
          <w:p>
            <w:pPr>
              <w:jc w:val="center"/>
              <w:ind w:right="300"/>
              <w:spacing w:after="0"/>
              <w:rPr>
                <w:sz w:val="20"/>
                <w:szCs w:val="20"/>
                <w:color w:val="auto"/>
              </w:rPr>
            </w:pPr>
            <w:r>
              <w:rPr>
                <w:rFonts w:ascii="Arial" w:cs="Arial" w:eastAsia="Arial" w:hAnsi="Arial"/>
                <w:sz w:val="16"/>
                <w:szCs w:val="16"/>
                <w:color w:val="auto"/>
                <w:w w:val="88"/>
              </w:rPr>
              <w:t>(In thousands, except per share amounts)</w:t>
            </w:r>
          </w:p>
        </w:tc>
        <w:tc>
          <w:tcPr>
            <w:tcW w:w="0" w:type="dxa"/>
            <w:vAlign w:val="bottom"/>
          </w:tcPr>
          <w:p>
            <w:pPr>
              <w:spacing w:after="0"/>
              <w:rPr>
                <w:sz w:val="1"/>
                <w:szCs w:val="1"/>
                <w:color w:val="auto"/>
              </w:rPr>
            </w:pPr>
          </w:p>
        </w:tc>
      </w:tr>
      <w:tr>
        <w:trPr>
          <w:trHeight w:val="235"/>
        </w:trPr>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Basic</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6"/>
                <w:szCs w:val="16"/>
                <w:b w:val="1"/>
                <w:bCs w:val="1"/>
                <w:color w:val="auto"/>
                <w:w w:val="95"/>
              </w:rPr>
              <w:t>Diluted</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4"/>
          </w:tcPr>
          <w:p>
            <w:pPr>
              <w:ind w:left="120"/>
              <w:spacing w:after="0"/>
              <w:rPr>
                <w:sz w:val="20"/>
                <w:szCs w:val="20"/>
                <w:color w:val="auto"/>
              </w:rPr>
            </w:pPr>
            <w:r>
              <w:rPr>
                <w:rFonts w:ascii="Arial" w:cs="Arial" w:eastAsia="Arial" w:hAnsi="Arial"/>
                <w:sz w:val="16"/>
                <w:szCs w:val="16"/>
                <w:b w:val="1"/>
                <w:bCs w:val="1"/>
                <w:color w:val="auto"/>
              </w:rPr>
              <w:t>Basic</w:t>
            </w:r>
          </w:p>
        </w:tc>
        <w:tc>
          <w:tcPr>
            <w:tcW w:w="140" w:type="dxa"/>
            <w:vAlign w:val="bottom"/>
          </w:tcPr>
          <w:p>
            <w:pPr>
              <w:spacing w:after="0"/>
              <w:rPr>
                <w:sz w:val="20"/>
                <w:szCs w:val="20"/>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5"/>
              </w:rPr>
              <w:t>Diluted</w:t>
            </w: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r>
              <w:rPr>
                <w:rFonts w:ascii="Arial" w:cs="Arial" w:eastAsia="Arial" w:hAnsi="Arial"/>
                <w:sz w:val="16"/>
                <w:szCs w:val="16"/>
                <w:b w:val="1"/>
                <w:bCs w:val="1"/>
                <w:color w:val="auto"/>
              </w:rPr>
              <w:t>Net income per common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640" w:type="dxa"/>
            <w:vAlign w:val="bottom"/>
          </w:tcPr>
          <w:p>
            <w:pPr>
              <w:spacing w:after="0"/>
              <w:rPr>
                <w:sz w:val="20"/>
                <w:szCs w:val="20"/>
                <w:color w:val="auto"/>
              </w:rPr>
            </w:pPr>
            <w:r>
              <w:rPr>
                <w:rFonts w:ascii="Arial" w:cs="Arial" w:eastAsia="Arial" w:hAnsi="Arial"/>
                <w:sz w:val="16"/>
                <w:szCs w:val="16"/>
                <w:color w:val="auto"/>
              </w:rPr>
              <w:t>Net income</w:t>
            </w: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16,812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16,812</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21,727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21,727</w:t>
            </w:r>
          </w:p>
        </w:tc>
        <w:tc>
          <w:tcPr>
            <w:tcW w:w="0" w:type="dxa"/>
            <w:vAlign w:val="bottom"/>
          </w:tcPr>
          <w:p>
            <w:pPr>
              <w:spacing w:after="0"/>
              <w:rPr>
                <w:sz w:val="1"/>
                <w:szCs w:val="1"/>
                <w:color w:val="auto"/>
              </w:rPr>
            </w:pPr>
          </w:p>
        </w:tc>
      </w:tr>
      <w:tr>
        <w:trPr>
          <w:trHeight w:val="492"/>
        </w:trPr>
        <w:tc>
          <w:tcPr>
            <w:tcW w:w="2640" w:type="dxa"/>
            <w:vAlign w:val="bottom"/>
          </w:tcPr>
          <w:p>
            <w:pPr>
              <w:spacing w:after="0"/>
              <w:rPr>
                <w:sz w:val="20"/>
                <w:szCs w:val="20"/>
                <w:color w:val="auto"/>
              </w:rPr>
            </w:pPr>
            <w:r>
              <w:rPr>
                <w:rFonts w:ascii="Arial" w:cs="Arial" w:eastAsia="Arial" w:hAnsi="Arial"/>
                <w:sz w:val="16"/>
                <w:szCs w:val="16"/>
                <w:color w:val="auto"/>
                <w:w w:val="96"/>
              </w:rPr>
              <w:t>Weighted-average shares outstanding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35,187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35,187</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35,125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35,125</w:t>
            </w:r>
          </w:p>
        </w:tc>
        <w:tc>
          <w:tcPr>
            <w:tcW w:w="0" w:type="dxa"/>
            <w:vAlign w:val="bottom"/>
          </w:tcPr>
          <w:p>
            <w:pPr>
              <w:spacing w:after="0"/>
              <w:rPr>
                <w:sz w:val="1"/>
                <w:szCs w:val="1"/>
                <w:color w:val="auto"/>
              </w:rPr>
            </w:pPr>
          </w:p>
        </w:tc>
      </w:tr>
      <w:tr>
        <w:trPr>
          <w:trHeight w:val="210"/>
        </w:trPr>
        <w:tc>
          <w:tcPr>
            <w:tcW w:w="264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color w:val="auto"/>
              </w:rPr>
              <w:t>Total shares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6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35,187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35,227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35,125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35,167</w:t>
            </w:r>
          </w:p>
        </w:tc>
        <w:tc>
          <w:tcPr>
            <w:tcW w:w="0" w:type="dxa"/>
            <w:vAlign w:val="bottom"/>
          </w:tcPr>
          <w:p>
            <w:pPr>
              <w:spacing w:after="0"/>
              <w:rPr>
                <w:sz w:val="1"/>
                <w:szCs w:val="1"/>
                <w:color w:val="auto"/>
              </w:rPr>
            </w:pPr>
          </w:p>
        </w:tc>
      </w:tr>
      <w:tr>
        <w:trPr>
          <w:trHeight w:val="20"/>
        </w:trPr>
        <w:tc>
          <w:tcPr>
            <w:tcW w:w="2640" w:type="dxa"/>
            <w:vAlign w:val="bottom"/>
            <w:vMerge w:val="restart"/>
          </w:tcPr>
          <w:p>
            <w:pPr>
              <w:spacing w:after="0"/>
              <w:rPr>
                <w:sz w:val="20"/>
                <w:szCs w:val="20"/>
                <w:color w:val="auto"/>
              </w:rPr>
            </w:pPr>
            <w:r>
              <w:rPr>
                <w:rFonts w:ascii="Arial" w:cs="Arial" w:eastAsia="Arial" w:hAnsi="Arial"/>
                <w:sz w:val="16"/>
                <w:szCs w:val="16"/>
                <w:color w:val="auto"/>
              </w:rPr>
              <w:t>Net income per common share</w:t>
            </w:r>
          </w:p>
        </w:tc>
        <w:tc>
          <w:tcPr>
            <w:tcW w:w="120" w:type="dxa"/>
            <w:vAlign w:val="bottom"/>
            <w:gridSpan w:val="2"/>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2640" w:type="dxa"/>
            <w:vAlign w:val="bottom"/>
            <w:vMerge w:val="continue"/>
          </w:tcPr>
          <w:p>
            <w:pPr>
              <w:spacing w:after="0"/>
              <w:rPr>
                <w:sz w:val="24"/>
                <w:szCs w:val="2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0.48</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4"/>
          </w:tcPr>
          <w:p>
            <w:pPr>
              <w:jc w:val="right"/>
              <w:ind w:right="60"/>
              <w:spacing w:after="0"/>
              <w:rPr>
                <w:sz w:val="20"/>
                <w:szCs w:val="20"/>
                <w:color w:val="auto"/>
              </w:rPr>
            </w:pPr>
            <w:r>
              <w:rPr>
                <w:rFonts w:ascii="Arial" w:cs="Arial" w:eastAsia="Arial" w:hAnsi="Arial"/>
                <w:sz w:val="16"/>
                <w:szCs w:val="16"/>
                <w:color w:val="auto"/>
              </w:rPr>
              <w:t>0.48</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131" w:right="219" w:bottom="155" w:gutter="0" w:footer="0" w:header="0"/>
        </w:sectPr>
      </w:pPr>
    </w:p>
    <w:bookmarkStart w:id="5" w:name="page6"/>
    <w:bookmarkEnd w:id="5"/>
    <w:p>
      <w:pPr>
        <w:spacing w:after="0" w:line="4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number of shares issuable upon the exercise of common stock options that were excluded from the calculation of diluted net loss per share because the effect of their inclusion would have been anti-dilutive totaled 2.3 million and 2.1 million for the three months ended January 31, 2003 and 2002, respectively. The shares were anti-dilutive because their exercise price was greater than the average share price during the respective periods.</w:t>
      </w:r>
    </w:p>
    <w:p>
      <w:pPr>
        <w:spacing w:after="0" w:line="176" w:lineRule="exact"/>
        <w:rPr>
          <w:sz w:val="20"/>
          <w:szCs w:val="20"/>
          <w:color w:val="auto"/>
        </w:rPr>
      </w:pPr>
    </w:p>
    <w:p>
      <w:pPr>
        <w:jc w:val="center"/>
        <w:ind w:left="2640"/>
        <w:spacing w:after="0"/>
        <w:rPr>
          <w:sz w:val="20"/>
          <w:szCs w:val="20"/>
          <w:color w:val="auto"/>
        </w:rPr>
      </w:pPr>
      <w:r>
        <w:rPr>
          <w:rFonts w:ascii="Arial" w:cs="Arial" w:eastAsia="Arial" w:hAnsi="Arial"/>
          <w:sz w:val="16"/>
          <w:szCs w:val="16"/>
          <w:b w:val="1"/>
          <w:bCs w:val="1"/>
          <w:color w:val="auto"/>
        </w:rPr>
        <w:t>For the six months ended</w:t>
      </w:r>
    </w:p>
    <w:p>
      <w:pPr>
        <w:spacing w:after="0" w:line="209" w:lineRule="exact"/>
        <w:rPr>
          <w:sz w:val="20"/>
          <w:szCs w:val="20"/>
          <w:color w:val="auto"/>
        </w:rPr>
      </w:pPr>
    </w:p>
    <w:p>
      <w:pPr>
        <w:jc w:val="center"/>
        <w:ind w:left="2640"/>
        <w:spacing w:after="0"/>
        <w:rPr>
          <w:sz w:val="20"/>
          <w:szCs w:val="20"/>
          <w:color w:val="auto"/>
        </w:rPr>
      </w:pPr>
      <w:r>
        <w:rPr>
          <w:rFonts w:ascii="Arial" w:cs="Arial" w:eastAsia="Arial" w:hAnsi="Arial"/>
          <w:sz w:val="16"/>
          <w:szCs w:val="16"/>
          <w:b w:val="1"/>
          <w:bCs w:val="1"/>
          <w:color w:val="auto"/>
        </w:rPr>
        <w:t>January 31,</w:t>
      </w:r>
    </w:p>
    <w:p>
      <w:pPr>
        <w:spacing w:after="0" w:line="37" w:lineRule="exact"/>
        <w:rPr>
          <w:sz w:val="20"/>
          <w:szCs w:val="20"/>
          <w:color w:val="auto"/>
        </w:rPr>
      </w:pPr>
    </w:p>
    <w:p>
      <w:pPr>
        <w:ind w:left="5900"/>
        <w:spacing w:after="0"/>
        <w:tabs>
          <w:tab w:leader="none" w:pos="7820" w:val="left"/>
        </w:tabs>
        <w:rPr>
          <w:sz w:val="20"/>
          <w:szCs w:val="20"/>
          <w:color w:val="auto"/>
        </w:rPr>
      </w:pPr>
      <w:r>
        <w:rPr>
          <w:rFonts w:ascii="Arial" w:cs="Arial" w:eastAsia="Arial" w:hAnsi="Arial"/>
          <w:sz w:val="16"/>
          <w:szCs w:val="16"/>
          <w:b w:val="1"/>
          <w:bCs w:val="1"/>
          <w:color w:val="auto"/>
        </w:rPr>
        <w:t>2003</w:t>
      </w:r>
      <w:r>
        <w:rPr>
          <w:sz w:val="20"/>
          <w:szCs w:val="20"/>
          <w:color w:val="auto"/>
        </w:rPr>
        <w:tab/>
      </w:r>
      <w:r>
        <w:rPr>
          <w:rFonts w:ascii="Arial" w:cs="Arial" w:eastAsia="Arial" w:hAnsi="Arial"/>
          <w:sz w:val="16"/>
          <w:szCs w:val="16"/>
          <w:b w:val="1"/>
          <w:bCs w:val="1"/>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3437255</wp:posOffset>
            </wp:positionH>
            <wp:positionV relativeFrom="paragraph">
              <wp:posOffset>-6350</wp:posOffset>
            </wp:positionV>
            <wp:extent cx="20529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2955" cy="7620"/>
                    </a:xfrm>
                    <a:prstGeom prst="rect">
                      <a:avLst/>
                    </a:prstGeom>
                    <a:noFill/>
                  </pic:spPr>
                </pic:pic>
              </a:graphicData>
            </a:graphic>
          </wp:anchor>
        </w:drawing>
      </w:r>
    </w:p>
    <w:p>
      <w:pPr>
        <w:spacing w:after="0" w:line="46" w:lineRule="exact"/>
        <w:rPr>
          <w:sz w:val="20"/>
          <w:szCs w:val="20"/>
          <w:color w:val="auto"/>
        </w:rPr>
      </w:pPr>
    </w:p>
    <w:p>
      <w:pPr>
        <w:ind w:left="7620"/>
        <w:spacing w:after="0"/>
        <w:rPr>
          <w:sz w:val="20"/>
          <w:szCs w:val="20"/>
          <w:color w:val="auto"/>
        </w:rPr>
      </w:pPr>
      <w:r>
        <w:rPr>
          <w:rFonts w:ascii="Arial" w:cs="Arial" w:eastAsia="Arial" w:hAnsi="Arial"/>
          <w:sz w:val="16"/>
          <w:szCs w:val="16"/>
          <w:color w:val="auto"/>
        </w:rPr>
        <w:t>(as restated)</w:t>
      </w:r>
    </w:p>
    <w:p>
      <w:pPr>
        <w:spacing w:after="0" w:line="6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(In thousands, except per share amounts)</w:t>
      </w:r>
    </w:p>
    <w:p>
      <w:pPr>
        <w:spacing w:after="0" w:line="82" w:lineRule="exact"/>
        <w:rPr>
          <w:sz w:val="20"/>
          <w:szCs w:val="20"/>
          <w:color w:val="auto"/>
        </w:rPr>
      </w:pPr>
    </w:p>
    <w:p>
      <w:pPr>
        <w:ind w:left="5380"/>
        <w:spacing w:after="0"/>
        <w:tabs>
          <w:tab w:leader="none" w:pos="6260" w:val="left"/>
          <w:tab w:leader="none" w:pos="7320" w:val="left"/>
          <w:tab w:leader="none" w:pos="8220" w:val="left"/>
        </w:tabs>
        <w:rPr>
          <w:sz w:val="20"/>
          <w:szCs w:val="20"/>
          <w:color w:val="auto"/>
        </w:rPr>
      </w:pPr>
      <w:r>
        <w:rPr>
          <w:rFonts w:ascii="Arial" w:cs="Arial" w:eastAsia="Arial" w:hAnsi="Arial"/>
          <w:sz w:val="16"/>
          <w:szCs w:val="16"/>
          <w:b w:val="1"/>
          <w:bCs w:val="1"/>
          <w:color w:val="auto"/>
        </w:rPr>
        <w:t>Basic</w:t>
      </w:r>
      <w:r>
        <w:rPr>
          <w:sz w:val="20"/>
          <w:szCs w:val="20"/>
          <w:color w:val="auto"/>
        </w:rPr>
        <w:tab/>
      </w:r>
      <w:r>
        <w:rPr>
          <w:rFonts w:ascii="Arial" w:cs="Arial" w:eastAsia="Arial" w:hAnsi="Arial"/>
          <w:sz w:val="16"/>
          <w:szCs w:val="16"/>
          <w:b w:val="1"/>
          <w:bCs w:val="1"/>
          <w:u w:val="single" w:color="auto"/>
          <w:color w:val="auto"/>
        </w:rPr>
        <w:t>Diluted</w:t>
      </w:r>
      <w:r>
        <w:rPr>
          <w:sz w:val="20"/>
          <w:szCs w:val="20"/>
          <w:color w:val="auto"/>
        </w:rPr>
        <w:tab/>
      </w:r>
      <w:r>
        <w:rPr>
          <w:rFonts w:ascii="Arial" w:cs="Arial" w:eastAsia="Arial" w:hAnsi="Arial"/>
          <w:sz w:val="16"/>
          <w:szCs w:val="16"/>
          <w:b w:val="1"/>
          <w:bCs w:val="1"/>
          <w:color w:val="auto"/>
        </w:rPr>
        <w:t>Basic</w:t>
      </w:r>
      <w:r>
        <w:rPr>
          <w:sz w:val="20"/>
          <w:szCs w:val="20"/>
          <w:color w:val="auto"/>
        </w:rPr>
        <w:tab/>
      </w:r>
      <w:r>
        <w:rPr>
          <w:rFonts w:ascii="Arial" w:cs="Arial" w:eastAsia="Arial" w:hAnsi="Arial"/>
          <w:sz w:val="14"/>
          <w:szCs w:val="14"/>
          <w:b w:val="1"/>
          <w:bCs w:val="1"/>
          <w:u w:val="single" w:color="auto"/>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-6350</wp:posOffset>
            </wp:positionV>
            <wp:extent cx="3835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3540" cy="7620"/>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-6350</wp:posOffset>
            </wp:positionV>
            <wp:extent cx="3835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3540" cy="7620"/>
                    </a:xfrm>
                    <a:prstGeom prst="rect">
                      <a:avLst/>
                    </a:prstGeom>
                    <a:noFill/>
                  </pic:spPr>
                </pic:pic>
              </a:graphicData>
            </a:graphic>
          </wp:anchor>
        </w:drawing>
      </w:r>
    </w:p>
    <w:p>
      <w:pPr>
        <w:spacing w:after="0" w:line="17" w:lineRule="exact"/>
        <w:rPr>
          <w:sz w:val="20"/>
          <w:szCs w:val="20"/>
          <w:color w:val="auto"/>
        </w:rPr>
      </w:pPr>
    </w:p>
    <w:p>
      <w:pPr>
        <w:ind w:left="2500"/>
        <w:spacing w:after="0"/>
        <w:rPr>
          <w:sz w:val="20"/>
          <w:szCs w:val="20"/>
          <w:color w:val="auto"/>
        </w:rPr>
      </w:pPr>
      <w:r>
        <w:rPr>
          <w:rFonts w:ascii="Arial" w:cs="Arial" w:eastAsia="Arial" w:hAnsi="Arial"/>
          <w:sz w:val="16"/>
          <w:szCs w:val="16"/>
          <w:b w:val="1"/>
          <w:bCs w:val="1"/>
          <w:color w:val="auto"/>
        </w:rPr>
        <w:t>Net loss per common share:</w:t>
      </w:r>
    </w:p>
    <w:p>
      <w:pPr>
        <w:sectPr>
          <w:pgSz w:w="11900" w:h="16887" w:orient="portrait"/>
          <w:cols w:equalWidth="0" w:num="1">
            <w:col w:w="11060"/>
          </w:cols>
          <w:pgMar w:left="240" w:top="131" w:right="599" w:bottom="0" w:gutter="0" w:footer="0" w:header="0"/>
        </w:sectPr>
      </w:pPr>
    </w:p>
    <w:p>
      <w:pPr>
        <w:spacing w:after="0" w:line="66" w:lineRule="exact"/>
        <w:rPr>
          <w:sz w:val="20"/>
          <w:szCs w:val="20"/>
          <w:color w:val="auto"/>
        </w:rPr>
      </w:pPr>
    </w:p>
    <w:tbl>
      <w:tblPr>
        <w:tblLayout w:type="fixed"/>
        <w:tblInd w:w="2500" w:type="dxa"/>
        <w:tblCellMar>
          <w:top w:w="0" w:type="dxa"/>
          <w:left w:w="0" w:type="dxa"/>
          <w:bottom w:w="0" w:type="dxa"/>
          <w:right w:w="0" w:type="dxa"/>
        </w:tblCellMar>
      </w:tblPr>
      <w:tr>
        <w:trPr>
          <w:trHeight w:val="197"/>
        </w:trPr>
        <w:tc>
          <w:tcPr>
            <w:tcW w:w="2600" w:type="dxa"/>
            <w:vAlign w:val="bottom"/>
          </w:tcPr>
          <w:p>
            <w:pPr>
              <w:spacing w:after="0"/>
              <w:rPr>
                <w:sz w:val="20"/>
                <w:szCs w:val="20"/>
                <w:color w:val="auto"/>
              </w:rPr>
            </w:pPr>
            <w:r>
              <w:rPr>
                <w:rFonts w:ascii="Arial" w:cs="Arial" w:eastAsia="Arial" w:hAnsi="Arial"/>
                <w:sz w:val="16"/>
                <w:szCs w:val="16"/>
                <w:color w:val="auto"/>
                <w:w w:val="91"/>
              </w:rPr>
              <w:t>Loss before cumulative effect of change</w:t>
            </w:r>
          </w:p>
        </w:tc>
        <w:tc>
          <w:tcPr>
            <w:tcW w:w="120" w:type="dxa"/>
            <w:vAlign w:val="bottom"/>
          </w:tcPr>
          <w:p>
            <w:pPr>
              <w:spacing w:after="0"/>
              <w:rPr>
                <w:sz w:val="17"/>
                <w:szCs w:val="17"/>
                <w:color w:val="auto"/>
              </w:rPr>
            </w:pPr>
          </w:p>
        </w:tc>
      </w:tr>
      <w:tr>
        <w:trPr>
          <w:trHeight w:val="204"/>
        </w:trPr>
        <w:tc>
          <w:tcPr>
            <w:tcW w:w="2600" w:type="dxa"/>
            <w:vAlign w:val="bottom"/>
          </w:tcPr>
          <w:p>
            <w:pPr>
              <w:spacing w:after="0"/>
              <w:rPr>
                <w:sz w:val="20"/>
                <w:szCs w:val="20"/>
                <w:color w:val="auto"/>
              </w:rPr>
            </w:pPr>
            <w:r>
              <w:rPr>
                <w:rFonts w:ascii="Arial" w:cs="Arial" w:eastAsia="Arial" w:hAnsi="Arial"/>
                <w:sz w:val="16"/>
                <w:szCs w:val="16"/>
                <w:color w:val="auto"/>
              </w:rPr>
              <w:t>in accounting principle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2600" w:type="dxa"/>
            <w:vAlign w:val="bottom"/>
          </w:tcPr>
          <w:p>
            <w:pPr>
              <w:ind w:left="60"/>
              <w:spacing w:after="0"/>
              <w:rPr>
                <w:sz w:val="20"/>
                <w:szCs w:val="20"/>
                <w:color w:val="auto"/>
              </w:rPr>
            </w:pPr>
            <w:r>
              <w:rPr>
                <w:rFonts w:ascii="Arial" w:cs="Arial" w:eastAsia="Arial" w:hAnsi="Arial"/>
                <w:sz w:val="16"/>
                <w:szCs w:val="16"/>
                <w:color w:val="auto"/>
              </w:rPr>
              <w:t>Cumulative effect of change in</w:t>
            </w:r>
          </w:p>
        </w:tc>
        <w:tc>
          <w:tcPr>
            <w:tcW w:w="120" w:type="dxa"/>
            <w:vAlign w:val="bottom"/>
          </w:tcPr>
          <w:p>
            <w:pPr>
              <w:spacing w:after="0"/>
              <w:rPr>
                <w:sz w:val="18"/>
                <w:szCs w:val="18"/>
                <w:color w:val="auto"/>
              </w:rPr>
            </w:pPr>
          </w:p>
        </w:tc>
      </w:tr>
      <w:tr>
        <w:trPr>
          <w:trHeight w:val="197"/>
        </w:trPr>
        <w:tc>
          <w:tcPr>
            <w:tcW w:w="2600" w:type="dxa"/>
            <w:vAlign w:val="bottom"/>
          </w:tcPr>
          <w:p>
            <w:pPr>
              <w:ind w:left="60"/>
              <w:spacing w:after="0"/>
              <w:rPr>
                <w:sz w:val="20"/>
                <w:szCs w:val="20"/>
                <w:color w:val="auto"/>
              </w:rPr>
            </w:pPr>
            <w:r>
              <w:rPr>
                <w:rFonts w:ascii="Arial" w:cs="Arial" w:eastAsia="Arial" w:hAnsi="Arial"/>
                <w:sz w:val="16"/>
                <w:szCs w:val="16"/>
                <w:color w:val="auto"/>
              </w:rPr>
              <w:t>accounting principle, net of income</w:t>
            </w:r>
          </w:p>
        </w:tc>
        <w:tc>
          <w:tcPr>
            <w:tcW w:w="120" w:type="dxa"/>
            <w:vAlign w:val="bottom"/>
          </w:tcPr>
          <w:p>
            <w:pPr>
              <w:spacing w:after="0"/>
              <w:rPr>
                <w:sz w:val="17"/>
                <w:szCs w:val="17"/>
                <w:color w:val="auto"/>
              </w:rPr>
            </w:pPr>
          </w:p>
        </w:tc>
      </w:tr>
      <w:tr>
        <w:trPr>
          <w:trHeight w:val="204"/>
        </w:trPr>
        <w:tc>
          <w:tcPr>
            <w:tcW w:w="2600" w:type="dxa"/>
            <w:vAlign w:val="bottom"/>
          </w:tcPr>
          <w:p>
            <w:pPr>
              <w:ind w:left="60"/>
              <w:spacing w:after="0"/>
              <w:rPr>
                <w:sz w:val="20"/>
                <w:szCs w:val="20"/>
                <w:color w:val="auto"/>
              </w:rPr>
            </w:pPr>
            <w:r>
              <w:rPr>
                <w:rFonts w:ascii="Arial" w:cs="Arial" w:eastAsia="Arial" w:hAnsi="Arial"/>
                <w:sz w:val="16"/>
                <w:szCs w:val="16"/>
                <w:color w:val="auto"/>
              </w:rPr>
              <w:t>taxes</w:t>
            </w:r>
          </w:p>
        </w:tc>
        <w:tc>
          <w:tcPr>
            <w:tcW w:w="120" w:type="dxa"/>
            <w:vAlign w:val="bottom"/>
          </w:tcPr>
          <w:p>
            <w:pPr>
              <w:spacing w:after="0"/>
              <w:rPr>
                <w:sz w:val="17"/>
                <w:szCs w:val="17"/>
                <w:color w:val="auto"/>
              </w:rPr>
            </w:pPr>
          </w:p>
        </w:tc>
      </w:tr>
      <w:tr>
        <w:trPr>
          <w:trHeight w:val="246"/>
        </w:trPr>
        <w:tc>
          <w:tcPr>
            <w:tcW w:w="260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67"/>
        </w:trPr>
        <w:tc>
          <w:tcPr>
            <w:tcW w:w="2600" w:type="dxa"/>
            <w:vAlign w:val="bottom"/>
          </w:tcPr>
          <w:p>
            <w:pPr>
              <w:spacing w:after="0"/>
              <w:rPr>
                <w:sz w:val="20"/>
                <w:szCs w:val="20"/>
                <w:color w:val="auto"/>
              </w:rPr>
            </w:pPr>
            <w:r>
              <w:rPr>
                <w:rFonts w:ascii="Arial" w:cs="Arial" w:eastAsia="Arial" w:hAnsi="Arial"/>
                <w:sz w:val="16"/>
                <w:szCs w:val="16"/>
                <w:color w:val="auto"/>
                <w:w w:val="95"/>
              </w:rPr>
              <w:t>Weighted-average shares outstanding</w:t>
            </w:r>
          </w:p>
        </w:tc>
        <w:tc>
          <w:tcPr>
            <w:tcW w:w="120" w:type="dxa"/>
            <w:vAlign w:val="bottom"/>
          </w:tcPr>
          <w:p>
            <w:pPr>
              <w:spacing w:after="0"/>
              <w:rPr>
                <w:sz w:val="24"/>
                <w:szCs w:val="24"/>
                <w:color w:val="auto"/>
              </w:rPr>
            </w:pPr>
          </w:p>
        </w:tc>
      </w:tr>
      <w:tr>
        <w:trPr>
          <w:trHeight w:val="246"/>
        </w:trPr>
        <w:tc>
          <w:tcPr>
            <w:tcW w:w="260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120" w:type="dxa"/>
            <w:vAlign w:val="bottom"/>
          </w:tcPr>
          <w:p>
            <w:pPr>
              <w:spacing w:after="0"/>
              <w:rPr>
                <w:sz w:val="21"/>
                <w:szCs w:val="21"/>
                <w:color w:val="auto"/>
              </w:rPr>
            </w:pPr>
          </w:p>
        </w:tc>
      </w:tr>
      <w:tr>
        <w:trPr>
          <w:trHeight w:val="246"/>
        </w:trPr>
        <w:tc>
          <w:tcPr>
            <w:tcW w:w="2600" w:type="dxa"/>
            <w:vAlign w:val="bottom"/>
          </w:tcPr>
          <w:p>
            <w:pPr>
              <w:spacing w:after="0"/>
              <w:rPr>
                <w:sz w:val="20"/>
                <w:szCs w:val="20"/>
                <w:color w:val="auto"/>
              </w:rPr>
            </w:pPr>
            <w:r>
              <w:rPr>
                <w:rFonts w:ascii="Arial" w:cs="Arial" w:eastAsia="Arial" w:hAnsi="Arial"/>
                <w:sz w:val="16"/>
                <w:szCs w:val="16"/>
                <w:color w:val="auto"/>
              </w:rPr>
              <w:t>Total shares</w:t>
            </w:r>
          </w:p>
        </w:tc>
        <w:tc>
          <w:tcPr>
            <w:tcW w:w="1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0" w:type="dxa"/>
            <w:vAlign w:val="bottom"/>
          </w:tcPr>
          <w:p>
            <w:pPr>
              <w:jc w:val="right"/>
              <w:ind w:right="20"/>
              <w:spacing w:after="0"/>
              <w:rPr>
                <w:sz w:val="20"/>
                <w:szCs w:val="20"/>
                <w:color w:val="auto"/>
              </w:rPr>
            </w:pPr>
            <w:r>
              <w:rPr>
                <w:rFonts w:ascii="Arial" w:cs="Arial" w:eastAsia="Arial" w:hAnsi="Arial"/>
                <w:sz w:val="16"/>
                <w:szCs w:val="16"/>
                <w:color w:val="auto"/>
                <w:w w:val="86"/>
              </w:rPr>
              <w:t>(8,008)</w:t>
            </w:r>
          </w:p>
        </w:tc>
        <w:tc>
          <w:tcPr>
            <w:tcW w:w="260" w:type="dxa"/>
            <w:vAlign w:val="bottom"/>
            <w:gridSpan w:val="3"/>
          </w:tcPr>
          <w:p>
            <w:pPr>
              <w:jc w:val="right"/>
              <w:ind w:right="1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(8,008)</w:t>
            </w:r>
          </w:p>
        </w:tc>
        <w:tc>
          <w:tcPr>
            <w:tcW w:w="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(2,696)</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(2,696)</w:t>
            </w:r>
          </w:p>
        </w:tc>
      </w:tr>
      <w:tr>
        <w:trPr>
          <w:trHeight w:val="579"/>
        </w:trPr>
        <w:tc>
          <w:tcPr>
            <w:tcW w:w="5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w:t>
            </w:r>
          </w:p>
        </w:tc>
      </w:tr>
      <w:tr>
        <w:trPr>
          <w:trHeight w:val="262"/>
        </w:trPr>
        <w:tc>
          <w:tcPr>
            <w:tcW w:w="560" w:type="dxa"/>
            <w:vAlign w:val="bottom"/>
          </w:tcPr>
          <w:p>
            <w:pPr>
              <w:jc w:val="right"/>
              <w:ind w:right="20"/>
              <w:spacing w:after="0"/>
              <w:rPr>
                <w:sz w:val="20"/>
                <w:szCs w:val="20"/>
                <w:color w:val="auto"/>
              </w:rPr>
            </w:pPr>
            <w:r>
              <w:rPr>
                <w:rFonts w:ascii="Arial" w:cs="Arial" w:eastAsia="Arial" w:hAnsi="Arial"/>
                <w:sz w:val="16"/>
                <w:szCs w:val="16"/>
                <w:color w:val="auto"/>
                <w:w w:val="86"/>
              </w:rPr>
              <w:t>(8,008)</w:t>
            </w:r>
          </w:p>
        </w:tc>
        <w:tc>
          <w:tcPr>
            <w:tcW w:w="260" w:type="dxa"/>
            <w:vAlign w:val="bottom"/>
            <w:gridSpan w:val="3"/>
          </w:tcPr>
          <w:p>
            <w:pPr>
              <w:jc w:val="right"/>
              <w:ind w:right="1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(8,008)</w:t>
            </w:r>
          </w:p>
        </w:tc>
        <w:tc>
          <w:tcPr>
            <w:tcW w:w="3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(4,404)</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(4,404)</w:t>
            </w:r>
          </w:p>
        </w:tc>
      </w:tr>
      <w:tr>
        <w:trPr>
          <w:trHeight w:val="492"/>
        </w:trPr>
        <w:tc>
          <w:tcPr>
            <w:tcW w:w="560" w:type="dxa"/>
            <w:vAlign w:val="bottom"/>
          </w:tcPr>
          <w:p>
            <w:pPr>
              <w:jc w:val="right"/>
              <w:ind w:right="20"/>
              <w:spacing w:after="0"/>
              <w:rPr>
                <w:sz w:val="20"/>
                <w:szCs w:val="20"/>
                <w:color w:val="auto"/>
              </w:rPr>
            </w:pPr>
            <w:r>
              <w:rPr>
                <w:rFonts w:ascii="Arial" w:cs="Arial" w:eastAsia="Arial" w:hAnsi="Arial"/>
                <w:sz w:val="16"/>
                <w:szCs w:val="16"/>
                <w:color w:val="auto"/>
                <w:w w:val="89"/>
              </w:rPr>
              <w:t>35,176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35,176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35,134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35,134</w:t>
            </w:r>
          </w:p>
        </w:tc>
      </w:tr>
      <w:tr>
        <w:trPr>
          <w:trHeight w:val="210"/>
        </w:trPr>
        <w:tc>
          <w:tcPr>
            <w:tcW w:w="5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560" w:type="dxa"/>
            <w:vAlign w:val="bottom"/>
          </w:tcPr>
          <w:p>
            <w:pPr>
              <w:jc w:val="right"/>
              <w:ind w:right="20"/>
              <w:spacing w:after="0"/>
              <w:rPr>
                <w:sz w:val="20"/>
                <w:szCs w:val="20"/>
                <w:color w:val="auto"/>
              </w:rPr>
            </w:pPr>
            <w:r>
              <w:rPr>
                <w:rFonts w:ascii="Arial" w:cs="Arial" w:eastAsia="Arial" w:hAnsi="Arial"/>
                <w:sz w:val="16"/>
                <w:szCs w:val="16"/>
                <w:color w:val="auto"/>
                <w:w w:val="89"/>
              </w:rPr>
              <w:t>35,176</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35,176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35,134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-787400</wp:posOffset>
            </wp:positionV>
            <wp:extent cx="5492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275" cy="762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-163195</wp:posOffset>
            </wp:positionV>
            <wp:extent cx="5238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3875" cy="7620"/>
                    </a:xfrm>
                    <a:prstGeom prst="rect">
                      <a:avLst/>
                    </a:prstGeom>
                    <a:noFill/>
                  </pic:spPr>
                </pic:pic>
              </a:graphicData>
            </a:graphic>
          </wp:anchor>
        </w:drawing>
        <w:drawing>
          <wp:anchor simplePos="0" relativeHeight="251657728" behindDoc="1" locked="0" layoutInCell="0" allowOverlap="1">
            <wp:simplePos x="0" y="0"/>
            <wp:positionH relativeFrom="column">
              <wp:posOffset>-241935</wp:posOffset>
            </wp:positionH>
            <wp:positionV relativeFrom="paragraph">
              <wp:posOffset>-6985</wp:posOffset>
            </wp:positionV>
            <wp:extent cx="5327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765" cy="7620"/>
                    </a:xfrm>
                    <a:prstGeom prst="rect">
                      <a:avLst/>
                    </a:prstGeom>
                    <a:noFill/>
                  </pic:spPr>
                </pic:pic>
              </a:graphicData>
            </a:graphic>
          </wp:anchor>
        </w:drawing>
      </w:r>
    </w:p>
    <w:p>
      <w:pPr>
        <w:spacing w:after="0" w:line="200" w:lineRule="exact"/>
        <w:rPr>
          <w:sz w:val="20"/>
          <w:szCs w:val="20"/>
          <w:color w:val="auto"/>
        </w:rPr>
      </w:pPr>
    </w:p>
    <w:p>
      <w:pPr>
        <w:sectPr>
          <w:pgSz w:w="11900" w:h="16887" w:orient="portrait"/>
          <w:cols w:equalWidth="0" w:num="2">
            <w:col w:w="5220" w:space="320"/>
            <w:col w:w="5520"/>
          </w:cols>
          <w:pgMar w:left="240" w:top="131" w:right="599" w:bottom="0" w:gutter="0" w:footer="0" w:header="0"/>
          <w:type w:val="continuous"/>
        </w:sectPr>
      </w:pPr>
    </w:p>
    <w:p>
      <w:pPr>
        <w:spacing w:after="0" w:line="86" w:lineRule="exact"/>
        <w:rPr>
          <w:sz w:val="20"/>
          <w:szCs w:val="20"/>
          <w:color w:val="auto"/>
        </w:rPr>
      </w:pPr>
    </w:p>
    <w:tbl>
      <w:tblPr>
        <w:tblLayout w:type="fixed"/>
        <w:tblInd w:w="2500" w:type="dxa"/>
        <w:tblCellMar>
          <w:top w:w="0" w:type="dxa"/>
          <w:left w:w="0" w:type="dxa"/>
          <w:bottom w:w="0" w:type="dxa"/>
          <w:right w:w="0" w:type="dxa"/>
        </w:tblCellMar>
      </w:tblPr>
      <w:tr>
        <w:trPr>
          <w:trHeight w:val="197"/>
        </w:trPr>
        <w:tc>
          <w:tcPr>
            <w:tcW w:w="2640" w:type="dxa"/>
            <w:vAlign w:val="bottom"/>
          </w:tcPr>
          <w:p>
            <w:pPr>
              <w:spacing w:after="0"/>
              <w:rPr>
                <w:sz w:val="20"/>
                <w:szCs w:val="20"/>
                <w:color w:val="auto"/>
              </w:rPr>
            </w:pPr>
            <w:r>
              <w:rPr>
                <w:rFonts w:ascii="Arial" w:cs="Arial" w:eastAsia="Arial" w:hAnsi="Arial"/>
                <w:sz w:val="16"/>
                <w:szCs w:val="16"/>
                <w:color w:val="auto"/>
                <w:w w:val="91"/>
              </w:rPr>
              <w:t>Loss before cumulative effect of change</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7"/>
        </w:trPr>
        <w:tc>
          <w:tcPr>
            <w:tcW w:w="2640" w:type="dxa"/>
            <w:vAlign w:val="bottom"/>
          </w:tcPr>
          <w:p>
            <w:pPr>
              <w:spacing w:after="0"/>
              <w:rPr>
                <w:sz w:val="20"/>
                <w:szCs w:val="20"/>
                <w:color w:val="auto"/>
              </w:rPr>
            </w:pPr>
            <w:r>
              <w:rPr>
                <w:rFonts w:ascii="Arial" w:cs="Arial" w:eastAsia="Arial" w:hAnsi="Arial"/>
                <w:sz w:val="16"/>
                <w:szCs w:val="16"/>
                <w:color w:val="auto"/>
              </w:rPr>
              <w:t>in accounting principle per common</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4"/>
        </w:trPr>
        <w:tc>
          <w:tcPr>
            <w:tcW w:w="2640" w:type="dxa"/>
            <w:vAlign w:val="bottom"/>
          </w:tcPr>
          <w:p>
            <w:pPr>
              <w:spacing w:after="0"/>
              <w:rPr>
                <w:sz w:val="20"/>
                <w:szCs w:val="20"/>
                <w:color w:val="auto"/>
              </w:rPr>
            </w:pPr>
            <w:r>
              <w:rPr>
                <w:rFonts w:ascii="Arial" w:cs="Arial" w:eastAsia="Arial" w:hAnsi="Arial"/>
                <w:sz w:val="16"/>
                <w:szCs w:val="16"/>
                <w:color w:val="auto"/>
              </w:rPr>
              <w:t>share</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(0.23)</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(0.23)</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(0.08)</w:t>
            </w: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(0.08)</w:t>
            </w:r>
          </w:p>
        </w:tc>
      </w:tr>
      <w:tr>
        <w:trPr>
          <w:trHeight w:val="214"/>
        </w:trPr>
        <w:tc>
          <w:tcPr>
            <w:tcW w:w="2640" w:type="dxa"/>
            <w:vAlign w:val="bottom"/>
          </w:tcPr>
          <w:p>
            <w:pPr>
              <w:ind w:left="60"/>
              <w:spacing w:after="0"/>
              <w:rPr>
                <w:sz w:val="20"/>
                <w:szCs w:val="20"/>
                <w:color w:val="auto"/>
              </w:rPr>
            </w:pPr>
            <w:r>
              <w:rPr>
                <w:rFonts w:ascii="Arial" w:cs="Arial" w:eastAsia="Arial" w:hAnsi="Arial"/>
                <w:sz w:val="16"/>
                <w:szCs w:val="16"/>
                <w:color w:val="auto"/>
              </w:rPr>
              <w:t>Cumulative effect of change in</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197"/>
        </w:trPr>
        <w:tc>
          <w:tcPr>
            <w:tcW w:w="2640" w:type="dxa"/>
            <w:vAlign w:val="bottom"/>
          </w:tcPr>
          <w:p>
            <w:pPr>
              <w:ind w:left="60"/>
              <w:spacing w:after="0"/>
              <w:rPr>
                <w:sz w:val="20"/>
                <w:szCs w:val="20"/>
                <w:color w:val="auto"/>
              </w:rPr>
            </w:pPr>
            <w:r>
              <w:rPr>
                <w:rFonts w:ascii="Arial" w:cs="Arial" w:eastAsia="Arial" w:hAnsi="Arial"/>
                <w:sz w:val="16"/>
                <w:szCs w:val="16"/>
                <w:color w:val="auto"/>
              </w:rPr>
              <w:t>accounting principle, net of income</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69"/>
        </w:trPr>
        <w:tc>
          <w:tcPr>
            <w:tcW w:w="2640" w:type="dxa"/>
            <w:vAlign w:val="bottom"/>
          </w:tcPr>
          <w:p>
            <w:pPr>
              <w:ind w:left="60"/>
              <w:spacing w:after="0" w:line="169" w:lineRule="exact"/>
              <w:rPr>
                <w:sz w:val="20"/>
                <w:szCs w:val="20"/>
                <w:color w:val="auto"/>
              </w:rPr>
            </w:pPr>
            <w:r>
              <w:rPr>
                <w:rFonts w:ascii="Arial" w:cs="Arial" w:eastAsia="Arial" w:hAnsi="Arial"/>
                <w:sz w:val="16"/>
                <w:szCs w:val="16"/>
                <w:color w:val="auto"/>
              </w:rPr>
              <w:t>taxes, per common share</w:t>
            </w: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(0.05)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(0.05)</w:t>
            </w:r>
          </w:p>
        </w:tc>
      </w:tr>
      <w:tr>
        <w:trPr>
          <w:trHeight w:val="226"/>
        </w:trPr>
        <w:tc>
          <w:tcPr>
            <w:tcW w:w="2640" w:type="dxa"/>
            <w:vAlign w:val="bottom"/>
          </w:tcPr>
          <w:p>
            <w:pPr>
              <w:spacing w:after="0"/>
              <w:rPr>
                <w:sz w:val="20"/>
                <w:szCs w:val="20"/>
                <w:color w:val="auto"/>
              </w:rPr>
            </w:pPr>
            <w:r>
              <w:rPr>
                <w:rFonts w:ascii="Arial" w:cs="Arial" w:eastAsia="Arial" w:hAnsi="Arial"/>
                <w:sz w:val="16"/>
                <w:szCs w:val="16"/>
                <w:color w:val="auto"/>
              </w:rPr>
              <w:t>Net loss per common share</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(0.23)</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(0.23)</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(0.13)</w:t>
            </w: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(0.13)</w:t>
            </w:r>
          </w:p>
        </w:tc>
      </w:tr>
      <w:tr>
        <w:trPr>
          <w:trHeight w:val="20"/>
        </w:trPr>
        <w:tc>
          <w:tcPr>
            <w:tcW w:w="2640" w:type="dxa"/>
            <w:vAlign w:val="bottom"/>
          </w:tcPr>
          <w:p>
            <w:pPr>
              <w:spacing w:after="0" w:line="20" w:lineRule="exact"/>
              <w:rPr>
                <w:sz w:val="1"/>
                <w:szCs w:val="1"/>
                <w:color w:val="auto"/>
              </w:rPr>
            </w:pPr>
          </w:p>
        </w:tc>
        <w:tc>
          <w:tcPr>
            <w:tcW w:w="28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The number of shares issuable upon the exercise of common stock options that were excluded from the calculation of diluted net loss per share because the effect of their inclusion would have been anti-dilutive totaled 2.5 million and 2.3 million for the six months ended January 31, 2003 and 2002, respectively. The shares were anti-dilutive because the Company recorded net losses for the periods presented.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4. Long-Term Debt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Long-term debt as of January 31, 2003, July 31, 2002 and January 31, 2002 is summarized as follows (in thousands):</w:t>
      </w:r>
    </w:p>
    <w:p>
      <w:pPr>
        <w:spacing w:after="0" w:line="242" w:lineRule="exact"/>
        <w:rPr>
          <w:sz w:val="20"/>
          <w:szCs w:val="20"/>
          <w:color w:val="auto"/>
        </w:rPr>
      </w:pPr>
    </w:p>
    <w:tbl>
      <w:tblPr>
        <w:tblLayout w:type="fixed"/>
        <w:tblInd w:w="2340" w:type="dxa"/>
        <w:tblCellMar>
          <w:top w:w="0" w:type="dxa"/>
          <w:left w:w="0" w:type="dxa"/>
          <w:bottom w:w="0" w:type="dxa"/>
          <w:right w:w="0" w:type="dxa"/>
        </w:tblCellMar>
      </w:tblPr>
      <w:tr>
        <w:trPr>
          <w:trHeight w:val="208"/>
        </w:trPr>
        <w:tc>
          <w:tcPr>
            <w:tcW w:w="2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3"/>
              </w:rPr>
              <w:t>January 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1"/>
              </w:rPr>
              <w:t>July 31,</w:t>
            </w:r>
          </w:p>
        </w:tc>
        <w:tc>
          <w:tcPr>
            <w:tcW w:w="8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3"/>
              </w:rPr>
              <w:t>January 31,</w:t>
            </w:r>
          </w:p>
        </w:tc>
      </w:tr>
      <w:tr>
        <w:trPr>
          <w:trHeight w:val="210"/>
        </w:trPr>
        <w:tc>
          <w:tcPr>
            <w:tcW w:w="2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w w:val="96"/>
              </w:rPr>
              <w:t>Maturity (f)</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2002</w:t>
            </w:r>
          </w:p>
        </w:tc>
        <w:tc>
          <w:tcPr>
            <w:tcW w:w="120" w:type="dxa"/>
            <w:vAlign w:val="bottom"/>
          </w:tcPr>
          <w:p>
            <w:pPr>
              <w:spacing w:after="0"/>
              <w:rPr>
                <w:sz w:val="18"/>
                <w:szCs w:val="18"/>
                <w:color w:val="auto"/>
              </w:rPr>
            </w:pPr>
          </w:p>
        </w:tc>
      </w:tr>
      <w:tr>
        <w:trPr>
          <w:trHeight w:val="507"/>
        </w:trPr>
        <w:tc>
          <w:tcPr>
            <w:tcW w:w="2780" w:type="dxa"/>
            <w:vAlign w:val="bottom"/>
          </w:tcPr>
          <w:p>
            <w:pPr>
              <w:spacing w:after="0"/>
              <w:rPr>
                <w:sz w:val="20"/>
                <w:szCs w:val="20"/>
                <w:color w:val="auto"/>
              </w:rPr>
            </w:pPr>
            <w:r>
              <w:rPr>
                <w:rFonts w:ascii="Arial" w:cs="Arial" w:eastAsia="Arial" w:hAnsi="Arial"/>
                <w:sz w:val="16"/>
                <w:szCs w:val="16"/>
                <w:color w:val="auto"/>
              </w:rPr>
              <w:t>Industrial Development Bonds (a)</w:t>
            </w: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2007-2020</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61,700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63,200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63,200</w:t>
            </w:r>
          </w:p>
        </w:tc>
      </w:tr>
      <w:tr>
        <w:trPr>
          <w:trHeight w:val="246"/>
        </w:trPr>
        <w:tc>
          <w:tcPr>
            <w:tcW w:w="2780" w:type="dxa"/>
            <w:vAlign w:val="bottom"/>
          </w:tcPr>
          <w:p>
            <w:pPr>
              <w:spacing w:after="0"/>
              <w:rPr>
                <w:sz w:val="20"/>
                <w:szCs w:val="20"/>
                <w:color w:val="auto"/>
              </w:rPr>
            </w:pPr>
            <w:r>
              <w:rPr>
                <w:rFonts w:ascii="Arial" w:cs="Arial" w:eastAsia="Arial" w:hAnsi="Arial"/>
                <w:sz w:val="16"/>
                <w:szCs w:val="16"/>
                <w:color w:val="auto"/>
              </w:rPr>
              <w:t>Credit Facilities (b)</w:t>
            </w: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2004-2005</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126,100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154,900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23,900</w:t>
            </w:r>
          </w:p>
        </w:tc>
      </w:tr>
      <w:tr>
        <w:trPr>
          <w:trHeight w:val="246"/>
        </w:trPr>
        <w:tc>
          <w:tcPr>
            <w:tcW w:w="2780" w:type="dxa"/>
            <w:vAlign w:val="bottom"/>
          </w:tcPr>
          <w:p>
            <w:pPr>
              <w:spacing w:after="0"/>
              <w:rPr>
                <w:sz w:val="20"/>
                <w:szCs w:val="20"/>
                <w:color w:val="auto"/>
              </w:rPr>
            </w:pPr>
            <w:r>
              <w:rPr>
                <w:rFonts w:ascii="Arial" w:cs="Arial" w:eastAsia="Arial" w:hAnsi="Arial"/>
                <w:sz w:val="16"/>
                <w:szCs w:val="16"/>
                <w:color w:val="auto"/>
              </w:rPr>
              <w:t>Senior Subordinated Notes (c)</w:t>
            </w: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2009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360,000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360,000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360,000</w:t>
            </w:r>
          </w:p>
        </w:tc>
      </w:tr>
      <w:tr>
        <w:trPr>
          <w:trHeight w:val="246"/>
        </w:trPr>
        <w:tc>
          <w:tcPr>
            <w:tcW w:w="2780" w:type="dxa"/>
            <w:vAlign w:val="bottom"/>
          </w:tcPr>
          <w:p>
            <w:pPr>
              <w:spacing w:after="0"/>
              <w:rPr>
                <w:sz w:val="20"/>
                <w:szCs w:val="20"/>
                <w:color w:val="auto"/>
              </w:rPr>
            </w:pPr>
            <w:r>
              <w:rPr>
                <w:rFonts w:ascii="Arial" w:cs="Arial" w:eastAsia="Arial" w:hAnsi="Arial"/>
                <w:sz w:val="16"/>
                <w:szCs w:val="16"/>
                <w:color w:val="auto"/>
                <w:w w:val="90"/>
              </w:rPr>
              <w:t>Discount on Senior Subordinated Notes (c)</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(6,526)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(6,892)</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(7,241)</w:t>
            </w:r>
          </w:p>
        </w:tc>
      </w:tr>
      <w:tr>
        <w:trPr>
          <w:trHeight w:val="246"/>
        </w:trPr>
        <w:tc>
          <w:tcPr>
            <w:tcW w:w="2780" w:type="dxa"/>
            <w:vAlign w:val="bottom"/>
          </w:tcPr>
          <w:p>
            <w:pPr>
              <w:spacing w:after="0"/>
              <w:rPr>
                <w:sz w:val="20"/>
                <w:szCs w:val="20"/>
                <w:color w:val="auto"/>
              </w:rPr>
            </w:pPr>
            <w:r>
              <w:rPr>
                <w:rFonts w:ascii="Arial" w:cs="Arial" w:eastAsia="Arial" w:hAnsi="Arial"/>
                <w:sz w:val="16"/>
                <w:szCs w:val="16"/>
                <w:color w:val="auto"/>
              </w:rPr>
              <w:t>Olympus Note (d)</w:t>
            </w: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2004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25,000</w:t>
            </w:r>
          </w:p>
        </w:tc>
      </w:tr>
      <w:tr>
        <w:trPr>
          <w:trHeight w:val="246"/>
        </w:trPr>
        <w:tc>
          <w:tcPr>
            <w:tcW w:w="2780" w:type="dxa"/>
            <w:vAlign w:val="bottom"/>
          </w:tcPr>
          <w:p>
            <w:pPr>
              <w:spacing w:after="0"/>
              <w:rPr>
                <w:sz w:val="20"/>
                <w:szCs w:val="20"/>
                <w:color w:val="auto"/>
              </w:rPr>
            </w:pPr>
            <w:r>
              <w:rPr>
                <w:rFonts w:ascii="Arial" w:cs="Arial" w:eastAsia="Arial" w:hAnsi="Arial"/>
                <w:sz w:val="16"/>
                <w:szCs w:val="16"/>
                <w:color w:val="auto"/>
              </w:rPr>
              <w:t>Discount on Olympus Note (d)</w:t>
            </w:r>
          </w:p>
        </w:tc>
        <w:tc>
          <w:tcPr>
            <w:tcW w:w="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(1,607)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6"/>
                <w:szCs w:val="16"/>
                <w:color w:val="auto"/>
              </w:rPr>
              <w:t>(2,521)</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(3,400)</w:t>
            </w: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Other (e)</w:t>
            </w:r>
          </w:p>
        </w:tc>
        <w:tc>
          <w:tcPr>
            <w:tcW w:w="920" w:type="dxa"/>
            <w:vAlign w:val="bottom"/>
            <w:gridSpan w:val="2"/>
          </w:tcPr>
          <w:p>
            <w:pPr>
              <w:ind w:left="20"/>
              <w:spacing w:after="0"/>
              <w:rPr>
                <w:sz w:val="20"/>
                <w:szCs w:val="20"/>
                <w:color w:val="auto"/>
              </w:rPr>
            </w:pPr>
            <w:r>
              <w:rPr>
                <w:rFonts w:ascii="Arial" w:cs="Arial" w:eastAsia="Arial" w:hAnsi="Arial"/>
                <w:sz w:val="16"/>
                <w:szCs w:val="16"/>
                <w:color w:val="auto"/>
              </w:rPr>
              <w:t>2003-2029</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8,106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9,099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13,627</w:t>
            </w:r>
          </w:p>
        </w:tc>
      </w:tr>
      <w:tr>
        <w:trPr>
          <w:trHeight w:val="262"/>
        </w:trPr>
        <w:tc>
          <w:tcPr>
            <w:tcW w:w="2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572,773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602,786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475,086</w:t>
            </w: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Less: Current Maturities</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4,754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3,361</w:t>
            </w:r>
          </w:p>
        </w:tc>
      </w:tr>
      <w:tr>
        <w:trPr>
          <w:trHeight w:val="226"/>
        </w:trPr>
        <w:tc>
          <w:tcPr>
            <w:tcW w:w="2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546,196</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598,032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471,725</w:t>
            </w:r>
          </w:p>
        </w:tc>
      </w:tr>
      <w:tr>
        <w:trPr>
          <w:trHeight w:val="20"/>
        </w:trPr>
        <w:tc>
          <w:tcPr>
            <w:tcW w:w="2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320" w:right="3420" w:hanging="309"/>
        <w:spacing w:after="0" w:line="261" w:lineRule="auto"/>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Company has outstanding $61.7 million of Industrial Development Bonds (collectively, the "Industrial Development Bonds"). $41.2 million of the Industrial Development Bonds were issued by Eagle County, Colorado (the "Eagle County Bonds") and mature, subject to prior redemption, on August 1, 2019. These bonds accrue interest at 6.95% per annum, with interest being payable semi-annually on February 1 and August 1. The Promissory Note with respect to the Eagle County Bonds between Eagle County and the Company is collateralized by the U.S. Forest Service Permits for Vail Mountain and Beaver Creek Mountain. In addition, the Company has outstanding two series of refunding bonds (collectively, the "Summit County Bonds"). The Series 1990 Sports Facilities Refunding Revenue Bonds, issued by Summit County, Colorado, have an aggregate outstanding principal amount of $19.0 million, maturing in installments in 2006 and 2008. These bonds bear interest at a rate of 7.75% for bonds maturing in 2006 and 7. 875% for bonds maturing in 2008. The Series 1991 Sports Facilities Refunding Revenue Bonds (the "1991 Bonds"), issued by Summit County, Colorado, have an aggregate outstanding principal amount of $1.5 million maturing in 2010 and bear interest at 7.375%. The Company made a principal payment of $1.5 million during the quarter ended October 31, 2002 pursuant to the terms of the 1991 Bonds. The Promissory Note with respect to the Summit County Bonds between Summit County and the Company is pledged and endorsed to The Bank of New York as Trustee under the Indenture of Trust. The Promissory Note is also collateralized in accordance with a Guaranty from Ralston Purina Company (subsequently assumed by The Vail Corporation) to the Trustee for the benefit of the registered owners of the bonds.</w:t>
      </w:r>
    </w:p>
    <w:p>
      <w:pPr>
        <w:spacing w:after="0" w:line="239" w:lineRule="exact"/>
        <w:rPr>
          <w:rFonts w:ascii="Arial" w:cs="Arial" w:eastAsia="Arial" w:hAnsi="Arial"/>
          <w:sz w:val="11"/>
          <w:szCs w:val="11"/>
          <w:color w:val="auto"/>
        </w:rPr>
      </w:pPr>
    </w:p>
    <w:p>
      <w:pPr>
        <w:ind w:left="320" w:right="3460" w:hanging="309"/>
        <w:spacing w:after="0" w:line="259" w:lineRule="auto"/>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Company's credit facilities include a revolving credit facility ("Credit Facility") that provides for debt financing up to an aggregate principal amount of $421.0 million. The Company's subsidiary, The Vail Corporation, is the borrower under the Credit Facility. The Vail Corporation's obligations under the Credit Facility are guaranteed by the Company and certain of its subsidiaries and are collateralized by a pledge of all of the capital stock of The Vail Corporation and substantially all of its subsidiaries. The proceeds of the loans made under the Credit Facility may be used to fund the Company's working capital needs, capital expenditures and other general corporate purposes, including the issuance of letters of credit. Borrowings under the Credit Facility, as amended, bear interest annually at the Company's option at the rate of (i) LIBOR (1.34% at January 31, 2003) plus a margin or (ii) the agent's prime lending rate (4.25% at January 31, 2003) plus a margin. The Company also pays a quarterly unused commitment fee. The interest margins fluctuate based upon the ratio of the Company's Funded Debt to the Company's Adjusted EBITDA (as defined in the underlying Credit Facility). The Credit Facility matures on November 13, 2004. There was $111 million outstanding under the Credit Facility as of January 31, 2003. The Company's Credit Facility provides for affirmative and negative covenants that restrict, among other things, the Company's ability to incur indebtedness, dispose of assets, make capital expenditures and make investments. In addition, the agreement includes certain restrictive financial covenants, the most restrictive of which are the Funded Debt to Adjusted EBITDA ratio, Senior Debt to Adjusted EBITDA ratio, Minimum Fixed Charge Coverage ratio, Minimum Net Worth and the Interest Coverage ratio (as each ratio is defined in the underlying Credit Facility). The Company was in compliance with all relevant covenants in its debt instruments as of January 31, 2003. The Company expects i t will meet all applicable quarterly financial tests in its debt instruments in fiscal 2003. However, there can be no assurance that the Company will meet its financial covenants. If such covenants are not met, the Company would be required to seek a waiver or amendment from the banks participating in the Credit Facility. While the Company anticipates that it would obtain such waiver or amendment, if any were necessary, there can be no assurance that such waiver would be granted, which could have a material adverse impact on the liquidity of the Company.</w:t>
      </w:r>
    </w:p>
    <w:p>
      <w:pPr>
        <w:sectPr>
          <w:pgSz w:w="11900" w:h="16887" w:orient="portrait"/>
          <w:cols w:equalWidth="0" w:num="1">
            <w:col w:w="11060"/>
          </w:cols>
          <w:pgMar w:left="240" w:top="131" w:right="599" w:bottom="0" w:gutter="0" w:footer="0" w:header="0"/>
          <w:type w:val="continuous"/>
        </w:sectPr>
      </w:pPr>
    </w:p>
    <w:bookmarkStart w:id="6" w:name="page7"/>
    <w:bookmarkEnd w:id="6"/>
    <w:p>
      <w:pPr>
        <w:spacing w:after="0" w:line="65" w:lineRule="exact"/>
        <w:rPr>
          <w:sz w:val="20"/>
          <w:szCs w:val="20"/>
          <w:color w:val="auto"/>
        </w:rPr>
      </w:pPr>
    </w:p>
    <w:p>
      <w:pPr>
        <w:ind w:left="320" w:right="3800"/>
        <w:spacing w:after="0" w:line="263" w:lineRule="auto"/>
        <w:rPr>
          <w:sz w:val="20"/>
          <w:szCs w:val="20"/>
          <w:color w:val="auto"/>
        </w:rPr>
      </w:pPr>
      <w:r>
        <w:rPr>
          <w:rFonts w:ascii="Arial" w:cs="Arial" w:eastAsia="Arial" w:hAnsi="Arial"/>
          <w:sz w:val="11"/>
          <w:szCs w:val="11"/>
          <w:color w:val="auto"/>
        </w:rPr>
        <w:t>SSI Venture LLC ("SSV"), a fully consolidated retail/rental joint venture in which the company has a 51.9% ownership interest, has a credit facility ("SSV Facility") that provides debt financing up to an aggregate principal amount of $25 million. The SSV Facility consists of (i) a $15 million Tranche A revolving credit facility and (ii) a $10 million Tranche B term loan facility. The SSV Facility matures on the earlier of December 31, 2003 or the termination date of the Credit Facility discussed above. The Vail Corporation guarantees the SSV Facility. The principal amount outstanding on the Tranche A revolving loan was $9.1 million as of January 31, 2003. The principal amount outstanding on the Tranche B term loan was $6.0 million at January 31, 2003. Future minimum payments under the Tranche B term loan facility are $0.50 million and $5.5 million during fiscal years 2003 and 2004, respectively. The SSV Facility bears interest annually at the rates prescribed above for the Credit Facility. SS V also pays a quarterly unused commitment fee at the same rates as the unused commitment fee for the Credit Facility. SSV is currently in the process of renegotiating the SSV Facility. SSV anticipates the negotiations will be completed during the Company's third fiscal quarter in 2003.</w:t>
      </w:r>
    </w:p>
    <w:p>
      <w:pPr>
        <w:spacing w:after="0" w:line="240" w:lineRule="exact"/>
        <w:rPr>
          <w:sz w:val="20"/>
          <w:szCs w:val="20"/>
          <w:color w:val="auto"/>
        </w:rPr>
      </w:pPr>
    </w:p>
    <w:p>
      <w:pPr>
        <w:ind w:left="320" w:right="3860" w:hanging="309"/>
        <w:spacing w:after="0" w:line="263" w:lineRule="auto"/>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Company has outstanding $360 million of Senior Subordinated Notes (collectively, the "Notes"), $200 million of which were issued in May 1999 (the "1999 Notes") and $160 million of which were issued in November 2001 (the "2001 Notes"). The 1999 Notes and 2001 Notes have substantially similar terms. The 2001 Notes were issued with an original issue discount for federal income tax purposes that yielded gross proceeds to the Company of approximately $152.6 million. The Notes have a fixed annual interest rate of 8.75%, with interest due semi-annually on May 15 and November 15. The Notes will mature on May 15, 2009 and no principal payments are due to be paid until maturity. The Company has certain early redemption options under the terms of the Notes. Substantially all of the Company's subsidiaries have guaranteed the Notes (see Note 9). The Notes are subordinated to certain of the Company's debts, including the Credit Facility, and will be subordinated to certain of the Company's future debts . The Company's payment obligations under the Notes are jointly and severally guaranteed by all of the Company's consolidated subsidiaries designated as Guarantors, as defined in the underlying Indenture.</w:t>
      </w:r>
    </w:p>
    <w:p>
      <w:pPr>
        <w:spacing w:after="0" w:line="239" w:lineRule="exact"/>
        <w:rPr>
          <w:rFonts w:ascii="Arial" w:cs="Arial" w:eastAsia="Arial" w:hAnsi="Arial"/>
          <w:sz w:val="11"/>
          <w:szCs w:val="11"/>
          <w:color w:val="auto"/>
        </w:rPr>
      </w:pPr>
    </w:p>
    <w:p>
      <w:pPr>
        <w:ind w:left="320" w:right="3860" w:hanging="309"/>
        <w:spacing w:after="0" w:line="274" w:lineRule="auto"/>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In connection with the Company's acquisition of Rancho Mirage in November 2001, the Company entered into a note payable to Olympus Real Estate Partners (the "Olympus Note"). The Olympus Note has a principal amount of $25 million and matures November 15, 2003. The terms of the Olympus Note do not provide for interest; therefore, the Company has imputed an interest rate of 8% per annum, which has been recorded as a discount on the Olympus Note and is being amortized as interest expense over the life of the Olympus Note.</w:t>
      </w:r>
    </w:p>
    <w:p>
      <w:pPr>
        <w:spacing w:after="0" w:line="233" w:lineRule="exact"/>
        <w:rPr>
          <w:rFonts w:ascii="Arial" w:cs="Arial" w:eastAsia="Arial" w:hAnsi="Arial"/>
          <w:sz w:val="11"/>
          <w:szCs w:val="11"/>
          <w:color w:val="auto"/>
        </w:rPr>
      </w:pPr>
    </w:p>
    <w:p>
      <w:pPr>
        <w:ind w:left="320" w:hanging="309"/>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Other obligations bear interest at rates ranging from 5.45% to 18.3% and have maturities ranging from fiscal 2003 to 2029.</w:t>
      </w:r>
    </w:p>
    <w:p>
      <w:pPr>
        <w:spacing w:after="0" w:line="267" w:lineRule="exact"/>
        <w:rPr>
          <w:rFonts w:ascii="Arial" w:cs="Arial" w:eastAsia="Arial" w:hAnsi="Arial"/>
          <w:sz w:val="12"/>
          <w:szCs w:val="12"/>
          <w:color w:val="auto"/>
        </w:rPr>
      </w:pPr>
    </w:p>
    <w:p>
      <w:pPr>
        <w:ind w:left="320" w:hanging="309"/>
        <w:spacing w:after="0"/>
        <w:tabs>
          <w:tab w:leader="none" w:pos="320" w:val="left"/>
        </w:tabs>
        <w:numPr>
          <w:ilvl w:val="0"/>
          <w:numId w:val="3"/>
        </w:numPr>
        <w:rPr>
          <w:rFonts w:ascii="Arial" w:cs="Arial" w:eastAsia="Arial" w:hAnsi="Arial"/>
          <w:sz w:val="12"/>
          <w:szCs w:val="12"/>
          <w:color w:val="auto"/>
        </w:rPr>
      </w:pPr>
      <w:r>
        <w:rPr>
          <w:rFonts w:ascii="Arial" w:cs="Arial" w:eastAsia="Arial" w:hAnsi="Arial"/>
          <w:sz w:val="12"/>
          <w:szCs w:val="12"/>
          <w:color w:val="auto"/>
        </w:rPr>
        <w:t>Maturities are based on the Company's July 31 fiscal year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Aggregate maturities for debt outstanding as of January 31, 2003 are as follows (in thousands):</w:t>
      </w:r>
    </w:p>
    <w:p>
      <w:pPr>
        <w:spacing w:after="0" w:line="222"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Due during the twelve</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months ending July 31:</w:t>
      </w:r>
    </w:p>
    <w:p>
      <w:pPr>
        <w:spacing w:after="0" w:line="300" w:lineRule="exact"/>
        <w:rPr>
          <w:sz w:val="20"/>
          <w:szCs w:val="20"/>
          <w:color w:val="auto"/>
        </w:rPr>
      </w:pPr>
    </w:p>
    <w:tbl>
      <w:tblPr>
        <w:tblLayout w:type="fixed"/>
        <w:tblInd w:w="4460" w:type="dxa"/>
        <w:tblCellMar>
          <w:top w:w="0" w:type="dxa"/>
          <w:left w:w="0" w:type="dxa"/>
          <w:bottom w:w="0" w:type="dxa"/>
          <w:right w:w="0" w:type="dxa"/>
        </w:tblCellMar>
      </w:tblPr>
      <w:tr>
        <w:trPr>
          <w:trHeight w:val="204"/>
        </w:trPr>
        <w:tc>
          <w:tcPr>
            <w:tcW w:w="1760" w:type="dxa"/>
            <w:vAlign w:val="bottom"/>
          </w:tcPr>
          <w:p>
            <w:pPr>
              <w:spacing w:after="0"/>
              <w:rPr>
                <w:sz w:val="20"/>
                <w:szCs w:val="20"/>
                <w:color w:val="auto"/>
              </w:rPr>
            </w:pPr>
            <w:r>
              <w:rPr>
                <w:rFonts w:ascii="Arial" w:cs="Arial" w:eastAsia="Arial" w:hAnsi="Arial"/>
                <w:sz w:val="16"/>
                <w:szCs w:val="16"/>
                <w:color w:val="auto"/>
              </w:rPr>
              <w:t>2003</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2,188</w:t>
            </w: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0"/>
                <w:szCs w:val="20"/>
                <w:color w:val="auto"/>
              </w:rPr>
            </w:pPr>
            <w:r>
              <w:rPr>
                <w:rFonts w:ascii="Arial" w:cs="Arial" w:eastAsia="Arial" w:hAnsi="Arial"/>
                <w:sz w:val="16"/>
                <w:szCs w:val="16"/>
                <w:color w:val="auto"/>
              </w:rPr>
              <w:t>2004</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39,231</w:t>
            </w: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0"/>
                <w:szCs w:val="20"/>
                <w:color w:val="auto"/>
              </w:rPr>
            </w:pPr>
            <w:r>
              <w:rPr>
                <w:rFonts w:ascii="Arial" w:cs="Arial" w:eastAsia="Arial" w:hAnsi="Arial"/>
                <w:sz w:val="16"/>
                <w:szCs w:val="16"/>
                <w:color w:val="auto"/>
              </w:rPr>
              <w:t>2005</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112,378</w:t>
            </w: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0"/>
                <w:szCs w:val="20"/>
                <w:color w:val="auto"/>
              </w:rPr>
            </w:pPr>
            <w:r>
              <w:rPr>
                <w:rFonts w:ascii="Arial" w:cs="Arial" w:eastAsia="Arial" w:hAnsi="Arial"/>
                <w:sz w:val="16"/>
                <w:szCs w:val="16"/>
                <w:color w:val="auto"/>
              </w:rPr>
              <w:t>2006</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593</w:t>
            </w: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0"/>
                <w:szCs w:val="20"/>
                <w:color w:val="auto"/>
              </w:rPr>
            </w:pPr>
            <w:r>
              <w:rPr>
                <w:rFonts w:ascii="Arial" w:cs="Arial" w:eastAsia="Arial" w:hAnsi="Arial"/>
                <w:sz w:val="16"/>
                <w:szCs w:val="16"/>
                <w:color w:val="auto"/>
              </w:rPr>
              <w:t>2007</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4,208</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414,175</w:t>
            </w:r>
          </w:p>
        </w:tc>
        <w:tc>
          <w:tcPr>
            <w:tcW w:w="0" w:type="dxa"/>
            <w:vAlign w:val="bottom"/>
          </w:tcPr>
          <w:p>
            <w:pPr>
              <w:spacing w:after="0"/>
              <w:rPr>
                <w:sz w:val="1"/>
                <w:szCs w:val="1"/>
                <w:color w:val="auto"/>
              </w:rPr>
            </w:pPr>
          </w:p>
        </w:tc>
      </w:tr>
      <w:tr>
        <w:trPr>
          <w:trHeight w:val="237"/>
        </w:trPr>
        <w:tc>
          <w:tcPr>
            <w:tcW w:w="1760" w:type="dxa"/>
            <w:vAlign w:val="bottom"/>
          </w:tcPr>
          <w:p>
            <w:pPr>
              <w:ind w:left="480"/>
              <w:spacing w:after="0"/>
              <w:rPr>
                <w:sz w:val="20"/>
                <w:szCs w:val="20"/>
                <w:color w:val="auto"/>
              </w:rPr>
            </w:pPr>
            <w:r>
              <w:rPr>
                <w:rFonts w:ascii="Arial" w:cs="Arial" w:eastAsia="Arial" w:hAnsi="Arial"/>
                <w:sz w:val="16"/>
                <w:szCs w:val="16"/>
                <w:color w:val="auto"/>
              </w:rPr>
              <w:t>Total debt</w:t>
            </w: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572,773</w:t>
            </w:r>
          </w:p>
        </w:tc>
        <w:tc>
          <w:tcPr>
            <w:tcW w:w="0" w:type="dxa"/>
            <w:vAlign w:val="bottom"/>
          </w:tcPr>
          <w:p>
            <w:pPr>
              <w:spacing w:after="0"/>
              <w:rPr>
                <w:sz w:val="1"/>
                <w:szCs w:val="1"/>
                <w:color w:val="auto"/>
              </w:rPr>
            </w:pPr>
          </w:p>
        </w:tc>
      </w:tr>
      <w:tr>
        <w:trPr>
          <w:trHeight w:val="166"/>
        </w:trPr>
        <w:tc>
          <w:tcPr>
            <w:tcW w:w="1760" w:type="dxa"/>
            <w:vAlign w:val="bottom"/>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in compliance with all of its financial and operating covenants required to be maintained under its debt instruments for all periods presented.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300" w:type="dxa"/>
            <w:vAlign w:val="bottom"/>
          </w:tcPr>
          <w:p>
            <w:pPr>
              <w:spacing w:after="0"/>
              <w:rPr>
                <w:sz w:val="20"/>
                <w:szCs w:val="20"/>
                <w:color w:val="auto"/>
              </w:rPr>
            </w:pPr>
            <w:r>
              <w:rPr>
                <w:rFonts w:ascii="Arial" w:cs="Arial" w:eastAsia="Arial" w:hAnsi="Arial"/>
                <w:sz w:val="16"/>
                <w:szCs w:val="16"/>
                <w:b w:val="1"/>
                <w:bCs w:val="1"/>
                <w:color w:val="auto"/>
              </w:rPr>
              <w:t>5. Supplementary Balance Sheet Information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56"/>
        </w:trPr>
        <w:tc>
          <w:tcPr>
            <w:tcW w:w="6300" w:type="dxa"/>
            <w:vAlign w:val="bottom"/>
          </w:tcPr>
          <w:p>
            <w:pPr>
              <w:spacing w:after="0"/>
              <w:rPr>
                <w:sz w:val="20"/>
                <w:szCs w:val="20"/>
                <w:color w:val="auto"/>
              </w:rPr>
            </w:pPr>
            <w:r>
              <w:rPr>
                <w:rFonts w:ascii="Arial" w:cs="Arial" w:eastAsia="Arial" w:hAnsi="Arial"/>
                <w:sz w:val="16"/>
                <w:szCs w:val="16"/>
                <w:color w:val="auto"/>
              </w:rPr>
              <w:t>The composition of accounts payable and accrued expenses follows (in thousands):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0"/>
        </w:trPr>
        <w:tc>
          <w:tcPr>
            <w:tcW w:w="6300" w:type="dxa"/>
            <w:vAlign w:val="bottom"/>
          </w:tcPr>
          <w:p>
            <w:pPr>
              <w:spacing w:after="0"/>
              <w:rPr>
                <w:sz w:val="24"/>
                <w:szCs w:val="24"/>
                <w:color w:val="auto"/>
              </w:rPr>
            </w:pPr>
          </w:p>
        </w:tc>
        <w:tc>
          <w:tcPr>
            <w:tcW w:w="9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January 31,</w:t>
            </w:r>
          </w:p>
        </w:tc>
        <w:tc>
          <w:tcPr>
            <w:tcW w:w="180" w:type="dxa"/>
            <w:vAlign w:val="bottom"/>
          </w:tcPr>
          <w:p>
            <w:pPr>
              <w:spacing w:after="0"/>
              <w:rPr>
                <w:sz w:val="24"/>
                <w:szCs w:val="24"/>
                <w:color w:val="auto"/>
              </w:rPr>
            </w:pPr>
          </w:p>
        </w:tc>
        <w:tc>
          <w:tcPr>
            <w:tcW w:w="80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1"/>
              </w:rPr>
              <w:t>July 31,</w:t>
            </w:r>
          </w:p>
        </w:tc>
        <w:tc>
          <w:tcPr>
            <w:tcW w:w="9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January 31,</w:t>
            </w:r>
          </w:p>
        </w:tc>
      </w:tr>
      <w:tr>
        <w:trPr>
          <w:trHeight w:val="186"/>
        </w:trPr>
        <w:tc>
          <w:tcPr>
            <w:tcW w:w="6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80"/>
              <w:spacing w:after="0" w:line="165" w:lineRule="exact"/>
              <w:rPr>
                <w:sz w:val="20"/>
                <w:szCs w:val="20"/>
                <w:color w:val="auto"/>
              </w:rPr>
            </w:pPr>
            <w:r>
              <w:rPr>
                <w:rFonts w:ascii="Arial" w:cs="Arial" w:eastAsia="Arial" w:hAnsi="Arial"/>
                <w:sz w:val="16"/>
                <w:szCs w:val="16"/>
                <w:b w:val="1"/>
                <w:bCs w:val="1"/>
                <w:color w:val="auto"/>
              </w:rPr>
              <w:t>2003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0"/>
              <w:spacing w:after="0" w:line="165" w:lineRule="exact"/>
              <w:rPr>
                <w:sz w:val="20"/>
                <w:szCs w:val="20"/>
                <w:color w:val="auto"/>
              </w:rPr>
            </w:pPr>
            <w:r>
              <w:rPr>
                <w:rFonts w:ascii="Arial" w:cs="Arial" w:eastAsia="Arial" w:hAnsi="Arial"/>
                <w:sz w:val="16"/>
                <w:szCs w:val="16"/>
                <w:b w:val="1"/>
                <w:bCs w:val="1"/>
                <w:color w:val="auto"/>
                <w:w w:val="95"/>
              </w:rPr>
              <w:t>2002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center"/>
              <w:ind w:right="20"/>
              <w:spacing w:after="0" w:line="178" w:lineRule="exact"/>
              <w:rPr>
                <w:sz w:val="20"/>
                <w:szCs w:val="20"/>
                <w:color w:val="auto"/>
              </w:rPr>
            </w:pPr>
            <w:r>
              <w:rPr>
                <w:rFonts w:ascii="Arial" w:cs="Arial" w:eastAsia="Arial" w:hAnsi="Arial"/>
                <w:sz w:val="16"/>
                <w:szCs w:val="16"/>
                <w:b w:val="1"/>
                <w:bCs w:val="1"/>
                <w:color w:val="auto"/>
                <w:w w:val="89"/>
              </w:rPr>
              <w:t>2002</w:t>
            </w:r>
          </w:p>
        </w:tc>
        <w:tc>
          <w:tcPr>
            <w:tcW w:w="140" w:type="dxa"/>
            <w:vAlign w:val="bottom"/>
          </w:tcPr>
          <w:p>
            <w:pPr>
              <w:spacing w:after="0"/>
              <w:rPr>
                <w:sz w:val="16"/>
                <w:szCs w:val="16"/>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6"/>
        </w:trPr>
        <w:tc>
          <w:tcPr>
            <w:tcW w:w="6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4"/>
          </w:tcPr>
          <w:p>
            <w:pPr>
              <w:jc w:val="center"/>
              <w:spacing w:after="0"/>
              <w:rPr>
                <w:sz w:val="20"/>
                <w:szCs w:val="20"/>
                <w:color w:val="auto"/>
              </w:rPr>
            </w:pPr>
            <w:r>
              <w:rPr>
                <w:rFonts w:ascii="Arial" w:cs="Arial" w:eastAsia="Arial" w:hAnsi="Arial"/>
                <w:sz w:val="16"/>
                <w:szCs w:val="16"/>
                <w:color w:val="auto"/>
                <w:w w:val="86"/>
              </w:rPr>
              <w:t>(as restated)</w:t>
            </w:r>
          </w:p>
        </w:tc>
      </w:tr>
      <w:tr>
        <w:trPr>
          <w:trHeight w:val="246"/>
        </w:trPr>
        <w:tc>
          <w:tcPr>
            <w:tcW w:w="6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3"/>
          </w:tcPr>
          <w:p>
            <w:pPr>
              <w:spacing w:after="0"/>
              <w:rPr>
                <w:sz w:val="20"/>
                <w:szCs w:val="20"/>
                <w:color w:val="auto"/>
              </w:rPr>
            </w:pPr>
            <w:r>
              <w:rPr>
                <w:rFonts w:ascii="Arial" w:cs="Arial" w:eastAsia="Arial" w:hAnsi="Arial"/>
                <w:sz w:val="16"/>
                <w:szCs w:val="16"/>
                <w:color w:val="auto"/>
                <w:w w:val="91"/>
              </w:rPr>
              <w:t>(unaudited)</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6"/>
                <w:szCs w:val="16"/>
                <w:color w:val="auto"/>
                <w:w w:val="83"/>
              </w:rPr>
              <w:t>(unaudited)</w:t>
            </w:r>
          </w:p>
        </w:tc>
      </w:tr>
      <w:tr>
        <w:trPr>
          <w:trHeight w:val="492"/>
        </w:trPr>
        <w:tc>
          <w:tcPr>
            <w:tcW w:w="6300" w:type="dxa"/>
            <w:vAlign w:val="bottom"/>
          </w:tcPr>
          <w:p>
            <w:pPr>
              <w:ind w:left="2280"/>
              <w:spacing w:after="0"/>
              <w:rPr>
                <w:sz w:val="20"/>
                <w:szCs w:val="20"/>
                <w:color w:val="auto"/>
              </w:rPr>
            </w:pPr>
            <w:r>
              <w:rPr>
                <w:rFonts w:ascii="Arial" w:cs="Arial" w:eastAsia="Arial" w:hAnsi="Arial"/>
                <w:sz w:val="16"/>
                <w:szCs w:val="16"/>
                <w:color w:val="auto"/>
              </w:rPr>
              <w:t>Trade payables</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80,664</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55,586</w:t>
            </w:r>
          </w:p>
        </w:tc>
        <w:tc>
          <w:tcPr>
            <w:tcW w:w="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51,174</w:t>
            </w:r>
          </w:p>
        </w:tc>
      </w:tr>
      <w:tr>
        <w:trPr>
          <w:trHeight w:val="246"/>
        </w:trPr>
        <w:tc>
          <w:tcPr>
            <w:tcW w:w="6300" w:type="dxa"/>
            <w:vAlign w:val="bottom"/>
          </w:tcPr>
          <w:p>
            <w:pPr>
              <w:ind w:left="2280"/>
              <w:spacing w:after="0"/>
              <w:rPr>
                <w:sz w:val="20"/>
                <w:szCs w:val="20"/>
                <w:color w:val="auto"/>
              </w:rPr>
            </w:pPr>
            <w:r>
              <w:rPr>
                <w:rFonts w:ascii="Arial" w:cs="Arial" w:eastAsia="Arial" w:hAnsi="Arial"/>
                <w:sz w:val="16"/>
                <w:szCs w:val="16"/>
                <w:color w:val="auto"/>
              </w:rPr>
              <w:t>Deferred revenue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46,270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15,158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39,019</w:t>
            </w:r>
          </w:p>
        </w:tc>
      </w:tr>
      <w:tr>
        <w:trPr>
          <w:trHeight w:val="246"/>
        </w:trPr>
        <w:tc>
          <w:tcPr>
            <w:tcW w:w="6300" w:type="dxa"/>
            <w:vAlign w:val="bottom"/>
          </w:tcPr>
          <w:p>
            <w:pPr>
              <w:ind w:left="2280"/>
              <w:spacing w:after="0"/>
              <w:rPr>
                <w:sz w:val="20"/>
                <w:szCs w:val="20"/>
                <w:color w:val="auto"/>
              </w:rPr>
            </w:pPr>
            <w:r>
              <w:rPr>
                <w:rFonts w:ascii="Arial" w:cs="Arial" w:eastAsia="Arial" w:hAnsi="Arial"/>
                <w:sz w:val="16"/>
                <w:szCs w:val="16"/>
                <w:color w:val="auto"/>
              </w:rPr>
              <w:t>Deposits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19,936</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15,720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24,470</w:t>
            </w:r>
          </w:p>
        </w:tc>
      </w:tr>
      <w:tr>
        <w:trPr>
          <w:trHeight w:val="246"/>
        </w:trPr>
        <w:tc>
          <w:tcPr>
            <w:tcW w:w="6300" w:type="dxa"/>
            <w:vAlign w:val="bottom"/>
          </w:tcPr>
          <w:p>
            <w:pPr>
              <w:ind w:left="2280"/>
              <w:spacing w:after="0"/>
              <w:rPr>
                <w:sz w:val="20"/>
                <w:szCs w:val="20"/>
                <w:color w:val="auto"/>
              </w:rPr>
            </w:pPr>
            <w:r>
              <w:rPr>
                <w:rFonts w:ascii="Arial" w:cs="Arial" w:eastAsia="Arial" w:hAnsi="Arial"/>
                <w:sz w:val="16"/>
                <w:szCs w:val="16"/>
                <w:color w:val="auto"/>
              </w:rPr>
              <w:t>Accrued salaries and wages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30,331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16,439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24,529</w:t>
            </w:r>
          </w:p>
        </w:tc>
      </w:tr>
      <w:tr>
        <w:trPr>
          <w:trHeight w:val="246"/>
        </w:trPr>
        <w:tc>
          <w:tcPr>
            <w:tcW w:w="6300" w:type="dxa"/>
            <w:vAlign w:val="bottom"/>
          </w:tcPr>
          <w:p>
            <w:pPr>
              <w:ind w:left="2280"/>
              <w:spacing w:after="0"/>
              <w:rPr>
                <w:sz w:val="20"/>
                <w:szCs w:val="20"/>
                <w:color w:val="auto"/>
              </w:rPr>
            </w:pPr>
            <w:r>
              <w:rPr>
                <w:rFonts w:ascii="Arial" w:cs="Arial" w:eastAsia="Arial" w:hAnsi="Arial"/>
                <w:sz w:val="16"/>
                <w:szCs w:val="16"/>
                <w:color w:val="auto"/>
                <w:w w:val="91"/>
              </w:rPr>
              <w:t>Self-insurance reserves (medical and worker's compensation)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4,729</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6"/>
                <w:szCs w:val="16"/>
                <w:color w:val="auto"/>
              </w:rPr>
              <w:t>11,169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3,314</w:t>
            </w:r>
          </w:p>
        </w:tc>
      </w:tr>
      <w:tr>
        <w:trPr>
          <w:trHeight w:val="246"/>
        </w:trPr>
        <w:tc>
          <w:tcPr>
            <w:tcW w:w="6300" w:type="dxa"/>
            <w:vAlign w:val="bottom"/>
          </w:tcPr>
          <w:p>
            <w:pPr>
              <w:ind w:left="2280"/>
              <w:spacing w:after="0"/>
              <w:rPr>
                <w:sz w:val="20"/>
                <w:szCs w:val="20"/>
                <w:color w:val="auto"/>
              </w:rPr>
            </w:pPr>
            <w:r>
              <w:rPr>
                <w:rFonts w:ascii="Arial" w:cs="Arial" w:eastAsia="Arial" w:hAnsi="Arial"/>
                <w:sz w:val="16"/>
                <w:szCs w:val="16"/>
                <w:color w:val="auto"/>
              </w:rPr>
              <w:t>Accrued interest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7,449</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8,159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7,874</w:t>
            </w:r>
          </w:p>
        </w:tc>
      </w:tr>
      <w:tr>
        <w:trPr>
          <w:trHeight w:val="246"/>
        </w:trPr>
        <w:tc>
          <w:tcPr>
            <w:tcW w:w="6300" w:type="dxa"/>
            <w:vAlign w:val="bottom"/>
          </w:tcPr>
          <w:p>
            <w:pPr>
              <w:ind w:left="2280"/>
              <w:spacing w:after="0"/>
              <w:rPr>
                <w:sz w:val="20"/>
                <w:szCs w:val="20"/>
                <w:color w:val="auto"/>
              </w:rPr>
            </w:pPr>
            <w:r>
              <w:rPr>
                <w:rFonts w:ascii="Arial" w:cs="Arial" w:eastAsia="Arial" w:hAnsi="Arial"/>
                <w:sz w:val="16"/>
                <w:szCs w:val="16"/>
                <w:color w:val="auto"/>
              </w:rPr>
              <w:t>Property taxes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11,223</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6,666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9,435</w:t>
            </w:r>
          </w:p>
        </w:tc>
      </w:tr>
      <w:tr>
        <w:trPr>
          <w:trHeight w:val="246"/>
        </w:trPr>
        <w:tc>
          <w:tcPr>
            <w:tcW w:w="6300" w:type="dxa"/>
            <w:vAlign w:val="bottom"/>
          </w:tcPr>
          <w:p>
            <w:pPr>
              <w:ind w:left="2280"/>
              <w:spacing w:after="0"/>
              <w:rPr>
                <w:sz w:val="20"/>
                <w:szCs w:val="20"/>
                <w:color w:val="auto"/>
              </w:rPr>
            </w:pPr>
            <w:r>
              <w:rPr>
                <w:rFonts w:ascii="Arial" w:cs="Arial" w:eastAsia="Arial" w:hAnsi="Arial"/>
                <w:sz w:val="16"/>
                <w:szCs w:val="16"/>
                <w:color w:val="auto"/>
              </w:rPr>
              <w:t>Liability to complete real estate sold, short term</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3,507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5,723</w:t>
            </w:r>
          </w:p>
        </w:tc>
      </w:tr>
      <w:tr>
        <w:trPr>
          <w:trHeight w:val="210"/>
        </w:trPr>
        <w:tc>
          <w:tcPr>
            <w:tcW w:w="6300" w:type="dxa"/>
            <w:vAlign w:val="bottom"/>
          </w:tcPr>
          <w:p>
            <w:pPr>
              <w:ind w:left="2280"/>
              <w:spacing w:after="0"/>
              <w:rPr>
                <w:sz w:val="20"/>
                <w:szCs w:val="20"/>
                <w:color w:val="auto"/>
              </w:rPr>
            </w:pPr>
            <w:r>
              <w:rPr>
                <w:rFonts w:ascii="Arial" w:cs="Arial" w:eastAsia="Arial" w:hAnsi="Arial"/>
                <w:sz w:val="16"/>
                <w:szCs w:val="16"/>
                <w:color w:val="auto"/>
              </w:rPr>
              <w:t>Other accruals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9,445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7,826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5,457</w:t>
            </w:r>
          </w:p>
        </w:tc>
      </w:tr>
      <w:tr>
        <w:trPr>
          <w:trHeight w:val="226"/>
        </w:trPr>
        <w:tc>
          <w:tcPr>
            <w:tcW w:w="6300" w:type="dxa"/>
            <w:vAlign w:val="bottom"/>
          </w:tcPr>
          <w:p>
            <w:pPr>
              <w:ind w:left="2280"/>
              <w:spacing w:after="0"/>
              <w:rPr>
                <w:sz w:val="20"/>
                <w:szCs w:val="20"/>
                <w:color w:val="auto"/>
              </w:rPr>
            </w:pPr>
            <w:r>
              <w:rPr>
                <w:rFonts w:ascii="Arial" w:cs="Arial" w:eastAsia="Arial" w:hAnsi="Arial"/>
                <w:sz w:val="16"/>
                <w:szCs w:val="16"/>
                <w:color w:val="auto"/>
              </w:rPr>
              <w:t>Total accounts payable and accrued expenses</w:t>
            </w: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210,191</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140,230</w:t>
            </w: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170,995</w:t>
            </w:r>
          </w:p>
        </w:tc>
      </w:tr>
      <w:tr>
        <w:trPr>
          <w:trHeight w:val="20"/>
        </w:trPr>
        <w:tc>
          <w:tcPr>
            <w:tcW w:w="63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Related Party Transactions</w:t>
      </w:r>
    </w:p>
    <w:p>
      <w:pPr>
        <w:spacing w:after="0" w:line="213"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In 1991, the Company loaned Andrew P. Daly, the Company's former President, $300,000, $150,000 of which bears interest at a rate of 9% per annum and the remainder of which is non-interest bearing. The principal sum plus accrued interest is due October 1, 2003. The proceeds of the loan were used to finance the purchase and improvement of real property and the loan is collateralized by a deed of trust on such property. In 1995, Mr. Daly's spouse received financial terms more favorable than those available to the general public in connection with the purchase of a homesite at Bachelor Gulch Village. Rather than payment of an earnest money deposit with the entire balance due in cash at closing, the contract provided for no earnest money deposit with the entire purchase price (which was below fair market value) to be paid under a promissory note of $438,750. Mrs. Daly's note was collateralized by a first deed of trust and amortized over 25 years at a rate of 8% per annum interest. Mrs. Daly repaid the note in full on November 4, 2002.</w:t>
      </w:r>
    </w:p>
    <w:p>
      <w:pPr>
        <w:spacing w:after="0" w:line="14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Effective October 31, 2002, Mr. Daly ceased to be an employee of the Company. The Company recorded $1.3 million of compensation expense in its first fiscal quarter of 2002 in relation to Mr. Daly's severance agreement.</w:t>
      </w:r>
    </w:p>
    <w:p>
      <w:pPr>
        <w:spacing w:after="0" w:line="119" w:lineRule="exact"/>
        <w:rPr>
          <w:sz w:val="20"/>
          <w:szCs w:val="20"/>
          <w:color w:val="auto"/>
        </w:rPr>
      </w:pPr>
    </w:p>
    <w:p>
      <w:pPr>
        <w:ind w:right="120"/>
        <w:spacing w:after="0" w:line="325" w:lineRule="auto"/>
        <w:rPr>
          <w:sz w:val="20"/>
          <w:szCs w:val="20"/>
          <w:color w:val="auto"/>
        </w:rPr>
      </w:pPr>
      <w:r>
        <w:rPr>
          <w:rFonts w:ascii="Arial" w:cs="Arial" w:eastAsia="Arial" w:hAnsi="Arial"/>
          <w:sz w:val="14"/>
          <w:szCs w:val="14"/>
          <w:color w:val="auto"/>
        </w:rPr>
        <w:t>In connection with the employment of Blaise Carrig as Chief Operating Officer of Heavenly Valley Limited Partnership ("Heavenly LP"), a wholly owned subsidiary of the Company, Heavenly LP agreed to invest up to $600,000, but not to exceed 50% of the purchase price, for the purchase of a residence for Mr. Carrig and his family in the greater Lake Tahoe area. In November 2002, the Company contributed $449,500 toward the purchase price of the residence and thereby obtained a 50% undivided ownership interest in</w:t>
      </w:r>
    </w:p>
    <w:p>
      <w:pPr>
        <w:sectPr>
          <w:pgSz w:w="11900" w:h="16903" w:orient="portrait"/>
          <w:cols w:equalWidth="0" w:num="1">
            <w:col w:w="11420"/>
          </w:cols>
          <w:pgMar w:left="240" w:top="376" w:right="239" w:bottom="0" w:gutter="0" w:footer="0" w:header="0"/>
        </w:sectPr>
      </w:pPr>
    </w:p>
    <w:bookmarkStart w:id="7" w:name="page8"/>
    <w:bookmarkEnd w:id="7"/>
    <w:p>
      <w:pPr>
        <w:spacing w:after="0" w:line="37" w:lineRule="exact"/>
        <w:rPr>
          <w:sz w:val="20"/>
          <w:szCs w:val="20"/>
          <w:color w:val="auto"/>
        </w:rPr>
      </w:pPr>
    </w:p>
    <w:p>
      <w:pPr>
        <w:ind w:right="480"/>
        <w:spacing w:after="0" w:line="283" w:lineRule="auto"/>
        <w:rPr>
          <w:sz w:val="20"/>
          <w:szCs w:val="20"/>
          <w:color w:val="auto"/>
        </w:rPr>
      </w:pPr>
      <w:r>
        <w:rPr>
          <w:rFonts w:ascii="Arial" w:cs="Arial" w:eastAsia="Arial" w:hAnsi="Arial"/>
          <w:sz w:val="16"/>
          <w:szCs w:val="16"/>
          <w:color w:val="auto"/>
        </w:rPr>
        <w:t>such residence. Upon the resale of the residence, or within approximately 18 months of the termination of Mr. Carrig's employment with Heavenly LP, whichever is earlier, Heavenly LP is entitled to receive its proportionate share of the resale price of the residence, less certain deductions.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5"/>
          <w:szCs w:val="15"/>
          <w:color w:val="auto"/>
        </w:rPr>
        <w:t>Smith Creek Metropolitan District ("SCMD") and Bachelor Gulch Metropolitan District ("BGMD") were organized in November 1994 to cooperate in the financing, construction and operation of basic public infrastructure serving the Company's Bachelor Gulch Village development. SCMD was organized primarily to own, operate and maintain water, street, traffic and safety, transportation, fire protection, parks and recreation, television relay and translation, sanitation and certain other facilities and equipment of BGMD. BGMD collects property tax payments from the property owners within the Bachelor Gulch Village development and a capital improvement fee from the Company. A portion of those revenues is remitted to SCMD. SCMD is comprised of approximately 150 acres of open space land owned by the Company and members of the Board of Directors of the SCMD. In two planned unit developments, Eagle County has granted zoning approval for 1,395 dwelling units within Bachelor Gulch Village, including various single-fam ily homesites, cluster homes and townhomes, and lodging units. As of January 31, 2003, the Company has sold 108 single-family homesites and 22 parcels to developers for the construction of various types of dwelling units. Currently, SCMD has outstanding $27.9 million of variable rate revenue bonds maturing on October 1, 2035, which have been enhanced with a $29.6 million letter of credit issued against the Company's Credit Facility. The letter of credit was issued by the Company to facilitate the issuance of the variable rate revenue bonds. This letter of credit expires October 31, 2004. It is anticipated that as the Bachelor Gulch community expands, BGMD will become self supporting and that within 25 to 30 years will issue general obligation bonds, the proceeds of which will be used to retire the SCMD revenue bonds. Until that time, the Company has agreed to subsidize the interest payments on the SCMD revenue bonds. The Company has estimated the present value of this aggregate subsidy to be $14.9 million an d $14.8 million at January 31, 2003 and July 31, 2002, respectively, and has recorded the entire amount as a liability in the accompanying financial statements. The total subsidy incurred as of January 31, 2003 and 2002 was $10.6 million and $9.3 million, respectively.</w:t>
      </w:r>
    </w:p>
    <w:p>
      <w:pPr>
        <w:spacing w:after="0" w:line="126" w:lineRule="exact"/>
        <w:rPr>
          <w:sz w:val="20"/>
          <w:szCs w:val="20"/>
          <w:color w:val="auto"/>
        </w:rPr>
      </w:pPr>
    </w:p>
    <w:p>
      <w:pPr>
        <w:ind w:right="80"/>
        <w:spacing w:after="0" w:line="298" w:lineRule="auto"/>
        <w:rPr>
          <w:sz w:val="20"/>
          <w:szCs w:val="20"/>
          <w:color w:val="auto"/>
        </w:rPr>
      </w:pPr>
      <w:r>
        <w:rPr>
          <w:rFonts w:ascii="Arial" w:cs="Arial" w:eastAsia="Arial" w:hAnsi="Arial"/>
          <w:sz w:val="14"/>
          <w:szCs w:val="14"/>
          <w:color w:val="auto"/>
        </w:rPr>
        <w:t>Holland Creek Metropolitan District ("HCMD") and Red Sky Ranch Metropolitan District ("RSRMD") were organized in December 2000 to cooperate in the financing, construction and operation of basic public infrastructure serving the Company's Red Sky Ranch development. HCMD was organized primarily to own, operate and maintain water, street, traffic and safety, transportation, fire protection, parks and recreation, television relay and translation, sanitation and certain other facilities and equipment of RSRMD. RSRMD collects property tax payments from the property owners within the Red Sky Ranch development and a capital improvement fee from the Company. A portion of those revenues is remitted to SCMD. HCMD is comprised of approximately 150 acres of open space land owned by the Company and members of the Board of Directors of HCMD. In two planned unit developments, Eagle County has granted zoning approval for 87 dwelling units, two golf courses, and related facilities for the property within the districts. Sev en of the dwelling units are owned by a third party developer. The Company's current plans call for approximately 53 home sites to be sold over the next two years, and all 80 units to be constructed over the next eleven years. As of January 31, 2003, the Company has sold 42 of the 53 home sites, and has placed an additional 10 homesites under contract. Currently, HCMD has outstanding $12 million of variable rate revenue bonds maturing on June 1, 2041, which have been enhanced with a $12.1 million letter of credit issued against the Company's Credit Facility. The letter of credit was issued by the Company to facilitate the issuance of the variable rate revenue bonds. This letter of credit expires October 31, 2004. It is anticipated that, as Red Sky Ranch expands, RSRMD will become self supporting and that within 5 to 15 years it will issue general obligation bonds, the proceeds of which will be used to retire the HCMD revenue bonds. Until that time, the Company has agreed to subsidize the interest payments on the HCMD revenue bonds. The Company has estimated the present value of the aggregate subsidy to be $1.9 million at January 31, 2003 and July 31, 2002 and has recorded that amount as a liability in the accompanying financial statements. The total subsidy incurred as of January 31, 2003 and 2002 was $502,000 and $38,000, respectively.</w:t>
      </w:r>
    </w:p>
    <w:p>
      <w:pPr>
        <w:spacing w:after="0" w:line="115" w:lineRule="exact"/>
        <w:rPr>
          <w:sz w:val="20"/>
          <w:szCs w:val="20"/>
          <w:color w:val="auto"/>
        </w:rPr>
      </w:pPr>
    </w:p>
    <w:p>
      <w:pPr>
        <w:ind w:right="80"/>
        <w:spacing w:after="0" w:line="299" w:lineRule="auto"/>
        <w:rPr>
          <w:sz w:val="20"/>
          <w:szCs w:val="20"/>
          <w:color w:val="auto"/>
        </w:rPr>
      </w:pPr>
      <w:r>
        <w:rPr>
          <w:rFonts w:ascii="Arial" w:cs="Arial" w:eastAsia="Arial" w:hAnsi="Arial"/>
          <w:sz w:val="14"/>
          <w:szCs w:val="14"/>
          <w:color w:val="auto"/>
        </w:rPr>
        <w:t>The Company has ownership interests in four entities (BC Housing LLC, The Tarnes at BC, LLC, Tenderfoot Seasonal Housing, LLC and Breckenridge Terrace, LLC) which were formed to construct, own and operate employee housing facilities in exchange for rent payments from tenants in and around Beaver Creek, Keystone and Breckenridge. The Company's ownership interest in each entity ranges from 26% to 50%. The Company accounts for each of these investments under the equity method. Each entity has issued interest-only taxable bonds with weekly low-floater rates tied to LIBOR (the "Housing Bonds") in two series, Tranche A and Tranche B. The Housing Bonds do not have stated maturity dates. The Tranche A Housing Bonds have principal amounts which range from $5.7 million to $15 million ($37.8 million in aggregate), enhanced with letters of credit issued against the Company's Credit Facility in amounts ranging from $5.8 million to $15.2 million ($38.3 million in aggregate). The letters of credit were issued by the Com pany to facilitate the housing entities' ability to obtain external financing. Those letters of credit expire October 31, 2004. The Tranche B Housing Bonds range in principal amount from $1.5 million to $5.9 million ($14.8 million in aggregate) and are collateralized by the assets of the entities. The Company also has side-letters guaranteeing debt service of $13.3 million on the Tranche B Housing Bonds. $7.4 million of these side letters expire May 1, 2004 and $5.9 million of these side letters expire June 1, 2005. The proceeds of the Housing Bonds were used to construct the housing facilities. The housing facilities (except Breckenridge Terrace, LLC) are located on land owned by the Company which is leased to each respective entity. The Company has the right to rent a certain percentage of the units in the housing facilities to provide seasonal housing for its employees. In aggregate, the Company paid rents of $3.5 million and $3.1 million to the four entities for the six months ended January 31, 2003 and 2002, respectively.</w:t>
      </w:r>
    </w:p>
    <w:p>
      <w:pPr>
        <w:spacing w:after="0" w:line="1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which include certain indemnifications within the scope of FIN No. 45 under which it may be required to make payments in relation to certain transactions. These indemnities primarily include indemnities to licensees in connection with the licensees' use of the Company's trademarks and logos, indemnities for liabilities associated with the infringement of other parties' technology based upon the Company's software products and indemnities related to liabilities associated with the use of easements. The duration of these indemnities generally is indefinite. These indemnities also generally do not limit the future payments the Company could be obligated to make. The Company has not recorded any liability for these indemnities in the accompanying financial statements, either because the indemnification existed prior to January 1, 2003 and is therefore not subject to the measurement requirements o f FIN No. 45, or because the Company has calculated the fair value of the indemnification to be de minimus based upon the current facts and circumstances that would trigger a payment under the indemnification clause. The Company does, however, accrue for losses for any known contingent liability, including those that may arise from indemnification provisions, when future payment is probable and measurable.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At January 31, 2003 the Company had various other letters of credit outstanding in the aggregate amount of $9.2 million.</w:t>
      </w:r>
    </w:p>
    <w:p>
      <w:pPr>
        <w:spacing w:after="0" w:line="172" w:lineRule="exact"/>
        <w:rPr>
          <w:sz w:val="20"/>
          <w:szCs w:val="20"/>
          <w:color w:val="auto"/>
        </w:rPr>
      </w:pPr>
    </w:p>
    <w:p>
      <w:pPr>
        <w:ind w:right="140"/>
        <w:spacing w:after="0" w:line="288" w:lineRule="auto"/>
        <w:rPr>
          <w:sz w:val="20"/>
          <w:szCs w:val="20"/>
          <w:color w:val="auto"/>
        </w:rPr>
      </w:pPr>
      <w:r>
        <w:rPr>
          <w:rFonts w:ascii="Arial" w:cs="Arial" w:eastAsia="Arial" w:hAnsi="Arial"/>
          <w:sz w:val="15"/>
          <w:szCs w:val="15"/>
          <w:color w:val="auto"/>
        </w:rPr>
        <w:t>Certain subsidiaries of the Company are defendants in two related lawsuits filed in the United States District Court for the District of Wyoming. The case arises out of a carbon monoxide accident in a hotel room at the Snake River Lodge and Spa in Jackson Hole, Wyoming, resulting in the death of a doctor from North Carolina and the alleged injury to his wife. The accident occurred on August 2, 2001. The Snake River Lodge &amp; Spa is 51% owned by a subsidiary of the Company. One lawsuit is a wrongful death action on behalf of the estate of the deceased, and the other lawsuit is a personal injury action on the part of his wife.</w:t>
      </w:r>
    </w:p>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 First Amended Complaint was filed by the plaintiffs (the wife in the personal injury case, and the wife personally and on behalf of the estate of the deceased in the wrongful death suit) in both lawsuits in July 2002 naming as defendants JHL&amp;S, LLC d/b/a/ Snake River Lodge &amp; Spa, Teton Hospitality Services, Inc., Grand Teton Lodge Company and Vail Resorts Development Company, all subsidiaries of the Company. Also named as defendants are a plumbing company in Jackson, Wyoming and a general contractor based in Salt Lake City.</w:t>
      </w:r>
    </w:p>
    <w:p>
      <w:pPr>
        <w:spacing w:after="0" w:line="134"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The Complaints allege negligence and strict liability on the part of all and each of the defendants and seek damages, including exemplary and punitive damages, in amounts to be proven at trial. The trials (which may be consolidated) are set to begin in late November 2003. Discovery is underway in the matters, and scheduled to continue through spring or early summer 2003. The Company intends to defend the cases vigorously at trial. The Company anticipates that any damages arising out of the accident paid by the Company, excepting any amounts attributable to punitive damages, would be covered by insurance carried by the Company. However, the Company cannot predict the outcome of the cases at this time.</w:t>
      </w:r>
    </w:p>
    <w:p>
      <w:pPr>
        <w:spacing w:after="0" w:line="135"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Company is a party to various other lawsuits arising in the ordinary course of business. Management believes the Company has adequate insurance coverage and accrued loss contingencies for all matters and that, although the ultimate outcome of such claims cannot be ascertained, current pending and threatened claims are not expected to have a material adverse impact on the financial position, results of operations and cash flows of the Company.</w:t>
      </w:r>
    </w:p>
    <w:p>
      <w:pPr>
        <w:spacing w:after="0" w:line="131"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In February 2003, the SEC informed the Company that it has issued a formal order of investigation with respect to the Company. The inquiry relates to the Company's previous accounting treatment for recognizing revenue on initiation fees related to the sale of memberships in private member clubs (see Note 8, Restatements, of the Notes to the Consolidated Condensed Financial Statements). In October 2002, after voluntary consultation with the SEC staff on the appropriate accounting, the Company restated and reissued its historical financial statements for fiscal 1999-2001, reflecting a revision in the accounting for these club initiation fees. The Company is fully cooperating with the SEC. The Company expects no changes will be made as a result of this SEC inquiry to the Company's historical financial statements, as contained in the Company's Form 10-K/A for the year ended July 31, 2001, Form 10-K for the year ended July 31, 2002 and Form 10-Q for the quarter ended October 31, 2002.</w:t>
      </w:r>
    </w:p>
    <w:p>
      <w:pPr>
        <w:sectPr>
          <w:pgSz w:w="11900" w:h="16875" w:orient="portrait"/>
          <w:cols w:equalWidth="0" w:num="1">
            <w:col w:w="11440"/>
          </w:cols>
          <w:pgMar w:left="240" w:top="131" w:right="219" w:bottom="0" w:gutter="0" w:footer="0" w:header="0"/>
        </w:sectPr>
      </w:pPr>
    </w:p>
    <w:bookmarkStart w:id="8" w:name="page9"/>
    <w:bookmarkEnd w:id="8"/>
    <w:p>
      <w:pPr>
        <w:spacing w:after="0" w:line="4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Company has executed as lessee operating leases for the rental of office space, employee residential units and office equipment through fiscal 2008. For the six months ended January 31, 2003 and 2002, the Company recorded lease expense related to these agreements of $9.5 million and $9.4 million, respectively, which is included in the accompanying consolidated statements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these leases as of January 31, 2003 are as follows (in thousands):</w:t>
      </w:r>
    </w:p>
    <w:p>
      <w:pPr>
        <w:spacing w:after="0" w:line="222" w:lineRule="exact"/>
        <w:rPr>
          <w:sz w:val="20"/>
          <w:szCs w:val="20"/>
          <w:color w:val="auto"/>
        </w:rPr>
      </w:pPr>
    </w:p>
    <w:tbl>
      <w:tblPr>
        <w:tblLayout w:type="fixed"/>
        <w:tblInd w:w="4420" w:type="dxa"/>
        <w:tblCellMar>
          <w:top w:w="0" w:type="dxa"/>
          <w:left w:w="0" w:type="dxa"/>
          <w:bottom w:w="0" w:type="dxa"/>
          <w:right w:w="0" w:type="dxa"/>
        </w:tblCellMar>
      </w:tblPr>
      <w:tr>
        <w:trPr>
          <w:trHeight w:val="197"/>
        </w:trPr>
        <w:tc>
          <w:tcPr>
            <w:tcW w:w="1840" w:type="dxa"/>
            <w:vAlign w:val="bottom"/>
          </w:tcPr>
          <w:p>
            <w:pPr>
              <w:spacing w:after="0"/>
              <w:rPr>
                <w:sz w:val="20"/>
                <w:szCs w:val="20"/>
                <w:color w:val="auto"/>
              </w:rPr>
            </w:pPr>
            <w:r>
              <w:rPr>
                <w:rFonts w:ascii="Arial" w:cs="Arial" w:eastAsia="Arial" w:hAnsi="Arial"/>
                <w:sz w:val="16"/>
                <w:szCs w:val="16"/>
                <w:color w:val="auto"/>
              </w:rPr>
              <w:t>Due during fiscal years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04"/>
        </w:trPr>
        <w:tc>
          <w:tcPr>
            <w:tcW w:w="1840" w:type="dxa"/>
            <w:vAlign w:val="bottom"/>
          </w:tcPr>
          <w:p>
            <w:pPr>
              <w:spacing w:after="0"/>
              <w:rPr>
                <w:sz w:val="20"/>
                <w:szCs w:val="20"/>
                <w:color w:val="auto"/>
              </w:rPr>
            </w:pPr>
            <w:r>
              <w:rPr>
                <w:rFonts w:ascii="Arial" w:cs="Arial" w:eastAsia="Arial" w:hAnsi="Arial"/>
                <w:sz w:val="16"/>
                <w:szCs w:val="16"/>
                <w:color w:val="auto"/>
              </w:rPr>
              <w:t>ending July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21"/>
        </w:trPr>
        <w:tc>
          <w:tcPr>
            <w:tcW w:w="1840" w:type="dxa"/>
            <w:vAlign w:val="bottom"/>
          </w:tcPr>
          <w:p>
            <w:pPr>
              <w:spacing w:after="0"/>
              <w:rPr>
                <w:sz w:val="20"/>
                <w:szCs w:val="20"/>
                <w:color w:val="auto"/>
              </w:rPr>
            </w:pPr>
            <w:r>
              <w:rPr>
                <w:rFonts w:ascii="Arial" w:cs="Arial" w:eastAsia="Arial" w:hAnsi="Arial"/>
                <w:sz w:val="16"/>
                <w:szCs w:val="16"/>
                <w:color w:val="auto"/>
              </w:rPr>
              <w:t>2003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8,396</w:t>
            </w:r>
          </w:p>
        </w:tc>
      </w:tr>
      <w:tr>
        <w:trPr>
          <w:trHeight w:val="221"/>
        </w:trPr>
        <w:tc>
          <w:tcPr>
            <w:tcW w:w="1840" w:type="dxa"/>
            <w:vAlign w:val="bottom"/>
          </w:tcPr>
          <w:p>
            <w:pPr>
              <w:spacing w:after="0"/>
              <w:rPr>
                <w:sz w:val="20"/>
                <w:szCs w:val="20"/>
                <w:color w:val="auto"/>
              </w:rPr>
            </w:pPr>
            <w:r>
              <w:rPr>
                <w:rFonts w:ascii="Arial" w:cs="Arial" w:eastAsia="Arial" w:hAnsi="Arial"/>
                <w:sz w:val="16"/>
                <w:szCs w:val="16"/>
                <w:color w:val="auto"/>
              </w:rPr>
              <w:t>2004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6,050</w:t>
            </w:r>
          </w:p>
        </w:tc>
      </w:tr>
      <w:tr>
        <w:trPr>
          <w:trHeight w:val="221"/>
        </w:trPr>
        <w:tc>
          <w:tcPr>
            <w:tcW w:w="1840" w:type="dxa"/>
            <w:vAlign w:val="bottom"/>
          </w:tcPr>
          <w:p>
            <w:pPr>
              <w:spacing w:after="0"/>
              <w:rPr>
                <w:sz w:val="20"/>
                <w:szCs w:val="20"/>
                <w:color w:val="auto"/>
              </w:rPr>
            </w:pPr>
            <w:r>
              <w:rPr>
                <w:rFonts w:ascii="Arial" w:cs="Arial" w:eastAsia="Arial" w:hAnsi="Arial"/>
                <w:sz w:val="16"/>
                <w:szCs w:val="16"/>
                <w:color w:val="auto"/>
              </w:rPr>
              <w:t>2005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5,133</w:t>
            </w:r>
          </w:p>
        </w:tc>
      </w:tr>
      <w:tr>
        <w:trPr>
          <w:trHeight w:val="221"/>
        </w:trPr>
        <w:tc>
          <w:tcPr>
            <w:tcW w:w="1840" w:type="dxa"/>
            <w:vAlign w:val="bottom"/>
          </w:tcPr>
          <w:p>
            <w:pPr>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4,781</w:t>
            </w:r>
          </w:p>
        </w:tc>
      </w:tr>
      <w:tr>
        <w:trPr>
          <w:trHeight w:val="221"/>
        </w:trPr>
        <w:tc>
          <w:tcPr>
            <w:tcW w:w="1840" w:type="dxa"/>
            <w:vAlign w:val="bottom"/>
          </w:tcPr>
          <w:p>
            <w:pPr>
              <w:spacing w:after="0"/>
              <w:rPr>
                <w:sz w:val="20"/>
                <w:szCs w:val="20"/>
                <w:color w:val="auto"/>
              </w:rPr>
            </w:pPr>
            <w:r>
              <w:rPr>
                <w:rFonts w:ascii="Arial" w:cs="Arial" w:eastAsia="Arial" w:hAnsi="Arial"/>
                <w:sz w:val="16"/>
                <w:szCs w:val="16"/>
                <w:color w:val="auto"/>
              </w:rPr>
              <w:t>2007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3,740</w:t>
            </w:r>
          </w:p>
        </w:tc>
      </w:tr>
      <w:tr>
        <w:trPr>
          <w:trHeight w:val="186"/>
        </w:trPr>
        <w:tc>
          <w:tcPr>
            <w:tcW w:w="1840" w:type="dxa"/>
            <w:vAlign w:val="bottom"/>
          </w:tcPr>
          <w:p>
            <w:pPr>
              <w:spacing w:after="0"/>
              <w:rPr>
                <w:sz w:val="20"/>
                <w:szCs w:val="20"/>
                <w:color w:val="auto"/>
              </w:rPr>
            </w:pPr>
            <w:r>
              <w:rPr>
                <w:rFonts w:ascii="Arial" w:cs="Arial" w:eastAsia="Arial" w:hAnsi="Arial"/>
                <w:sz w:val="16"/>
                <w:szCs w:val="16"/>
                <w:color w:val="auto"/>
              </w:rPr>
              <w:t>Thereafter</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19,389</w:t>
            </w:r>
          </w:p>
        </w:tc>
      </w:tr>
      <w:tr>
        <w:trPr>
          <w:trHeight w:val="201"/>
        </w:trPr>
        <w:tc>
          <w:tcPr>
            <w:tcW w:w="1840" w:type="dxa"/>
            <w:vAlign w:val="bottom"/>
          </w:tcPr>
          <w:p>
            <w:pPr>
              <w:ind w:left="480"/>
              <w:spacing w:after="0"/>
              <w:rPr>
                <w:sz w:val="20"/>
                <w:szCs w:val="20"/>
                <w:color w:val="auto"/>
              </w:rPr>
            </w:pPr>
            <w:r>
              <w:rPr>
                <w:rFonts w:ascii="Arial" w:cs="Arial" w:eastAsia="Arial" w:hAnsi="Arial"/>
                <w:sz w:val="16"/>
                <w:szCs w:val="16"/>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47,489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8. Restatements</w:t>
      </w:r>
    </w:p>
    <w:p>
      <w:pPr>
        <w:spacing w:after="0" w:line="21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As previously announced, the Company changed its method of revenue recognition for private club membership initiation fees from an immediate-recognition basis to a deferred basis. The Company is now deferring membership initiation fee revenue over the estimated life of the club facilities, which the Company has estimated to be 30 years. In addition, as noted in the Company's Form 10-K for the year ended July 31, 2002, the Company recorded a goodwill impairment loss of $1.7 million, net of taxes, in connection with the adoption of SFAS No. 142, "Goodwill and Other Intangible Assets". The impairment was recorded as a cumulative effect of a change in accounting principle in the three months ended October 31, 2001.</w:t>
      </w:r>
    </w:p>
    <w:p>
      <w:pPr>
        <w:spacing w:after="0" w:line="172" w:lineRule="exact"/>
        <w:rPr>
          <w:sz w:val="20"/>
          <w:szCs w:val="20"/>
          <w:color w:val="auto"/>
        </w:rPr>
      </w:pPr>
    </w:p>
    <w:p>
      <w:pPr>
        <w:ind w:right="40"/>
        <w:spacing w:after="0" w:line="288" w:lineRule="auto"/>
        <w:rPr>
          <w:sz w:val="20"/>
          <w:szCs w:val="20"/>
          <w:color w:val="auto"/>
        </w:rPr>
      </w:pPr>
      <w:r>
        <w:rPr>
          <w:rFonts w:ascii="Arial" w:cs="Arial" w:eastAsia="Arial" w:hAnsi="Arial"/>
          <w:sz w:val="15"/>
          <w:szCs w:val="15"/>
          <w:color w:val="auto"/>
        </w:rPr>
        <w:t>For a comparison of the originally reported quarterly statement of operations data for the three and six months ended January 31, 2002 and the restated quarterly statement of operations data for the same period, refer to the Company's Form 10-K for the year ended July 31, 2002. The restatement created no adjustments to the Consolidated Condensed Statement of Cash Flows for the six months ended January 31, 2002 included in this Form 10-Q. The following table presents a comparison of the quarterly statement of financial position data as reported in the January 31, 2002 Form 10-Q to the Company's current presentation:</w:t>
      </w:r>
    </w:p>
    <w:p>
      <w:pPr>
        <w:spacing w:after="0" w:line="164" w:lineRule="exact"/>
        <w:rPr>
          <w:sz w:val="20"/>
          <w:szCs w:val="20"/>
          <w:color w:val="auto"/>
        </w:rPr>
      </w:pPr>
    </w:p>
    <w:tbl>
      <w:tblPr>
        <w:tblLayout w:type="fixed"/>
        <w:tblInd w:w="2960" w:type="dxa"/>
        <w:tblCellMar>
          <w:top w:w="0" w:type="dxa"/>
          <w:left w:w="0" w:type="dxa"/>
          <w:bottom w:w="0" w:type="dxa"/>
          <w:right w:w="0" w:type="dxa"/>
        </w:tblCellMar>
      </w:tblPr>
      <w:tr>
        <w:trPr>
          <w:trHeight w:val="160"/>
        </w:trPr>
        <w:tc>
          <w:tcPr>
            <w:tcW w:w="2460" w:type="dxa"/>
            <w:vAlign w:val="bottom"/>
          </w:tcPr>
          <w:p>
            <w:pPr>
              <w:spacing w:after="0"/>
              <w:rPr>
                <w:sz w:val="20"/>
                <w:szCs w:val="20"/>
                <w:color w:val="auto"/>
              </w:rPr>
            </w:pPr>
            <w:r>
              <w:rPr>
                <w:rFonts w:ascii="Arial" w:cs="Arial" w:eastAsia="Arial" w:hAnsi="Arial"/>
                <w:sz w:val="12"/>
                <w:szCs w:val="12"/>
                <w:b w:val="1"/>
                <w:bCs w:val="1"/>
                <w:color w:val="auto"/>
              </w:rPr>
              <w:t>Balance Sheet: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5"/>
          </w:tcPr>
          <w:p>
            <w:pPr>
              <w:jc w:val="right"/>
              <w:ind w:right="80"/>
              <w:spacing w:after="0"/>
              <w:rPr>
                <w:sz w:val="20"/>
                <w:szCs w:val="20"/>
                <w:color w:val="auto"/>
              </w:rPr>
            </w:pPr>
            <w:r>
              <w:rPr>
                <w:rFonts w:ascii="Arial" w:cs="Arial" w:eastAsia="Arial" w:hAnsi="Arial"/>
                <w:sz w:val="12"/>
                <w:szCs w:val="12"/>
                <w:b w:val="1"/>
                <w:bCs w:val="1"/>
                <w:color w:val="auto"/>
                <w:w w:val="97"/>
              </w:rPr>
              <w:t>As of January 31, 2002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46"/>
        </w:trPr>
        <w:tc>
          <w:tcPr>
            <w:tcW w:w="2460" w:type="dxa"/>
            <w:vAlign w:val="bottom"/>
          </w:tcPr>
          <w:p>
            <w:pPr>
              <w:spacing w:after="0"/>
              <w:rPr>
                <w:sz w:val="21"/>
                <w:szCs w:val="21"/>
                <w:color w:val="auto"/>
              </w:rPr>
            </w:pPr>
          </w:p>
        </w:tc>
        <w:tc>
          <w:tcPr>
            <w:tcW w:w="1320" w:type="dxa"/>
            <w:vAlign w:val="bottom"/>
            <w:gridSpan w:val="4"/>
          </w:tcPr>
          <w:p>
            <w:pPr>
              <w:jc w:val="right"/>
              <w:ind w:right="239"/>
              <w:spacing w:after="0"/>
              <w:rPr>
                <w:sz w:val="20"/>
                <w:szCs w:val="20"/>
                <w:color w:val="auto"/>
              </w:rPr>
            </w:pPr>
            <w:r>
              <w:rPr>
                <w:rFonts w:ascii="Arial" w:cs="Arial" w:eastAsia="Arial" w:hAnsi="Arial"/>
                <w:sz w:val="12"/>
                <w:szCs w:val="12"/>
                <w:b w:val="1"/>
                <w:bCs w:val="1"/>
                <w:color w:val="auto"/>
              </w:rPr>
              <w:t>Previously</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As</w:t>
            </w:r>
          </w:p>
        </w:tc>
        <w:tc>
          <w:tcPr>
            <w:tcW w:w="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86"/>
              </w:rPr>
              <w:t>Percent</w:t>
            </w:r>
          </w:p>
        </w:tc>
      </w:tr>
      <w:tr>
        <w:trPr>
          <w:trHeight w:val="222"/>
        </w:trPr>
        <w:tc>
          <w:tcPr>
            <w:tcW w:w="2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Reported</w:t>
            </w:r>
          </w:p>
        </w:tc>
        <w:tc>
          <w:tcPr>
            <w:tcW w:w="102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rPr>
              <w:t>Restated</w:t>
            </w:r>
          </w:p>
        </w:tc>
        <w:tc>
          <w:tcPr>
            <w:tcW w:w="70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Change</w:t>
            </w:r>
          </w:p>
        </w:tc>
      </w:tr>
      <w:tr>
        <w:trPr>
          <w:trHeight w:val="20"/>
        </w:trPr>
        <w:tc>
          <w:tcPr>
            <w:tcW w:w="2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64"/>
        </w:trPr>
        <w:tc>
          <w:tcPr>
            <w:tcW w:w="2460" w:type="dxa"/>
            <w:vAlign w:val="bottom"/>
          </w:tcPr>
          <w:p>
            <w:pPr>
              <w:spacing w:after="0"/>
              <w:rPr>
                <w:sz w:val="20"/>
                <w:szCs w:val="20"/>
                <w:color w:val="auto"/>
              </w:rPr>
            </w:pPr>
            <w:r>
              <w:rPr>
                <w:rFonts w:ascii="Arial" w:cs="Arial" w:eastAsia="Arial" w:hAnsi="Arial"/>
                <w:sz w:val="12"/>
                <w:szCs w:val="12"/>
                <w:color w:val="auto"/>
              </w:rPr>
              <w:t>Other current assets</w:t>
            </w:r>
          </w:p>
        </w:tc>
        <w:tc>
          <w:tcPr>
            <w:tcW w:w="64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19,824</w:t>
            </w:r>
          </w:p>
        </w:tc>
        <w:tc>
          <w:tcPr>
            <w:tcW w:w="2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24,310</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22.7%</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779,711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788,795</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1.2%</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Other current assets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19,824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24,310</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22.7%</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Goodwill, net</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135,097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132,342</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2.1%</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Other assets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53,841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47,433</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(11.9%)</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Total assets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1,327,525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1,331,932</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0.3%</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Accounts payable and accrued expenses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182,521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170,995</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(6.3%)</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Total current liabilities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185,882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174,356</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(6.2%)</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Other long term liabilities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27,909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80,670</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189.0%</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Deferred income taxes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100,866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88,705</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(12.1%)</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Deferred compensation</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(1,840)</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(100.0%)</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Retained earnings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106,059</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80,606</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(24.0%)</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517,492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492,825</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(4.8%)</w:t>
            </w:r>
          </w:p>
        </w:tc>
      </w:tr>
      <w:tr>
        <w:trPr>
          <w:trHeight w:val="160"/>
        </w:trPr>
        <w:tc>
          <w:tcPr>
            <w:tcW w:w="2460" w:type="dxa"/>
            <w:vAlign w:val="bottom"/>
          </w:tcPr>
          <w:p>
            <w:pPr>
              <w:spacing w:after="0"/>
              <w:rPr>
                <w:sz w:val="20"/>
                <w:szCs w:val="20"/>
                <w:color w:val="auto"/>
              </w:rPr>
            </w:pPr>
            <w:r>
              <w:rPr>
                <w:rFonts w:ascii="Arial" w:cs="Arial" w:eastAsia="Arial" w:hAnsi="Arial"/>
                <w:sz w:val="12"/>
                <w:szCs w:val="12"/>
                <w:color w:val="auto"/>
              </w:rPr>
              <w:t>Total liabilities and stockholders' equity</w:t>
            </w:r>
          </w:p>
        </w:tc>
        <w:tc>
          <w:tcPr>
            <w:tcW w:w="64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39"/>
              <w:spacing w:after="0"/>
              <w:rPr>
                <w:sz w:val="20"/>
                <w:szCs w:val="20"/>
                <w:color w:val="auto"/>
              </w:rPr>
            </w:pPr>
            <w:r>
              <w:rPr>
                <w:rFonts w:ascii="Arial" w:cs="Arial" w:eastAsia="Arial" w:hAnsi="Arial"/>
                <w:sz w:val="12"/>
                <w:szCs w:val="12"/>
                <w:color w:val="auto"/>
              </w:rPr>
              <w:t>1,327,525</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1,331,932</w:t>
            </w: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Guarantor Subsidiaries and Non-Guarantor Subsidiaries</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The Company's payment obligations under the 8.75% Senior Subordinated Notes due 2009 (see Note 4), are fully and unconditionally guaranteed on a joint and several, senior subordinated basis by substantially all of the Company's consolidated subsidiaries (collectively, and excluding Non-Guarantor Subsidiaries (as defined below), the "Guarantor Subsidiaries") except for Boulder/Beaver LLC, Colter Bay Corporation, Eagle Park Reservoir Company, Forest Ridge Holdings, Inc., Gros Ventre Utility Company, Jackson Lake Lodge Corporation, Jenny Lake Lodge, Inc., Mountain Thunder, Inc., Timber Trail, Inc., Resort Technology Partners, LLC, RT Partners, Inc., SSV, Vail Associates Investments, Inc., and VR Holdings, Inc. (together, the "Non-Guarantor Subsidiaries").</w:t>
      </w:r>
    </w:p>
    <w:p>
      <w:pPr>
        <w:spacing w:after="0" w:line="135" w:lineRule="exact"/>
        <w:rPr>
          <w:sz w:val="20"/>
          <w:szCs w:val="20"/>
          <w:color w:val="auto"/>
        </w:rPr>
      </w:pPr>
    </w:p>
    <w:p>
      <w:pPr>
        <w:ind w:right="80"/>
        <w:spacing w:after="0" w:line="281" w:lineRule="auto"/>
        <w:rPr>
          <w:sz w:val="20"/>
          <w:szCs w:val="20"/>
          <w:color w:val="auto"/>
        </w:rPr>
      </w:pPr>
      <w:r>
        <w:rPr>
          <w:rFonts w:ascii="Arial" w:cs="Arial" w:eastAsia="Arial" w:hAnsi="Arial"/>
          <w:sz w:val="15"/>
          <w:szCs w:val="15"/>
          <w:color w:val="auto"/>
        </w:rPr>
        <w:t>Presented below is the consolidated condensed financial information of Vail Resorts, Inc. (the "Parent Company"), the Guarantor Subsidiaries and the Non-Guarantor Subsidiaries. Financial information for Larkspur Restaurant &amp; Bar, LLC ("Larkspur"), RockResorts and JHL&amp;S, LLC ("JHL&amp;S") are presented separately as the Company owns less than 100% of these Guarantor Subsidiaries. In 2002, Boulder/Beaver LLC, Resort Technology Partners, LLC and RT Partners, Inc are presented with Non-Guarantor Subsidiaries; in prior years they were presented with Guarantor Subsidiaries. In 2003, Mountain Thunder, Inc., Timber Trail, Inc., and Forest Ridge Holdings, Inc. are presented with Non-Guarantor Subsidiaries; in prior years they were presented with Guarantor Subsidiaries. Financial information for the Non-Guarantor subsidiaries is presented in the column titled "Other Subsidiaries". Balance sheet data is presented as of January 31, 2003, July 31, 2002, and January 31, 2002. Statement of operations and stateme nt of cash flows data are presented for the six months ended January 31, 2003 and 2002.</w:t>
      </w:r>
    </w:p>
    <w:p>
      <w:pPr>
        <w:spacing w:after="0" w:line="123"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Investments in subsidiaries are accounted for by the Parent Company and Guarantor Subsidiaries using the equity method of accounting. Net income (loss) of Guarantor and Non-Guarantor Subsidiaries is, therefore, reflected in the Parent Company's and Guarantor Subsidiaries' investments in and advances to (from) subsidiaries. Net income (loss) of the Guarantor and Non-Guarantor Subsidiaries is reflected in Guarantor Subsidiaries and Parent Company as equity in consolidated subsidiaries. The elimination entries eliminate investments in Other Subsidiaries and intercompany balances and transactions for consolidated reporting purposes.</w:t>
      </w:r>
    </w:p>
    <w:p>
      <w:pPr>
        <w:spacing w:after="0" w:line="139"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Supplemental Condensed Consolidating Balance Sheet</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As of January 31, 2003</w:t>
      </w:r>
    </w:p>
    <w:p>
      <w:pPr>
        <w:spacing w:after="0" w:line="46"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auto"/>
        </w:rPr>
        <w:t>(in thousands)</w:t>
      </w:r>
    </w:p>
    <w:p>
      <w:pPr>
        <w:spacing w:after="0" w:line="36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Parent</w:t>
            </w:r>
          </w:p>
        </w:tc>
        <w:tc>
          <w:tcPr>
            <w:tcW w:w="260" w:type="dxa"/>
            <w:vAlign w:val="bottom"/>
          </w:tcPr>
          <w:p>
            <w:pPr>
              <w:spacing w:after="0"/>
              <w:rPr>
                <w:sz w:val="11"/>
                <w:szCs w:val="11"/>
                <w:color w:val="auto"/>
              </w:rPr>
            </w:pPr>
          </w:p>
        </w:tc>
        <w:tc>
          <w:tcPr>
            <w:tcW w:w="1340" w:type="dxa"/>
            <w:vAlign w:val="bottom"/>
            <w:gridSpan w:val="7"/>
          </w:tcPr>
          <w:p>
            <w:pPr>
              <w:jc w:val="center"/>
              <w:ind w:right="180"/>
              <w:spacing w:after="0"/>
              <w:rPr>
                <w:sz w:val="20"/>
                <w:szCs w:val="20"/>
                <w:color w:val="auto"/>
              </w:rPr>
            </w:pPr>
            <w:r>
              <w:rPr>
                <w:rFonts w:ascii="Arial" w:cs="Arial" w:eastAsia="Arial" w:hAnsi="Arial"/>
                <w:sz w:val="12"/>
                <w:szCs w:val="12"/>
                <w:b w:val="1"/>
                <w:bCs w:val="1"/>
                <w:color w:val="auto"/>
                <w:w w:val="97"/>
              </w:rPr>
              <w:t>100% Owned</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3"/>
          </w:tcPr>
          <w:p>
            <w:pPr>
              <w:jc w:val="center"/>
              <w:ind w:right="80"/>
              <w:spacing w:after="0" w:line="115" w:lineRule="exact"/>
              <w:rPr>
                <w:sz w:val="20"/>
                <w:szCs w:val="20"/>
                <w:color w:val="auto"/>
              </w:rPr>
            </w:pPr>
            <w:r>
              <w:rPr>
                <w:rFonts w:ascii="Arial" w:cs="Arial" w:eastAsia="Arial" w:hAnsi="Arial"/>
                <w:sz w:val="12"/>
                <w:szCs w:val="12"/>
                <w:b w:val="1"/>
                <w:bCs w:val="1"/>
                <w:color w:val="auto"/>
                <w:w w:val="96"/>
              </w:rPr>
              <w:t>Guarantor</w:t>
            </w:r>
          </w:p>
        </w:tc>
        <w:tc>
          <w:tcPr>
            <w:tcW w:w="400" w:type="dxa"/>
            <w:vAlign w:val="bottom"/>
          </w:tcPr>
          <w:p>
            <w:pPr>
              <w:spacing w:after="0"/>
              <w:rPr>
                <w:sz w:val="10"/>
                <w:szCs w:val="10"/>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JHL&amp;S</w:t>
            </w:r>
          </w:p>
        </w:tc>
        <w:tc>
          <w:tcPr>
            <w:tcW w:w="280" w:type="dxa"/>
            <w:vAlign w:val="bottom"/>
            <w:vMerge w:val="restart"/>
          </w:tcPr>
          <w:p>
            <w:pPr>
              <w:spacing w:after="0"/>
              <w:rPr>
                <w:sz w:val="10"/>
                <w:szCs w:val="10"/>
                <w:color w:val="auto"/>
              </w:rPr>
            </w:pPr>
          </w:p>
        </w:tc>
        <w:tc>
          <w:tcPr>
            <w:tcW w:w="180" w:type="dxa"/>
            <w:vAlign w:val="bottom"/>
            <w:vMerge w:val="restart"/>
          </w:tcPr>
          <w:p>
            <w:pPr>
              <w:spacing w:after="0"/>
              <w:rPr>
                <w:sz w:val="10"/>
                <w:szCs w:val="10"/>
                <w:color w:val="auto"/>
              </w:rPr>
            </w:pP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w w:val="89"/>
              </w:rPr>
              <w:t>RockResorts</w:t>
            </w:r>
          </w:p>
        </w:tc>
        <w:tc>
          <w:tcPr>
            <w:tcW w:w="420" w:type="dxa"/>
            <w:vAlign w:val="bottom"/>
            <w:vMerge w:val="restart"/>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2"/>
                <w:szCs w:val="12"/>
                <w:b w:val="1"/>
                <w:bCs w:val="1"/>
                <w:color w:val="auto"/>
                <w:w w:val="93"/>
              </w:rPr>
              <w:t>Larkspur</w:t>
            </w:r>
          </w:p>
        </w:tc>
        <w:tc>
          <w:tcPr>
            <w:tcW w:w="11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w w:val="99"/>
              </w:rPr>
              <w:t>Other Subsidiaries</w:t>
            </w:r>
          </w:p>
        </w:tc>
        <w:tc>
          <w:tcPr>
            <w:tcW w:w="11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Eliminating Entries</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115"/>
        </w:trPr>
        <w:tc>
          <w:tcPr>
            <w:tcW w:w="3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0"/>
              </w:rPr>
              <w:t>Company</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78"/>
              </w:rPr>
              <w:t>Subsidiaries</w:t>
            </w:r>
          </w:p>
        </w:tc>
        <w:tc>
          <w:tcPr>
            <w:tcW w:w="4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420" w:type="dxa"/>
            <w:vAlign w:val="bottom"/>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240" w:type="dxa"/>
            <w:vAlign w:val="bottom"/>
          </w:tcPr>
          <w:p>
            <w:pPr>
              <w:spacing w:after="0"/>
              <w:rPr>
                <w:sz w:val="20"/>
                <w:szCs w:val="20"/>
                <w:color w:val="auto"/>
              </w:rPr>
            </w:pPr>
            <w:r>
              <w:rPr>
                <w:rFonts w:ascii="Arial" w:cs="Arial" w:eastAsia="Arial" w:hAnsi="Arial"/>
                <w:sz w:val="12"/>
                <w:szCs w:val="12"/>
                <w:color w:val="auto"/>
              </w:rPr>
              <w:t>Current assets:</w:t>
            </w:r>
          </w:p>
        </w:tc>
        <w:tc>
          <w:tcPr>
            <w:tcW w:w="500" w:type="dxa"/>
            <w:vAlign w:val="bottom"/>
            <w:tcBorders>
              <w:top w:val="single" w:sz="8" w:color="auto"/>
            </w:tcBorders>
            <w:gridSpan w:val="3"/>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740" w:type="dxa"/>
            <w:vAlign w:val="bottom"/>
            <w:gridSpan w:val="4"/>
          </w:tcPr>
          <w:p>
            <w:pPr>
              <w:spacing w:after="0"/>
              <w:rPr>
                <w:sz w:val="20"/>
                <w:szCs w:val="20"/>
                <w:color w:val="auto"/>
              </w:rPr>
            </w:pPr>
            <w:r>
              <w:rPr>
                <w:rFonts w:ascii="Arial" w:cs="Arial" w:eastAsia="Arial" w:hAnsi="Arial"/>
                <w:sz w:val="12"/>
                <w:szCs w:val="12"/>
                <w:color w:val="auto"/>
              </w:rPr>
              <w:t>Cash and cash equivalents</w:t>
            </w:r>
          </w:p>
        </w:tc>
        <w:tc>
          <w:tcPr>
            <w:tcW w:w="260" w:type="dxa"/>
            <w:vAlign w:val="bottom"/>
          </w:tcPr>
          <w:p>
            <w:pPr>
              <w:jc w:val="right"/>
              <w:ind w:right="139"/>
              <w:spacing w:after="0"/>
              <w:rPr>
                <w:sz w:val="20"/>
                <w:szCs w:val="20"/>
                <w:color w:val="auto"/>
              </w:rPr>
            </w:pPr>
            <w:r>
              <w:rPr>
                <w:rFonts w:ascii="Arial" w:cs="Arial" w:eastAsia="Arial" w:hAnsi="Arial"/>
                <w:sz w:val="12"/>
                <w:szCs w:val="12"/>
                <w:color w:val="auto"/>
                <w:w w:val="98"/>
              </w:rPr>
              <w:t>-</w:t>
            </w:r>
          </w:p>
        </w:tc>
        <w:tc>
          <w:tcPr>
            <w:tcW w:w="1340" w:type="dxa"/>
            <w:vAlign w:val="bottom"/>
            <w:gridSpan w:val="7"/>
          </w:tcPr>
          <w:p>
            <w:pPr>
              <w:jc w:val="right"/>
              <w:ind w:right="280"/>
              <w:spacing w:after="0"/>
              <w:rPr>
                <w:sz w:val="20"/>
                <w:szCs w:val="20"/>
                <w:color w:val="auto"/>
              </w:rPr>
            </w:pPr>
            <w:r>
              <w:rPr>
                <w:rFonts w:ascii="Arial" w:cs="Arial" w:eastAsia="Arial" w:hAnsi="Arial"/>
                <w:sz w:val="12"/>
                <w:szCs w:val="12"/>
                <w:color w:val="auto"/>
              </w:rPr>
              <w:t>21,789</w:t>
            </w:r>
          </w:p>
        </w:tc>
        <w:tc>
          <w:tcPr>
            <w:tcW w:w="700" w:type="dxa"/>
            <w:vAlign w:val="bottom"/>
            <w:gridSpan w:val="2"/>
          </w:tcPr>
          <w:p>
            <w:pPr>
              <w:jc w:val="right"/>
              <w:ind w:right="180"/>
              <w:spacing w:after="0"/>
              <w:rPr>
                <w:sz w:val="20"/>
                <w:szCs w:val="20"/>
                <w:color w:val="auto"/>
              </w:rPr>
            </w:pPr>
            <w:r>
              <w:rPr>
                <w:rFonts w:ascii="Arial" w:cs="Arial" w:eastAsia="Arial" w:hAnsi="Arial"/>
                <w:sz w:val="12"/>
                <w:szCs w:val="12"/>
                <w:color w:val="auto"/>
              </w:rPr>
              <w:t>875</w:t>
            </w:r>
          </w:p>
        </w:tc>
        <w:tc>
          <w:tcPr>
            <w:tcW w:w="128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2"/>
                <w:szCs w:val="12"/>
                <w:color w:val="auto"/>
              </w:rPr>
              <w:t>78</w:t>
            </w:r>
          </w:p>
        </w:tc>
        <w:tc>
          <w:tcPr>
            <w:tcW w:w="1080" w:type="dxa"/>
            <w:vAlign w:val="bottom"/>
            <w:gridSpan w:val="2"/>
          </w:tcPr>
          <w:p>
            <w:pPr>
              <w:jc w:val="right"/>
              <w:ind w:right="60"/>
              <w:spacing w:after="0"/>
              <w:rPr>
                <w:sz w:val="20"/>
                <w:szCs w:val="20"/>
                <w:color w:val="auto"/>
              </w:rPr>
            </w:pPr>
            <w:r>
              <w:rPr>
                <w:rFonts w:ascii="Arial" w:cs="Arial" w:eastAsia="Arial" w:hAnsi="Arial"/>
                <w:sz w:val="12"/>
                <w:szCs w:val="12"/>
                <w:color w:val="auto"/>
              </w:rPr>
              <w:t>1,948</w:t>
            </w:r>
          </w:p>
        </w:tc>
        <w:tc>
          <w:tcPr>
            <w:tcW w:w="100" w:type="dxa"/>
            <w:vAlign w:val="bottom"/>
          </w:tcPr>
          <w:p>
            <w:pPr>
              <w:spacing w:after="0"/>
              <w:rPr>
                <w:sz w:val="16"/>
                <w:szCs w:val="16"/>
                <w:color w:val="auto"/>
              </w:rPr>
            </w:pPr>
          </w:p>
        </w:tc>
        <w:tc>
          <w:tcPr>
            <w:tcW w:w="1040" w:type="dxa"/>
            <w:vAlign w:val="bottom"/>
          </w:tcPr>
          <w:p>
            <w:pPr>
              <w:jc w:val="right"/>
              <w:ind w:right="39"/>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2"/>
                <w:szCs w:val="12"/>
                <w:color w:val="auto"/>
              </w:rPr>
              <w:t>24,690</w:t>
            </w:r>
          </w:p>
        </w:tc>
        <w:tc>
          <w:tcPr>
            <w:tcW w:w="0" w:type="dxa"/>
            <w:vAlign w:val="bottom"/>
          </w:tcPr>
          <w:p>
            <w:pPr>
              <w:spacing w:after="0"/>
              <w:rPr>
                <w:sz w:val="1"/>
                <w:szCs w:val="1"/>
                <w:color w:val="auto"/>
              </w:rPr>
            </w:pPr>
          </w:p>
        </w:tc>
      </w:tr>
    </w:tbl>
    <w:p>
      <w:pPr>
        <w:sectPr>
          <w:pgSz w:w="11900" w:h="16884" w:orient="portrait"/>
          <w:cols w:equalWidth="0" w:num="1">
            <w:col w:w="11420"/>
          </w:cols>
          <w:pgMar w:left="240" w:top="131"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00" w:type="dxa"/>
            <w:vAlign w:val="bottom"/>
          </w:tcPr>
          <w:p>
            <w:pPr>
              <w:spacing w:after="0"/>
              <w:rPr>
                <w:sz w:val="20"/>
                <w:szCs w:val="20"/>
                <w:color w:val="auto"/>
              </w:rPr>
            </w:pPr>
            <w:r>
              <w:rPr>
                <w:rFonts w:ascii="Arial" w:cs="Arial" w:eastAsia="Arial" w:hAnsi="Arial"/>
                <w:sz w:val="12"/>
                <w:szCs w:val="12"/>
                <w:color w:val="auto"/>
              </w:rPr>
              <w:t>Receivables, net</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37,039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640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171</w:t>
            </w:r>
          </w:p>
        </w:tc>
        <w:tc>
          <w:tcPr>
            <w:tcW w:w="160" w:type="dxa"/>
            <w:vAlign w:val="bottom"/>
          </w:tcPr>
          <w:p>
            <w:pPr>
              <w:spacing w:after="0"/>
              <w:rPr>
                <w:sz w:val="13"/>
                <w:szCs w:val="13"/>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103</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3,702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41,656</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Inventories, net</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11,161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72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175</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24,614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36,022</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2"/>
                <w:szCs w:val="12"/>
                <w:color w:val="auto"/>
              </w:rPr>
              <w:t>Other current assets</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1,138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24,162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173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u w:val="single" w:color="auto"/>
                <w:color w:val="auto"/>
              </w:rPr>
              <w:t>-</w:t>
            </w:r>
          </w:p>
        </w:tc>
        <w:tc>
          <w:tcPr>
            <w:tcW w:w="160" w:type="dxa"/>
            <w:vAlign w:val="bottom"/>
          </w:tcPr>
          <w:p>
            <w:pPr>
              <w:spacing w:after="0"/>
              <w:rPr>
                <w:sz w:val="19"/>
                <w:szCs w:val="19"/>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18</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1,262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16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26,753</w:t>
            </w:r>
          </w:p>
        </w:tc>
        <w:tc>
          <w:tcPr>
            <w:tcW w:w="0" w:type="dxa"/>
            <w:vAlign w:val="bottom"/>
          </w:tcPr>
          <w:p>
            <w:pPr>
              <w:spacing w:after="0"/>
              <w:rPr>
                <w:sz w:val="1"/>
                <w:szCs w:val="1"/>
                <w:color w:val="auto"/>
              </w:rPr>
            </w:pPr>
          </w:p>
        </w:tc>
      </w:tr>
      <w:tr>
        <w:trPr>
          <w:trHeight w:val="188"/>
        </w:trPr>
        <w:tc>
          <w:tcPr>
            <w:tcW w:w="3520" w:type="dxa"/>
            <w:vAlign w:val="bottom"/>
            <w:gridSpan w:val="2"/>
          </w:tcPr>
          <w:p>
            <w:pPr>
              <w:ind w:left="500"/>
              <w:spacing w:after="0"/>
              <w:rPr>
                <w:sz w:val="20"/>
                <w:szCs w:val="20"/>
                <w:color w:val="auto"/>
              </w:rPr>
            </w:pPr>
            <w:r>
              <w:rPr>
                <w:rFonts w:ascii="Arial" w:cs="Arial" w:eastAsia="Arial" w:hAnsi="Arial"/>
                <w:sz w:val="12"/>
                <w:szCs w:val="12"/>
                <w:color w:val="auto"/>
              </w:rPr>
              <w:t>Total current assets</w:t>
            </w:r>
          </w:p>
        </w:tc>
        <w:tc>
          <w:tcPr>
            <w:tcW w:w="280" w:type="dxa"/>
            <w:vAlign w:val="bottom"/>
            <w:tcBorders>
              <w:top w:val="single" w:sz="8" w:color="auto"/>
            </w:tcBorders>
            <w:gridSpan w:val="4"/>
          </w:tcPr>
          <w:p>
            <w:pPr>
              <w:spacing w:after="0"/>
              <w:rPr>
                <w:sz w:val="16"/>
                <w:szCs w:val="16"/>
                <w:color w:val="auto"/>
              </w:rPr>
            </w:pPr>
          </w:p>
        </w:tc>
        <w:tc>
          <w:tcPr>
            <w:tcW w:w="920" w:type="dxa"/>
            <w:vAlign w:val="bottom"/>
            <w:gridSpan w:val="7"/>
          </w:tcPr>
          <w:p>
            <w:pPr>
              <w:spacing w:after="0"/>
              <w:rPr>
                <w:sz w:val="16"/>
                <w:szCs w:val="16"/>
                <w:color w:val="auto"/>
              </w:rPr>
            </w:pPr>
          </w:p>
        </w:tc>
        <w:tc>
          <w:tcPr>
            <w:tcW w:w="340" w:type="dxa"/>
            <w:vAlign w:val="bottom"/>
            <w:tcBorders>
              <w:top w:val="single" w:sz="8" w:color="auto"/>
            </w:tcBorders>
            <w:gridSpan w:val="3"/>
          </w:tcPr>
          <w:p>
            <w:pPr>
              <w:spacing w:after="0"/>
              <w:rPr>
                <w:sz w:val="16"/>
                <w:szCs w:val="16"/>
                <w:color w:val="auto"/>
              </w:rPr>
            </w:pPr>
          </w:p>
        </w:tc>
        <w:tc>
          <w:tcPr>
            <w:tcW w:w="620" w:type="dxa"/>
            <w:vAlign w:val="bottom"/>
            <w:gridSpan w:val="10"/>
          </w:tcPr>
          <w:p>
            <w:pPr>
              <w:spacing w:after="0"/>
              <w:rPr>
                <w:sz w:val="16"/>
                <w:szCs w:val="16"/>
                <w:color w:val="auto"/>
              </w:rPr>
            </w:pPr>
          </w:p>
        </w:tc>
        <w:tc>
          <w:tcPr>
            <w:tcW w:w="180" w:type="dxa"/>
            <w:vAlign w:val="bottom"/>
            <w:tcBorders>
              <w:top w:val="single" w:sz="8" w:color="auto"/>
            </w:tcBorders>
            <w:gridSpan w:val="2"/>
          </w:tcPr>
          <w:p>
            <w:pPr>
              <w:spacing w:after="0"/>
              <w:rPr>
                <w:sz w:val="16"/>
                <w:szCs w:val="16"/>
                <w:color w:val="auto"/>
              </w:rPr>
            </w:pPr>
          </w:p>
        </w:tc>
        <w:tc>
          <w:tcPr>
            <w:tcW w:w="2000" w:type="dxa"/>
            <w:vAlign w:val="bottom"/>
            <w:gridSpan w:val="18"/>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gridSpan w:val="7"/>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740" w:type="dxa"/>
            <w:vAlign w:val="bottom"/>
            <w:gridSpan w:val="13"/>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1,139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94,151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1,760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171</w:t>
            </w:r>
          </w:p>
        </w:tc>
        <w:tc>
          <w:tcPr>
            <w:tcW w:w="160" w:type="dxa"/>
            <w:vAlign w:val="bottom"/>
          </w:tcPr>
          <w:p>
            <w:pPr>
              <w:spacing w:after="0"/>
              <w:rPr>
                <w:sz w:val="17"/>
                <w:szCs w:val="17"/>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374</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31,526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129,121</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897,757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29,579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120</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775</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18,270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946,501</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Real estate held for sale and investment</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118,044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8"/>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900</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18,039</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136,983</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Goodwill, net</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121,522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1,936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1,655</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16,483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141,596</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Other intangible assets, net</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68,523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8"/>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10,085</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2,725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81,333</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Deferred charges and other assets</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8,755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29,257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811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38,832</w:t>
            </w:r>
          </w:p>
        </w:tc>
        <w:tc>
          <w:tcPr>
            <w:tcW w:w="0" w:type="dxa"/>
            <w:vAlign w:val="bottom"/>
          </w:tcPr>
          <w:p>
            <w:pPr>
              <w:spacing w:after="0"/>
              <w:rPr>
                <w:sz w:val="1"/>
                <w:szCs w:val="1"/>
                <w:color w:val="auto"/>
              </w:rPr>
            </w:pPr>
          </w:p>
        </w:tc>
      </w:tr>
      <w:tr>
        <w:trPr>
          <w:trHeight w:val="382"/>
        </w:trPr>
        <w:tc>
          <w:tcPr>
            <w:tcW w:w="3400" w:type="dxa"/>
            <w:vAlign w:val="bottom"/>
          </w:tcPr>
          <w:p>
            <w:pPr>
              <w:spacing w:after="0"/>
              <w:rPr>
                <w:sz w:val="20"/>
                <w:szCs w:val="20"/>
                <w:color w:val="auto"/>
              </w:rPr>
            </w:pPr>
            <w:r>
              <w:rPr>
                <w:rFonts w:ascii="Arial" w:cs="Arial" w:eastAsia="Arial" w:hAnsi="Arial"/>
                <w:sz w:val="12"/>
                <w:szCs w:val="12"/>
                <w:color w:val="auto"/>
              </w:rPr>
              <w:t>Investments in subsidiaries and advances to (from) parent</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w w:val="87"/>
              </w:rPr>
              <w:t>852,899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(38,352)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8"/>
          </w:tcPr>
          <w:p>
            <w:pPr>
              <w:jc w:val="right"/>
              <w:ind w:right="80"/>
              <w:spacing w:after="0"/>
              <w:rPr>
                <w:sz w:val="20"/>
                <w:szCs w:val="20"/>
                <w:color w:val="auto"/>
              </w:rPr>
            </w:pPr>
            <w:r>
              <w:rPr>
                <w:rFonts w:ascii="Arial" w:cs="Arial" w:eastAsia="Arial" w:hAnsi="Arial"/>
                <w:sz w:val="12"/>
                <w:szCs w:val="12"/>
                <w:color w:val="auto"/>
                <w:w w:val="93"/>
              </w:rPr>
              <w:t>(17,638)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24"/>
                <w:szCs w:val="24"/>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(331)</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(17,970)</w:t>
            </w:r>
          </w:p>
        </w:tc>
        <w:tc>
          <w:tcPr>
            <w:tcW w:w="1260" w:type="dxa"/>
            <w:vAlign w:val="bottom"/>
            <w:gridSpan w:val="9"/>
          </w:tcPr>
          <w:p>
            <w:pPr>
              <w:jc w:val="right"/>
              <w:ind w:right="160"/>
              <w:spacing w:after="0"/>
              <w:rPr>
                <w:sz w:val="20"/>
                <w:szCs w:val="20"/>
                <w:color w:val="auto"/>
              </w:rPr>
            </w:pPr>
            <w:r>
              <w:rPr>
                <w:rFonts w:ascii="Arial" w:cs="Arial" w:eastAsia="Arial" w:hAnsi="Arial"/>
                <w:sz w:val="12"/>
                <w:szCs w:val="12"/>
                <w:color w:val="auto"/>
              </w:rPr>
              <w:t>(778,605)</w:t>
            </w:r>
          </w:p>
        </w:tc>
        <w:tc>
          <w:tcPr>
            <w:tcW w:w="860" w:type="dxa"/>
            <w:vAlign w:val="bottom"/>
            <w:gridSpan w:val="5"/>
          </w:tcPr>
          <w:p>
            <w:pPr>
              <w:jc w:val="right"/>
              <w:spacing w:after="0"/>
              <w:rPr>
                <w:sz w:val="20"/>
                <w:szCs w:val="20"/>
                <w:color w:val="auto"/>
              </w:rPr>
            </w:pPr>
            <w:r>
              <w:rPr>
                <w:rFonts w:ascii="Arial" w:cs="Arial" w:eastAsia="Arial" w:hAnsi="Arial"/>
                <w:sz w:val="12"/>
                <w:szCs w:val="12"/>
                <w:u w:val="single" w:color="auto"/>
                <w:color w:val="auto"/>
              </w:rPr>
              <w:t>-</w:t>
            </w:r>
          </w:p>
        </w:tc>
        <w:tc>
          <w:tcPr>
            <w:tcW w:w="0" w:type="dxa"/>
            <w:vAlign w:val="bottom"/>
          </w:tcPr>
          <w:p>
            <w:pPr>
              <w:spacing w:after="0"/>
              <w:rPr>
                <w:sz w:val="1"/>
                <w:szCs w:val="1"/>
                <w:color w:val="auto"/>
              </w:rPr>
            </w:pPr>
          </w:p>
        </w:tc>
      </w:tr>
      <w:tr>
        <w:trPr>
          <w:trHeight w:val="188"/>
        </w:trPr>
        <w:tc>
          <w:tcPr>
            <w:tcW w:w="3400" w:type="dxa"/>
            <w:vAlign w:val="bottom"/>
          </w:tcPr>
          <w:p>
            <w:pPr>
              <w:ind w:left="500"/>
              <w:spacing w:after="0"/>
              <w:rPr>
                <w:sz w:val="20"/>
                <w:szCs w:val="20"/>
                <w:color w:val="auto"/>
              </w:rPr>
            </w:pPr>
            <w:r>
              <w:rPr>
                <w:rFonts w:ascii="Arial" w:cs="Arial" w:eastAsia="Arial" w:hAnsi="Arial"/>
                <w:sz w:val="12"/>
                <w:szCs w:val="12"/>
                <w:color w:val="auto"/>
              </w:rPr>
              <w:t>Total assets</w:t>
            </w:r>
          </w:p>
        </w:tc>
        <w:tc>
          <w:tcPr>
            <w:tcW w:w="400" w:type="dxa"/>
            <w:vAlign w:val="bottom"/>
            <w:tcBorders>
              <w:top w:val="single" w:sz="8" w:color="auto"/>
            </w:tcBorders>
            <w:gridSpan w:val="5"/>
          </w:tcPr>
          <w:p>
            <w:pPr>
              <w:spacing w:after="0"/>
              <w:rPr>
                <w:sz w:val="16"/>
                <w:szCs w:val="16"/>
                <w:color w:val="auto"/>
              </w:rPr>
            </w:pPr>
          </w:p>
        </w:tc>
        <w:tc>
          <w:tcPr>
            <w:tcW w:w="840" w:type="dxa"/>
            <w:vAlign w:val="bottom"/>
            <w:gridSpan w:val="5"/>
          </w:tcPr>
          <w:p>
            <w:pPr>
              <w:spacing w:after="0"/>
              <w:rPr>
                <w:sz w:val="16"/>
                <w:szCs w:val="16"/>
                <w:color w:val="auto"/>
              </w:rPr>
            </w:pPr>
          </w:p>
        </w:tc>
        <w:tc>
          <w:tcPr>
            <w:tcW w:w="420" w:type="dxa"/>
            <w:vAlign w:val="bottom"/>
            <w:tcBorders>
              <w:top w:val="single" w:sz="8" w:color="auto"/>
            </w:tcBorders>
            <w:gridSpan w:val="5"/>
          </w:tcPr>
          <w:p>
            <w:pPr>
              <w:spacing w:after="0"/>
              <w:rPr>
                <w:sz w:val="16"/>
                <w:szCs w:val="16"/>
                <w:color w:val="auto"/>
              </w:rPr>
            </w:pPr>
          </w:p>
        </w:tc>
        <w:tc>
          <w:tcPr>
            <w:tcW w:w="380" w:type="dxa"/>
            <w:vAlign w:val="bottom"/>
            <w:gridSpan w:val="6"/>
          </w:tcPr>
          <w:p>
            <w:pPr>
              <w:spacing w:after="0"/>
              <w:rPr>
                <w:sz w:val="16"/>
                <w:szCs w:val="16"/>
                <w:color w:val="auto"/>
              </w:rPr>
            </w:pPr>
          </w:p>
        </w:tc>
        <w:tc>
          <w:tcPr>
            <w:tcW w:w="420" w:type="dxa"/>
            <w:vAlign w:val="bottom"/>
            <w:tcBorders>
              <w:top w:val="single" w:sz="8" w:color="auto"/>
            </w:tcBorders>
            <w:gridSpan w:val="6"/>
          </w:tcPr>
          <w:p>
            <w:pPr>
              <w:spacing w:after="0"/>
              <w:rPr>
                <w:sz w:val="16"/>
                <w:szCs w:val="16"/>
                <w:color w:val="auto"/>
              </w:rPr>
            </w:pPr>
          </w:p>
        </w:tc>
        <w:tc>
          <w:tcPr>
            <w:tcW w:w="980" w:type="dxa"/>
            <w:vAlign w:val="bottom"/>
            <w:gridSpan w:val="11"/>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gridSpan w:val="5"/>
          </w:tcPr>
          <w:p>
            <w:pPr>
              <w:spacing w:after="0"/>
              <w:rPr>
                <w:sz w:val="16"/>
                <w:szCs w:val="16"/>
                <w:color w:val="auto"/>
              </w:rPr>
            </w:pPr>
          </w:p>
        </w:tc>
        <w:tc>
          <w:tcPr>
            <w:tcW w:w="220" w:type="dxa"/>
            <w:vAlign w:val="bottom"/>
            <w:tcBorders>
              <w:top w:val="single" w:sz="8" w:color="auto"/>
            </w:tcBorders>
            <w:gridSpan w:val="2"/>
          </w:tcPr>
          <w:p>
            <w:pPr>
              <w:spacing w:after="0"/>
              <w:rPr>
                <w:sz w:val="16"/>
                <w:szCs w:val="16"/>
                <w:color w:val="auto"/>
              </w:rPr>
            </w:pPr>
          </w:p>
        </w:tc>
        <w:tc>
          <w:tcPr>
            <w:tcW w:w="700" w:type="dxa"/>
            <w:vAlign w:val="bottom"/>
            <w:gridSpan w:val="5"/>
          </w:tcPr>
          <w:p>
            <w:pPr>
              <w:spacing w:after="0"/>
              <w:rPr>
                <w:sz w:val="16"/>
                <w:szCs w:val="16"/>
                <w:color w:val="auto"/>
              </w:rPr>
            </w:pPr>
          </w:p>
        </w:tc>
        <w:tc>
          <w:tcPr>
            <w:tcW w:w="420" w:type="dxa"/>
            <w:vAlign w:val="bottom"/>
            <w:tcBorders>
              <w:top w:val="single" w:sz="8" w:color="auto"/>
            </w:tcBorders>
            <w:gridSpan w:val="3"/>
          </w:tcPr>
          <w:p>
            <w:pPr>
              <w:spacing w:after="0"/>
              <w:rPr>
                <w:sz w:val="16"/>
                <w:szCs w:val="16"/>
                <w:color w:val="auto"/>
              </w:rPr>
            </w:pPr>
          </w:p>
        </w:tc>
        <w:tc>
          <w:tcPr>
            <w:tcW w:w="640" w:type="dxa"/>
            <w:vAlign w:val="bottom"/>
            <w:gridSpan w:val="5"/>
          </w:tcPr>
          <w:p>
            <w:pPr>
              <w:spacing w:after="0"/>
              <w:rPr>
                <w:sz w:val="16"/>
                <w:szCs w:val="16"/>
                <w:color w:val="auto"/>
              </w:rPr>
            </w:pPr>
          </w:p>
        </w:tc>
        <w:tc>
          <w:tcPr>
            <w:tcW w:w="460" w:type="dxa"/>
            <w:vAlign w:val="bottom"/>
            <w:tcBorders>
              <w:top w:val="single" w:sz="8" w:color="auto"/>
            </w:tcBorders>
            <w:gridSpan w:val="3"/>
          </w:tcPr>
          <w:p>
            <w:pPr>
              <w:spacing w:after="0"/>
              <w:rPr>
                <w:sz w:val="16"/>
                <w:szCs w:val="16"/>
                <w:color w:val="auto"/>
              </w:rPr>
            </w:pPr>
          </w:p>
        </w:tc>
        <w:tc>
          <w:tcPr>
            <w:tcW w:w="10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400" w:type="dxa"/>
            <w:vAlign w:val="bottom"/>
            <w:gridSpan w:val="5"/>
          </w:tcPr>
          <w:p>
            <w:pPr>
              <w:jc w:val="right"/>
              <w:spacing w:after="0"/>
              <w:rPr>
                <w:sz w:val="20"/>
                <w:szCs w:val="20"/>
                <w:color w:val="auto"/>
              </w:rPr>
            </w:pPr>
            <w:r>
              <w:rPr>
                <w:rFonts w:ascii="Arial" w:cs="Arial" w:eastAsia="Arial" w:hAnsi="Arial"/>
                <w:sz w:val="12"/>
                <w:szCs w:val="12"/>
                <w:color w:val="auto"/>
                <w:w w:val="87"/>
              </w:rPr>
              <w:t>862,793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1,290,902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15,646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12,928</w:t>
            </w:r>
          </w:p>
        </w:tc>
        <w:tc>
          <w:tcPr>
            <w:tcW w:w="160" w:type="dxa"/>
            <w:vAlign w:val="bottom"/>
          </w:tcPr>
          <w:p>
            <w:pPr>
              <w:spacing w:after="0"/>
              <w:rPr>
                <w:sz w:val="15"/>
                <w:szCs w:val="15"/>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818</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69,884</w:t>
            </w:r>
          </w:p>
        </w:tc>
        <w:tc>
          <w:tcPr>
            <w:tcW w:w="1260" w:type="dxa"/>
            <w:vAlign w:val="bottom"/>
            <w:gridSpan w:val="9"/>
          </w:tcPr>
          <w:p>
            <w:pPr>
              <w:jc w:val="right"/>
              <w:ind w:right="160"/>
              <w:spacing w:after="0"/>
              <w:rPr>
                <w:sz w:val="20"/>
                <w:szCs w:val="20"/>
                <w:color w:val="auto"/>
              </w:rPr>
            </w:pPr>
            <w:r>
              <w:rPr>
                <w:rFonts w:ascii="Arial" w:cs="Arial" w:eastAsia="Arial" w:hAnsi="Arial"/>
                <w:sz w:val="12"/>
                <w:szCs w:val="12"/>
                <w:color w:val="auto"/>
              </w:rPr>
              <w:t>(778,605)</w:t>
            </w: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1,474,366</w:t>
            </w:r>
          </w:p>
        </w:tc>
        <w:tc>
          <w:tcPr>
            <w:tcW w:w="0" w:type="dxa"/>
            <w:vAlign w:val="bottom"/>
          </w:tcPr>
          <w:p>
            <w:pPr>
              <w:spacing w:after="0"/>
              <w:rPr>
                <w:sz w:val="1"/>
                <w:szCs w:val="1"/>
                <w:color w:val="auto"/>
              </w:rPr>
            </w:pPr>
          </w:p>
        </w:tc>
      </w:tr>
      <w:tr>
        <w:trPr>
          <w:trHeight w:val="495"/>
        </w:trPr>
        <w:tc>
          <w:tcPr>
            <w:tcW w:w="3400" w:type="dxa"/>
            <w:vAlign w:val="bottom"/>
          </w:tcPr>
          <w:p>
            <w:pPr>
              <w:spacing w:after="0"/>
              <w:rPr>
                <w:sz w:val="20"/>
                <w:szCs w:val="20"/>
                <w:color w:val="auto"/>
              </w:rPr>
            </w:pPr>
            <w:r>
              <w:rPr>
                <w:rFonts w:ascii="Arial" w:cs="Arial" w:eastAsia="Arial" w:hAnsi="Arial"/>
                <w:sz w:val="12"/>
                <w:szCs w:val="12"/>
                <w:color w:val="auto"/>
              </w:rPr>
              <w:t>Current liabilities:</w:t>
            </w:r>
          </w:p>
        </w:tc>
        <w:tc>
          <w:tcPr>
            <w:tcW w:w="400" w:type="dxa"/>
            <w:vAlign w:val="bottom"/>
            <w:tcBorders>
              <w:top w:val="single" w:sz="8" w:color="auto"/>
            </w:tcBorders>
            <w:gridSpan w:val="5"/>
          </w:tcPr>
          <w:p>
            <w:pPr>
              <w:spacing w:after="0"/>
              <w:rPr>
                <w:sz w:val="24"/>
                <w:szCs w:val="24"/>
                <w:color w:val="auto"/>
              </w:rPr>
            </w:pPr>
          </w:p>
        </w:tc>
        <w:tc>
          <w:tcPr>
            <w:tcW w:w="800" w:type="dxa"/>
            <w:vAlign w:val="bottom"/>
            <w:gridSpan w:val="4"/>
          </w:tcPr>
          <w:p>
            <w:pPr>
              <w:spacing w:after="0"/>
              <w:rPr>
                <w:sz w:val="24"/>
                <w:szCs w:val="24"/>
                <w:color w:val="auto"/>
              </w:rPr>
            </w:pPr>
          </w:p>
        </w:tc>
        <w:tc>
          <w:tcPr>
            <w:tcW w:w="460" w:type="dxa"/>
            <w:vAlign w:val="bottom"/>
            <w:tcBorders>
              <w:top w:val="single" w:sz="8" w:color="auto"/>
            </w:tcBorders>
            <w:gridSpan w:val="6"/>
          </w:tcPr>
          <w:p>
            <w:pPr>
              <w:spacing w:after="0"/>
              <w:rPr>
                <w:sz w:val="24"/>
                <w:szCs w:val="24"/>
                <w:color w:val="auto"/>
              </w:rPr>
            </w:pPr>
          </w:p>
        </w:tc>
        <w:tc>
          <w:tcPr>
            <w:tcW w:w="460" w:type="dxa"/>
            <w:vAlign w:val="bottom"/>
            <w:gridSpan w:val="7"/>
          </w:tcPr>
          <w:p>
            <w:pPr>
              <w:spacing w:after="0"/>
              <w:rPr>
                <w:sz w:val="24"/>
                <w:szCs w:val="24"/>
                <w:color w:val="auto"/>
              </w:rPr>
            </w:pPr>
          </w:p>
        </w:tc>
        <w:tc>
          <w:tcPr>
            <w:tcW w:w="340" w:type="dxa"/>
            <w:vAlign w:val="bottom"/>
            <w:tcBorders>
              <w:top w:val="single" w:sz="8" w:color="auto"/>
            </w:tcBorders>
            <w:gridSpan w:val="5"/>
          </w:tcPr>
          <w:p>
            <w:pPr>
              <w:spacing w:after="0"/>
              <w:rPr>
                <w:sz w:val="24"/>
                <w:szCs w:val="24"/>
                <w:color w:val="auto"/>
              </w:rPr>
            </w:pPr>
          </w:p>
        </w:tc>
        <w:tc>
          <w:tcPr>
            <w:tcW w:w="780" w:type="dxa"/>
            <w:vAlign w:val="bottom"/>
            <w:gridSpan w:val="8"/>
          </w:tcPr>
          <w:p>
            <w:pPr>
              <w:spacing w:after="0"/>
              <w:rPr>
                <w:sz w:val="24"/>
                <w:szCs w:val="24"/>
                <w:color w:val="auto"/>
              </w:rPr>
            </w:pPr>
          </w:p>
        </w:tc>
        <w:tc>
          <w:tcPr>
            <w:tcW w:w="340" w:type="dxa"/>
            <w:vAlign w:val="bottom"/>
            <w:tcBorders>
              <w:top w:val="single" w:sz="8" w:color="auto"/>
            </w:tcBorders>
            <w:gridSpan w:val="4"/>
          </w:tcPr>
          <w:p>
            <w:pPr>
              <w:spacing w:after="0"/>
              <w:rPr>
                <w:sz w:val="24"/>
                <w:szCs w:val="24"/>
                <w:color w:val="auto"/>
              </w:rPr>
            </w:pPr>
          </w:p>
        </w:tc>
        <w:tc>
          <w:tcPr>
            <w:tcW w:w="880" w:type="dxa"/>
            <w:vAlign w:val="bottom"/>
            <w:gridSpan w:val="6"/>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gridSpan w:val="7"/>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40" w:type="dxa"/>
            <w:vAlign w:val="bottom"/>
            <w:gridSpan w:val="5"/>
          </w:tcPr>
          <w:p>
            <w:pPr>
              <w:spacing w:after="0"/>
              <w:rPr>
                <w:sz w:val="24"/>
                <w:szCs w:val="24"/>
                <w:color w:val="auto"/>
              </w:rPr>
            </w:pPr>
          </w:p>
        </w:tc>
        <w:tc>
          <w:tcPr>
            <w:tcW w:w="460" w:type="dxa"/>
            <w:vAlign w:val="bottom"/>
            <w:tcBorders>
              <w:top w:val="single" w:sz="8" w:color="auto"/>
            </w:tcBorders>
            <w:gridSpan w:val="3"/>
          </w:tcPr>
          <w:p>
            <w:pPr>
              <w:spacing w:after="0"/>
              <w:rPr>
                <w:sz w:val="24"/>
                <w:szCs w:val="24"/>
                <w:color w:val="auto"/>
              </w:rPr>
            </w:pPr>
          </w:p>
        </w:tc>
        <w:tc>
          <w:tcPr>
            <w:tcW w:w="640" w:type="dxa"/>
            <w:vAlign w:val="bottom"/>
            <w:gridSpan w:val="5"/>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Accounts payable and accrued expenses</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8,404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178,388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2,134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1,703</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309</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19,253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210,191</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Income taxes payable</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2,731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8"/>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2,731</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2"/>
                <w:szCs w:val="12"/>
                <w:color w:val="auto"/>
              </w:rPr>
              <w:t>Long-term debt due within one year</w:t>
            </w:r>
          </w:p>
        </w:tc>
        <w:tc>
          <w:tcPr>
            <w:tcW w:w="400" w:type="dxa"/>
            <w:vAlign w:val="bottom"/>
            <w:gridSpan w:val="5"/>
          </w:tcPr>
          <w:p>
            <w:pPr>
              <w:jc w:val="right"/>
              <w:spacing w:after="0"/>
              <w:rPr>
                <w:sz w:val="20"/>
                <w:szCs w:val="20"/>
                <w:color w:val="auto"/>
              </w:rPr>
            </w:pPr>
            <w:r>
              <w:rPr>
                <w:rFonts w:ascii="Arial" w:cs="Arial" w:eastAsia="Arial" w:hAnsi="Arial"/>
                <w:sz w:val="12"/>
                <w:szCs w:val="12"/>
                <w:u w:val="single" w:color="auto"/>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24,577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u w:val="single" w:color="auto"/>
                <w:color w:val="auto"/>
              </w:rPr>
              <w:t>-</w:t>
            </w:r>
          </w:p>
        </w:tc>
        <w:tc>
          <w:tcPr>
            <w:tcW w:w="160" w:type="dxa"/>
            <w:vAlign w:val="bottom"/>
          </w:tcPr>
          <w:p>
            <w:pPr>
              <w:spacing w:after="0"/>
              <w:rPr>
                <w:sz w:val="19"/>
                <w:szCs w:val="19"/>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u w:val="single" w:color="auto"/>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1,000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160" w:type="dxa"/>
            <w:vAlign w:val="bottom"/>
          </w:tcPr>
          <w:p>
            <w:pPr>
              <w:spacing w:after="0"/>
              <w:rPr>
                <w:sz w:val="19"/>
                <w:szCs w:val="19"/>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26,577</w:t>
            </w:r>
          </w:p>
        </w:tc>
        <w:tc>
          <w:tcPr>
            <w:tcW w:w="0" w:type="dxa"/>
            <w:vAlign w:val="bottom"/>
          </w:tcPr>
          <w:p>
            <w:pPr>
              <w:spacing w:after="0"/>
              <w:rPr>
                <w:sz w:val="1"/>
                <w:szCs w:val="1"/>
                <w:color w:val="auto"/>
              </w:rPr>
            </w:pPr>
          </w:p>
        </w:tc>
      </w:tr>
      <w:tr>
        <w:trPr>
          <w:trHeight w:val="188"/>
        </w:trPr>
        <w:tc>
          <w:tcPr>
            <w:tcW w:w="4720" w:type="dxa"/>
            <w:vAlign w:val="bottom"/>
            <w:gridSpan w:val="13"/>
          </w:tcPr>
          <w:p>
            <w:pPr>
              <w:ind w:left="500"/>
              <w:spacing w:after="0"/>
              <w:rPr>
                <w:sz w:val="20"/>
                <w:szCs w:val="20"/>
                <w:color w:val="auto"/>
              </w:rPr>
            </w:pPr>
            <w:r>
              <w:rPr>
                <w:rFonts w:ascii="Arial" w:cs="Arial" w:eastAsia="Arial" w:hAnsi="Arial"/>
                <w:sz w:val="12"/>
                <w:szCs w:val="12"/>
                <w:color w:val="auto"/>
              </w:rPr>
              <w:t>Total current liabilities</w:t>
            </w:r>
          </w:p>
        </w:tc>
        <w:tc>
          <w:tcPr>
            <w:tcW w:w="340" w:type="dxa"/>
            <w:vAlign w:val="bottom"/>
            <w:tcBorders>
              <w:top w:val="single" w:sz="8" w:color="auto"/>
            </w:tcBorders>
            <w:gridSpan w:val="3"/>
          </w:tcPr>
          <w:p>
            <w:pPr>
              <w:spacing w:after="0"/>
              <w:rPr>
                <w:sz w:val="16"/>
                <w:szCs w:val="16"/>
                <w:color w:val="auto"/>
              </w:rPr>
            </w:pPr>
          </w:p>
        </w:tc>
        <w:tc>
          <w:tcPr>
            <w:tcW w:w="520" w:type="dxa"/>
            <w:vAlign w:val="bottom"/>
            <w:gridSpan w:val="8"/>
          </w:tcPr>
          <w:p>
            <w:pPr>
              <w:spacing w:after="0"/>
              <w:rPr>
                <w:sz w:val="16"/>
                <w:szCs w:val="16"/>
                <w:color w:val="auto"/>
              </w:rPr>
            </w:pPr>
          </w:p>
        </w:tc>
        <w:tc>
          <w:tcPr>
            <w:tcW w:w="280" w:type="dxa"/>
            <w:vAlign w:val="bottom"/>
            <w:tcBorders>
              <w:top w:val="single" w:sz="8" w:color="auto"/>
            </w:tcBorders>
            <w:gridSpan w:val="4"/>
          </w:tcPr>
          <w:p>
            <w:pPr>
              <w:spacing w:after="0"/>
              <w:rPr>
                <w:sz w:val="16"/>
                <w:szCs w:val="16"/>
                <w:color w:val="auto"/>
              </w:rPr>
            </w:pPr>
          </w:p>
        </w:tc>
        <w:tc>
          <w:tcPr>
            <w:tcW w:w="2940" w:type="dxa"/>
            <w:vAlign w:val="bottom"/>
            <w:gridSpan w:val="26"/>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740" w:type="dxa"/>
            <w:vAlign w:val="bottom"/>
            <w:gridSpan w:val="13"/>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8,404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205,696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3,134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1,703</w:t>
            </w:r>
          </w:p>
        </w:tc>
        <w:tc>
          <w:tcPr>
            <w:tcW w:w="160" w:type="dxa"/>
            <w:vAlign w:val="bottom"/>
          </w:tcPr>
          <w:p>
            <w:pPr>
              <w:spacing w:after="0"/>
              <w:rPr>
                <w:sz w:val="17"/>
                <w:szCs w:val="17"/>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309</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20,253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239,499</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Long-term debt</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w w:val="87"/>
              </w:rPr>
              <w:t>353,474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178,622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8"/>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14,100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546,196</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Other long-term liabilities</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814</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95,844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8"/>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96,658</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Deferred income taxes</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66,344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8"/>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1,643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67,987</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Minority interest in net assets of consolidated JV</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6,131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3,231</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100</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14,265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23,727</w:t>
            </w:r>
          </w:p>
        </w:tc>
        <w:tc>
          <w:tcPr>
            <w:tcW w:w="0" w:type="dxa"/>
            <w:vAlign w:val="bottom"/>
          </w:tcPr>
          <w:p>
            <w:pPr>
              <w:spacing w:after="0"/>
              <w:rPr>
                <w:sz w:val="1"/>
                <w:szCs w:val="1"/>
                <w:color w:val="auto"/>
              </w:rPr>
            </w:pPr>
          </w:p>
        </w:tc>
      </w:tr>
      <w:tr>
        <w:trPr>
          <w:trHeight w:val="246"/>
        </w:trPr>
        <w:tc>
          <w:tcPr>
            <w:tcW w:w="3400" w:type="dxa"/>
            <w:vAlign w:val="bottom"/>
          </w:tcPr>
          <w:p>
            <w:pPr>
              <w:spacing w:after="0"/>
              <w:rPr>
                <w:sz w:val="20"/>
                <w:szCs w:val="20"/>
                <w:color w:val="auto"/>
              </w:rPr>
            </w:pPr>
            <w:r>
              <w:rPr>
                <w:rFonts w:ascii="Arial" w:cs="Arial" w:eastAsia="Arial" w:hAnsi="Arial"/>
                <w:sz w:val="12"/>
                <w:szCs w:val="12"/>
                <w:color w:val="auto"/>
              </w:rPr>
              <w:t>Put option - RockResorts</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198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gridSpan w:val="8"/>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198</w:t>
            </w:r>
          </w:p>
        </w:tc>
        <w:tc>
          <w:tcPr>
            <w:tcW w:w="0" w:type="dxa"/>
            <w:vAlign w:val="bottom"/>
          </w:tcPr>
          <w:p>
            <w:pPr>
              <w:spacing w:after="0"/>
              <w:rPr>
                <w:sz w:val="1"/>
                <w:szCs w:val="1"/>
                <w:color w:val="auto"/>
              </w:rPr>
            </w:pPr>
          </w:p>
        </w:tc>
      </w:tr>
      <w:tr>
        <w:trPr>
          <w:trHeight w:val="222"/>
        </w:trPr>
        <w:tc>
          <w:tcPr>
            <w:tcW w:w="340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400" w:type="dxa"/>
            <w:vAlign w:val="bottom"/>
            <w:gridSpan w:val="5"/>
          </w:tcPr>
          <w:p>
            <w:pPr>
              <w:jc w:val="right"/>
              <w:spacing w:after="0"/>
              <w:rPr>
                <w:sz w:val="20"/>
                <w:szCs w:val="20"/>
                <w:color w:val="auto"/>
              </w:rPr>
            </w:pPr>
            <w:r>
              <w:rPr>
                <w:rFonts w:ascii="Arial" w:cs="Arial" w:eastAsia="Arial" w:hAnsi="Arial"/>
                <w:sz w:val="12"/>
                <w:szCs w:val="12"/>
                <w:color w:val="auto"/>
                <w:w w:val="87"/>
              </w:rPr>
              <w:t>500,101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8"/>
          </w:tcPr>
          <w:p>
            <w:pPr>
              <w:jc w:val="right"/>
              <w:spacing w:after="0"/>
              <w:rPr>
                <w:sz w:val="20"/>
                <w:szCs w:val="20"/>
                <w:color w:val="auto"/>
              </w:rPr>
            </w:pPr>
            <w:r>
              <w:rPr>
                <w:rFonts w:ascii="Arial" w:cs="Arial" w:eastAsia="Arial" w:hAnsi="Arial"/>
                <w:sz w:val="12"/>
                <w:szCs w:val="12"/>
                <w:color w:val="auto"/>
              </w:rPr>
              <w:t>744,198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gridSpan w:val="7"/>
          </w:tcPr>
          <w:p>
            <w:pPr>
              <w:jc w:val="right"/>
              <w:spacing w:after="0"/>
              <w:rPr>
                <w:sz w:val="20"/>
                <w:szCs w:val="20"/>
                <w:color w:val="auto"/>
              </w:rPr>
            </w:pPr>
            <w:r>
              <w:rPr>
                <w:rFonts w:ascii="Arial" w:cs="Arial" w:eastAsia="Arial" w:hAnsi="Arial"/>
                <w:sz w:val="12"/>
                <w:szCs w:val="12"/>
                <w:color w:val="auto"/>
              </w:rPr>
              <w:t>6,381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8"/>
          </w:tcPr>
          <w:p>
            <w:pPr>
              <w:jc w:val="right"/>
              <w:spacing w:after="0"/>
              <w:rPr>
                <w:sz w:val="20"/>
                <w:szCs w:val="20"/>
                <w:color w:val="auto"/>
              </w:rPr>
            </w:pPr>
            <w:r>
              <w:rPr>
                <w:rFonts w:ascii="Arial" w:cs="Arial" w:eastAsia="Arial" w:hAnsi="Arial"/>
                <w:sz w:val="12"/>
                <w:szCs w:val="12"/>
                <w:color w:val="auto"/>
              </w:rPr>
              <w:t>7,994</w:t>
            </w:r>
          </w:p>
        </w:tc>
        <w:tc>
          <w:tcPr>
            <w:tcW w:w="160" w:type="dxa"/>
            <w:vAlign w:val="bottom"/>
          </w:tcPr>
          <w:p>
            <w:pPr>
              <w:spacing w:after="0"/>
              <w:rPr>
                <w:sz w:val="19"/>
                <w:szCs w:val="19"/>
                <w:color w:val="auto"/>
              </w:rPr>
            </w:pPr>
          </w:p>
        </w:tc>
        <w:tc>
          <w:tcPr>
            <w:tcW w:w="940" w:type="dxa"/>
            <w:vAlign w:val="bottom"/>
            <w:gridSpan w:val="7"/>
          </w:tcPr>
          <w:p>
            <w:pPr>
              <w:jc w:val="right"/>
              <w:ind w:right="80"/>
              <w:spacing w:after="0"/>
              <w:rPr>
                <w:sz w:val="20"/>
                <w:szCs w:val="20"/>
                <w:color w:val="auto"/>
              </w:rPr>
            </w:pPr>
            <w:r>
              <w:rPr>
                <w:rFonts w:ascii="Arial" w:cs="Arial" w:eastAsia="Arial" w:hAnsi="Arial"/>
                <w:sz w:val="12"/>
                <w:szCs w:val="12"/>
                <w:color w:val="auto"/>
              </w:rPr>
              <w:t>409</w:t>
            </w: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19,623</w:t>
            </w:r>
          </w:p>
        </w:tc>
        <w:tc>
          <w:tcPr>
            <w:tcW w:w="1260" w:type="dxa"/>
            <w:vAlign w:val="bottom"/>
            <w:gridSpan w:val="9"/>
          </w:tcPr>
          <w:p>
            <w:pPr>
              <w:jc w:val="right"/>
              <w:ind w:right="160"/>
              <w:spacing w:after="0"/>
              <w:rPr>
                <w:sz w:val="20"/>
                <w:szCs w:val="20"/>
                <w:color w:val="auto"/>
              </w:rPr>
            </w:pPr>
            <w:r>
              <w:rPr>
                <w:rFonts w:ascii="Arial" w:cs="Arial" w:eastAsia="Arial" w:hAnsi="Arial"/>
                <w:sz w:val="12"/>
                <w:szCs w:val="12"/>
                <w:color w:val="auto"/>
              </w:rPr>
              <w:t>(778,605)</w:t>
            </w: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500,101</w:t>
            </w:r>
          </w:p>
        </w:tc>
        <w:tc>
          <w:tcPr>
            <w:tcW w:w="0" w:type="dxa"/>
            <w:vAlign w:val="bottom"/>
          </w:tcPr>
          <w:p>
            <w:pPr>
              <w:spacing w:after="0"/>
              <w:rPr>
                <w:sz w:val="1"/>
                <w:szCs w:val="1"/>
                <w:color w:val="auto"/>
              </w:rPr>
            </w:pPr>
          </w:p>
        </w:tc>
      </w:tr>
      <w:tr>
        <w:trPr>
          <w:trHeight w:val="188"/>
        </w:trPr>
        <w:tc>
          <w:tcPr>
            <w:tcW w:w="3400" w:type="dxa"/>
            <w:vAlign w:val="bottom"/>
          </w:tcPr>
          <w:p>
            <w:pPr>
              <w:ind w:left="500"/>
              <w:spacing w:after="0"/>
              <w:rPr>
                <w:sz w:val="20"/>
                <w:szCs w:val="20"/>
                <w:color w:val="auto"/>
              </w:rPr>
            </w:pPr>
            <w:r>
              <w:rPr>
                <w:rFonts w:ascii="Arial" w:cs="Arial" w:eastAsia="Arial" w:hAnsi="Arial"/>
                <w:sz w:val="12"/>
                <w:szCs w:val="12"/>
                <w:color w:val="auto"/>
              </w:rPr>
              <w:t>Total liabilities and stockholders' equity</w:t>
            </w:r>
          </w:p>
        </w:tc>
        <w:tc>
          <w:tcPr>
            <w:tcW w:w="400" w:type="dxa"/>
            <w:vAlign w:val="bottom"/>
            <w:tcBorders>
              <w:top w:val="single" w:sz="8" w:color="auto"/>
            </w:tcBorders>
            <w:gridSpan w:val="5"/>
          </w:tcPr>
          <w:p>
            <w:pPr>
              <w:spacing w:after="0"/>
              <w:rPr>
                <w:sz w:val="16"/>
                <w:szCs w:val="16"/>
                <w:color w:val="auto"/>
              </w:rPr>
            </w:pPr>
          </w:p>
        </w:tc>
        <w:tc>
          <w:tcPr>
            <w:tcW w:w="860" w:type="dxa"/>
            <w:vAlign w:val="bottom"/>
            <w:gridSpan w:val="6"/>
          </w:tcPr>
          <w:p>
            <w:pPr>
              <w:spacing w:after="0"/>
              <w:rPr>
                <w:sz w:val="16"/>
                <w:szCs w:val="16"/>
                <w:color w:val="auto"/>
              </w:rPr>
            </w:pPr>
          </w:p>
        </w:tc>
        <w:tc>
          <w:tcPr>
            <w:tcW w:w="400" w:type="dxa"/>
            <w:vAlign w:val="bottom"/>
            <w:tcBorders>
              <w:top w:val="single" w:sz="8" w:color="auto"/>
            </w:tcBorders>
            <w:gridSpan w:val="4"/>
          </w:tcPr>
          <w:p>
            <w:pPr>
              <w:spacing w:after="0"/>
              <w:rPr>
                <w:sz w:val="16"/>
                <w:szCs w:val="16"/>
                <w:color w:val="auto"/>
              </w:rPr>
            </w:pPr>
          </w:p>
        </w:tc>
        <w:tc>
          <w:tcPr>
            <w:tcW w:w="520" w:type="dxa"/>
            <w:vAlign w:val="bottom"/>
            <w:gridSpan w:val="8"/>
          </w:tcPr>
          <w:p>
            <w:pPr>
              <w:spacing w:after="0"/>
              <w:rPr>
                <w:sz w:val="16"/>
                <w:szCs w:val="16"/>
                <w:color w:val="auto"/>
              </w:rPr>
            </w:pPr>
          </w:p>
        </w:tc>
        <w:tc>
          <w:tcPr>
            <w:tcW w:w="280" w:type="dxa"/>
            <w:vAlign w:val="bottom"/>
            <w:tcBorders>
              <w:top w:val="single" w:sz="8" w:color="auto"/>
            </w:tcBorders>
            <w:gridSpan w:val="4"/>
          </w:tcPr>
          <w:p>
            <w:pPr>
              <w:spacing w:after="0"/>
              <w:rPr>
                <w:sz w:val="16"/>
                <w:szCs w:val="16"/>
                <w:color w:val="auto"/>
              </w:rPr>
            </w:pPr>
          </w:p>
        </w:tc>
        <w:tc>
          <w:tcPr>
            <w:tcW w:w="840" w:type="dxa"/>
            <w:vAlign w:val="bottom"/>
            <w:gridSpan w:val="9"/>
          </w:tcPr>
          <w:p>
            <w:pPr>
              <w:spacing w:after="0"/>
              <w:rPr>
                <w:sz w:val="16"/>
                <w:szCs w:val="16"/>
                <w:color w:val="auto"/>
              </w:rPr>
            </w:pPr>
          </w:p>
        </w:tc>
        <w:tc>
          <w:tcPr>
            <w:tcW w:w="280" w:type="dxa"/>
            <w:vAlign w:val="bottom"/>
            <w:tcBorders>
              <w:top w:val="single" w:sz="8" w:color="auto"/>
            </w:tcBorders>
            <w:gridSpan w:val="3"/>
          </w:tcPr>
          <w:p>
            <w:pPr>
              <w:spacing w:after="0"/>
              <w:rPr>
                <w:sz w:val="16"/>
                <w:szCs w:val="16"/>
                <w:color w:val="auto"/>
              </w:rPr>
            </w:pPr>
          </w:p>
        </w:tc>
        <w:tc>
          <w:tcPr>
            <w:tcW w:w="880" w:type="dxa"/>
            <w:vAlign w:val="bottom"/>
            <w:gridSpan w:val="6"/>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gridSpan w:val="7"/>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40" w:type="dxa"/>
            <w:vAlign w:val="bottom"/>
            <w:gridSpan w:val="5"/>
          </w:tcPr>
          <w:p>
            <w:pPr>
              <w:spacing w:after="0"/>
              <w:rPr>
                <w:sz w:val="16"/>
                <w:szCs w:val="16"/>
                <w:color w:val="auto"/>
              </w:rPr>
            </w:pPr>
          </w:p>
        </w:tc>
        <w:tc>
          <w:tcPr>
            <w:tcW w:w="460" w:type="dxa"/>
            <w:vAlign w:val="bottom"/>
            <w:tcBorders>
              <w:top w:val="single" w:sz="8" w:color="auto"/>
            </w:tcBorders>
            <w:gridSpan w:val="3"/>
          </w:tcPr>
          <w:p>
            <w:pPr>
              <w:spacing w:after="0"/>
              <w:rPr>
                <w:sz w:val="16"/>
                <w:szCs w:val="16"/>
                <w:color w:val="auto"/>
              </w:rPr>
            </w:pPr>
          </w:p>
        </w:tc>
        <w:tc>
          <w:tcPr>
            <w:tcW w:w="640" w:type="dxa"/>
            <w:vAlign w:val="bottom"/>
            <w:gridSpan w:val="5"/>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400" w:type="dxa"/>
            <w:vAlign w:val="bottom"/>
            <w:gridSpan w:val="5"/>
          </w:tcPr>
          <w:p>
            <w:pPr>
              <w:jc w:val="right"/>
              <w:spacing w:after="0"/>
              <w:rPr>
                <w:sz w:val="20"/>
                <w:szCs w:val="20"/>
                <w:color w:val="auto"/>
              </w:rPr>
            </w:pPr>
            <w:r>
              <w:rPr>
                <w:rFonts w:ascii="Arial" w:cs="Arial" w:eastAsia="Arial" w:hAnsi="Arial"/>
                <w:sz w:val="12"/>
                <w:szCs w:val="12"/>
                <w:color w:val="auto"/>
                <w:w w:val="87"/>
              </w:rPr>
              <w:t>862,793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460" w:type="dxa"/>
            <w:vAlign w:val="bottom"/>
            <w:gridSpan w:val="6"/>
          </w:tcPr>
          <w:p>
            <w:pPr>
              <w:jc w:val="right"/>
              <w:spacing w:after="0"/>
              <w:rPr>
                <w:sz w:val="20"/>
                <w:szCs w:val="20"/>
                <w:color w:val="auto"/>
              </w:rPr>
            </w:pPr>
            <w:r>
              <w:rPr>
                <w:rFonts w:ascii="Arial" w:cs="Arial" w:eastAsia="Arial" w:hAnsi="Arial"/>
                <w:sz w:val="12"/>
                <w:szCs w:val="12"/>
                <w:color w:val="auto"/>
                <w:w w:val="82"/>
              </w:rPr>
              <w:t>1,290,902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340" w:type="dxa"/>
            <w:vAlign w:val="bottom"/>
            <w:gridSpan w:val="5"/>
          </w:tcPr>
          <w:p>
            <w:pPr>
              <w:jc w:val="right"/>
              <w:spacing w:after="0"/>
              <w:rPr>
                <w:sz w:val="20"/>
                <w:szCs w:val="20"/>
                <w:color w:val="auto"/>
              </w:rPr>
            </w:pPr>
            <w:r>
              <w:rPr>
                <w:rFonts w:ascii="Arial" w:cs="Arial" w:eastAsia="Arial" w:hAnsi="Arial"/>
                <w:sz w:val="12"/>
                <w:szCs w:val="12"/>
                <w:color w:val="auto"/>
                <w:w w:val="87"/>
              </w:rPr>
              <w:t>15,646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gridSpan w:val="4"/>
          </w:tcPr>
          <w:p>
            <w:pPr>
              <w:spacing w:after="0"/>
              <w:rPr>
                <w:sz w:val="15"/>
                <w:szCs w:val="15"/>
                <w:color w:val="auto"/>
              </w:rPr>
            </w:pPr>
          </w:p>
        </w:tc>
        <w:tc>
          <w:tcPr>
            <w:tcW w:w="340" w:type="dxa"/>
            <w:vAlign w:val="bottom"/>
            <w:gridSpan w:val="4"/>
          </w:tcPr>
          <w:p>
            <w:pPr>
              <w:jc w:val="right"/>
              <w:spacing w:after="0"/>
              <w:rPr>
                <w:sz w:val="20"/>
                <w:szCs w:val="20"/>
                <w:color w:val="auto"/>
              </w:rPr>
            </w:pPr>
            <w:r>
              <w:rPr>
                <w:rFonts w:ascii="Arial" w:cs="Arial" w:eastAsia="Arial" w:hAnsi="Arial"/>
                <w:sz w:val="12"/>
                <w:szCs w:val="12"/>
                <w:color w:val="auto"/>
                <w:w w:val="87"/>
              </w:rPr>
              <w:t>12,928</w:t>
            </w:r>
          </w:p>
        </w:tc>
        <w:tc>
          <w:tcPr>
            <w:tcW w:w="160" w:type="dxa"/>
            <w:vAlign w:val="bottom"/>
          </w:tcPr>
          <w:p>
            <w:pPr>
              <w:spacing w:after="0"/>
              <w:rPr>
                <w:sz w:val="15"/>
                <w:szCs w:val="15"/>
                <w:color w:val="auto"/>
              </w:rPr>
            </w:pPr>
          </w:p>
        </w:tc>
        <w:tc>
          <w:tcPr>
            <w:tcW w:w="720" w:type="dxa"/>
            <w:vAlign w:val="bottom"/>
            <w:gridSpan w:val="5"/>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0"/>
                <w:szCs w:val="10"/>
                <w:color w:val="auto"/>
                <w:w w:val="71"/>
              </w:rPr>
              <w:t>818</w:t>
            </w:r>
          </w:p>
        </w:tc>
        <w:tc>
          <w:tcPr>
            <w:tcW w:w="80" w:type="dxa"/>
            <w:vAlign w:val="bottom"/>
          </w:tcPr>
          <w:p>
            <w:pPr>
              <w:spacing w:after="0"/>
              <w:rPr>
                <w:sz w:val="15"/>
                <w:szCs w:val="15"/>
                <w:color w:val="auto"/>
              </w:rPr>
            </w:pPr>
          </w:p>
        </w:tc>
        <w:tc>
          <w:tcPr>
            <w:tcW w:w="1040" w:type="dxa"/>
            <w:vAlign w:val="bottom"/>
            <w:gridSpan w:val="7"/>
          </w:tcPr>
          <w:p>
            <w:pPr>
              <w:jc w:val="right"/>
              <w:spacing w:after="0"/>
              <w:rPr>
                <w:sz w:val="20"/>
                <w:szCs w:val="20"/>
                <w:color w:val="auto"/>
              </w:rPr>
            </w:pPr>
            <w:r>
              <w:rPr>
                <w:rFonts w:ascii="Arial" w:cs="Arial" w:eastAsia="Arial" w:hAnsi="Arial"/>
                <w:sz w:val="12"/>
                <w:szCs w:val="12"/>
                <w:color w:val="auto"/>
              </w:rPr>
              <w:t>69,884</w:t>
            </w:r>
          </w:p>
        </w:tc>
        <w:tc>
          <w:tcPr>
            <w:tcW w:w="1260" w:type="dxa"/>
            <w:vAlign w:val="bottom"/>
            <w:gridSpan w:val="9"/>
          </w:tcPr>
          <w:p>
            <w:pPr>
              <w:jc w:val="right"/>
              <w:ind w:right="160"/>
              <w:spacing w:after="0"/>
              <w:rPr>
                <w:sz w:val="20"/>
                <w:szCs w:val="20"/>
                <w:color w:val="auto"/>
              </w:rPr>
            </w:pPr>
            <w:r>
              <w:rPr>
                <w:rFonts w:ascii="Arial" w:cs="Arial" w:eastAsia="Arial" w:hAnsi="Arial"/>
                <w:sz w:val="12"/>
                <w:szCs w:val="12"/>
                <w:color w:val="auto"/>
              </w:rPr>
              <w:t>(778,605)</w:t>
            </w:r>
          </w:p>
        </w:tc>
        <w:tc>
          <w:tcPr>
            <w:tcW w:w="860" w:type="dxa"/>
            <w:vAlign w:val="bottom"/>
            <w:gridSpan w:val="5"/>
          </w:tcPr>
          <w:p>
            <w:pPr>
              <w:jc w:val="right"/>
              <w:spacing w:after="0"/>
              <w:rPr>
                <w:sz w:val="20"/>
                <w:szCs w:val="20"/>
                <w:color w:val="auto"/>
              </w:rPr>
            </w:pPr>
            <w:r>
              <w:rPr>
                <w:rFonts w:ascii="Arial" w:cs="Arial" w:eastAsia="Arial" w:hAnsi="Arial"/>
                <w:sz w:val="12"/>
                <w:szCs w:val="12"/>
                <w:color w:val="auto"/>
              </w:rPr>
              <w:t>1,474,366</w:t>
            </w:r>
          </w:p>
        </w:tc>
        <w:tc>
          <w:tcPr>
            <w:tcW w:w="0" w:type="dxa"/>
            <w:vAlign w:val="bottom"/>
          </w:tcPr>
          <w:p>
            <w:pPr>
              <w:spacing w:after="0"/>
              <w:rPr>
                <w:sz w:val="1"/>
                <w:szCs w:val="1"/>
                <w:color w:val="auto"/>
              </w:rPr>
            </w:pPr>
          </w:p>
        </w:tc>
      </w:tr>
      <w:tr>
        <w:trPr>
          <w:trHeight w:val="20"/>
        </w:trPr>
        <w:tc>
          <w:tcPr>
            <w:tcW w:w="4600" w:type="dxa"/>
            <w:vAlign w:val="bottom"/>
            <w:tcBorders>
              <w:right w:val="single" w:sz="8" w:color="auto"/>
            </w:tcBorders>
            <w:gridSpan w:val="10"/>
          </w:tcPr>
          <w:p>
            <w:pPr>
              <w:spacing w:after="0" w:line="20" w:lineRule="exact"/>
              <w:rPr>
                <w:sz w:val="1"/>
                <w:szCs w:val="1"/>
                <w:color w:val="auto"/>
              </w:rPr>
            </w:pPr>
          </w:p>
        </w:tc>
        <w:tc>
          <w:tcPr>
            <w:tcW w:w="460" w:type="dxa"/>
            <w:vAlign w:val="bottom"/>
            <w:tcBorders>
              <w:right w:val="single" w:sz="8" w:color="auto"/>
            </w:tcBorders>
            <w:gridSpan w:val="6"/>
            <w:shd w:val="clear" w:color="auto" w:fill="000000"/>
          </w:tcPr>
          <w:p>
            <w:pPr>
              <w:spacing w:after="0" w:line="20" w:lineRule="exact"/>
              <w:rPr>
                <w:sz w:val="1"/>
                <w:szCs w:val="1"/>
                <w:color w:val="auto"/>
              </w:rPr>
            </w:pPr>
          </w:p>
        </w:tc>
        <w:tc>
          <w:tcPr>
            <w:tcW w:w="800" w:type="dxa"/>
            <w:vAlign w:val="bottom"/>
            <w:tcBorders>
              <w:right w:val="single" w:sz="8" w:color="auto"/>
            </w:tcBorders>
            <w:gridSpan w:val="12"/>
          </w:tcPr>
          <w:p>
            <w:pPr>
              <w:spacing w:after="0" w:line="20" w:lineRule="exact"/>
              <w:rPr>
                <w:sz w:val="1"/>
                <w:szCs w:val="1"/>
                <w:color w:val="auto"/>
              </w:rPr>
            </w:pPr>
          </w:p>
        </w:tc>
        <w:tc>
          <w:tcPr>
            <w:tcW w:w="980" w:type="dxa"/>
            <w:vAlign w:val="bottom"/>
            <w:tcBorders>
              <w:right w:val="single" w:sz="8" w:color="auto"/>
            </w:tcBorders>
            <w:gridSpan w:val="11"/>
          </w:tcPr>
          <w:p>
            <w:pPr>
              <w:spacing w:after="0" w:line="20" w:lineRule="exact"/>
              <w:rPr>
                <w:sz w:val="1"/>
                <w:szCs w:val="1"/>
                <w:color w:val="auto"/>
              </w:rPr>
            </w:pPr>
          </w:p>
        </w:tc>
        <w:tc>
          <w:tcPr>
            <w:tcW w:w="1020" w:type="dxa"/>
            <w:vAlign w:val="bottom"/>
            <w:tcBorders>
              <w:right w:val="single" w:sz="8" w:color="auto"/>
            </w:tcBorders>
            <w:gridSpan w:val="7"/>
            <w:shd w:val="clear" w:color="auto" w:fill="000000"/>
          </w:tcPr>
          <w:p>
            <w:pPr>
              <w:spacing w:after="0" w:line="20" w:lineRule="exact"/>
              <w:rPr>
                <w:sz w:val="1"/>
                <w:szCs w:val="1"/>
                <w:color w:val="auto"/>
              </w:rPr>
            </w:pPr>
          </w:p>
        </w:tc>
        <w:tc>
          <w:tcPr>
            <w:tcW w:w="940" w:type="dxa"/>
            <w:vAlign w:val="bottom"/>
            <w:tcBorders>
              <w:right w:val="single" w:sz="8" w:color="auto"/>
            </w:tcBorders>
            <w:gridSpan w:val="8"/>
            <w:shd w:val="clear" w:color="auto" w:fill="000000"/>
          </w:tcPr>
          <w:p>
            <w:pPr>
              <w:spacing w:after="0" w:line="20" w:lineRule="exact"/>
              <w:rPr>
                <w:sz w:val="1"/>
                <w:szCs w:val="1"/>
                <w:color w:val="auto"/>
              </w:rPr>
            </w:pPr>
          </w:p>
        </w:tc>
        <w:tc>
          <w:tcPr>
            <w:tcW w:w="960" w:type="dxa"/>
            <w:vAlign w:val="bottom"/>
            <w:tcBorders>
              <w:left w:val="single" w:sz="8" w:color="auto"/>
              <w:right w:val="single" w:sz="8" w:color="auto"/>
            </w:tcBorders>
            <w:gridSpan w:val="6"/>
            <w:shd w:val="clear" w:color="auto" w:fill="000000"/>
          </w:tcPr>
          <w:p>
            <w:pPr>
              <w:spacing w:after="0" w:line="20" w:lineRule="exact"/>
              <w:rPr>
                <w:sz w:val="1"/>
                <w:szCs w:val="1"/>
                <w:color w:val="auto"/>
              </w:rPr>
            </w:pPr>
          </w:p>
        </w:tc>
        <w:tc>
          <w:tcPr>
            <w:tcW w:w="1100" w:type="dxa"/>
            <w:vAlign w:val="bottom"/>
            <w:tcBorders>
              <w:right w:val="single" w:sz="8" w:color="auto"/>
            </w:tcBorders>
            <w:gridSpan w:val="8"/>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33"/>
          </w:tcPr>
          <w:p>
            <w:pPr>
              <w:jc w:val="center"/>
              <w:ind w:left="59"/>
              <w:spacing w:after="0"/>
              <w:rPr>
                <w:sz w:val="20"/>
                <w:szCs w:val="20"/>
                <w:color w:val="auto"/>
              </w:rPr>
            </w:pPr>
            <w:r>
              <w:rPr>
                <w:rFonts w:ascii="Arial" w:cs="Arial" w:eastAsia="Arial" w:hAnsi="Arial"/>
                <w:sz w:val="12"/>
                <w:szCs w:val="12"/>
                <w:b w:val="1"/>
                <w:bCs w:val="1"/>
                <w:color w:val="auto"/>
                <w:w w:val="90"/>
              </w:rPr>
              <w:t>Supplemental Condensed Consolidating Balance Sheet</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15"/>
          </w:tcPr>
          <w:p>
            <w:pPr>
              <w:jc w:val="center"/>
              <w:ind w:right="180"/>
              <w:spacing w:after="0"/>
              <w:rPr>
                <w:sz w:val="20"/>
                <w:szCs w:val="20"/>
                <w:color w:val="auto"/>
              </w:rPr>
            </w:pPr>
            <w:r>
              <w:rPr>
                <w:rFonts w:ascii="Arial" w:cs="Arial" w:eastAsia="Arial" w:hAnsi="Arial"/>
                <w:sz w:val="12"/>
                <w:szCs w:val="12"/>
                <w:b w:val="1"/>
                <w:bCs w:val="1"/>
                <w:color w:val="auto"/>
                <w:w w:val="91"/>
              </w:rPr>
              <w:t>As of July 31, 2002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16"/>
          </w:tcPr>
          <w:p>
            <w:pPr>
              <w:jc w:val="center"/>
              <w:ind w:right="40"/>
              <w:spacing w:after="0"/>
              <w:rPr>
                <w:sz w:val="20"/>
                <w:szCs w:val="20"/>
                <w:color w:val="auto"/>
              </w:rPr>
            </w:pPr>
            <w:r>
              <w:rPr>
                <w:rFonts w:ascii="Arial" w:cs="Arial" w:eastAsia="Arial" w:hAnsi="Arial"/>
                <w:sz w:val="12"/>
                <w:szCs w:val="12"/>
                <w:b w:val="1"/>
                <w:bCs w:val="1"/>
                <w:color w:val="auto"/>
                <w:w w:val="91"/>
              </w:rPr>
              <w:t>(in thousands of dollars)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7"/>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13"/>
            <w:vMerge w:val="restart"/>
          </w:tcPr>
          <w:p>
            <w:pPr>
              <w:jc w:val="center"/>
              <w:ind w:left="179"/>
              <w:spacing w:after="0"/>
              <w:rPr>
                <w:sz w:val="20"/>
                <w:szCs w:val="20"/>
                <w:color w:val="auto"/>
              </w:rPr>
            </w:pPr>
            <w:r>
              <w:rPr>
                <w:rFonts w:ascii="Arial" w:cs="Arial" w:eastAsia="Arial" w:hAnsi="Arial"/>
                <w:sz w:val="12"/>
                <w:szCs w:val="12"/>
                <w:b w:val="1"/>
                <w:bCs w:val="1"/>
                <w:color w:val="auto"/>
                <w:w w:val="94"/>
              </w:rPr>
              <w:t>100% Owned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gridSpan w:val="7"/>
          </w:tcPr>
          <w:p>
            <w:pPr>
              <w:jc w:val="center"/>
              <w:ind w:right="380"/>
              <w:spacing w:after="0"/>
              <w:rPr>
                <w:sz w:val="20"/>
                <w:szCs w:val="20"/>
                <w:color w:val="auto"/>
              </w:rPr>
            </w:pPr>
            <w:r>
              <w:rPr>
                <w:rFonts w:ascii="Arial" w:cs="Arial" w:eastAsia="Arial" w:hAnsi="Arial"/>
                <w:sz w:val="12"/>
                <w:szCs w:val="12"/>
                <w:b w:val="1"/>
                <w:bCs w:val="1"/>
                <w:color w:val="auto"/>
                <w:w w:val="95"/>
              </w:rPr>
              <w:t>Rock</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Parent</w:t>
            </w:r>
          </w:p>
        </w:tc>
        <w:tc>
          <w:tcPr>
            <w:tcW w:w="1300" w:type="dxa"/>
            <w:vAlign w:val="bottom"/>
            <w:gridSpan w:val="13"/>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gridSpan w:val="6"/>
            <w:vMerge w:val="restart"/>
          </w:tcPr>
          <w:p>
            <w:pPr>
              <w:jc w:val="right"/>
              <w:ind w:right="560"/>
              <w:spacing w:after="0"/>
              <w:rPr>
                <w:sz w:val="20"/>
                <w:szCs w:val="20"/>
                <w:color w:val="auto"/>
              </w:rPr>
            </w:pPr>
            <w:r>
              <w:rPr>
                <w:rFonts w:ascii="Arial" w:cs="Arial" w:eastAsia="Arial" w:hAnsi="Arial"/>
                <w:sz w:val="12"/>
                <w:szCs w:val="12"/>
                <w:b w:val="1"/>
                <w:bCs w:val="1"/>
                <w:color w:val="auto"/>
                <w:w w:val="87"/>
              </w:rPr>
              <w:t>Other</w:t>
            </w:r>
          </w:p>
        </w:tc>
        <w:tc>
          <w:tcPr>
            <w:tcW w:w="960" w:type="dxa"/>
            <w:vAlign w:val="bottom"/>
            <w:gridSpan w:val="7"/>
            <w:vMerge w:val="restart"/>
          </w:tcPr>
          <w:p>
            <w:pPr>
              <w:jc w:val="center"/>
              <w:ind w:right="300"/>
              <w:spacing w:after="0"/>
              <w:rPr>
                <w:sz w:val="20"/>
                <w:szCs w:val="20"/>
                <w:color w:val="auto"/>
              </w:rPr>
            </w:pPr>
            <w:r>
              <w:rPr>
                <w:rFonts w:ascii="Arial" w:cs="Arial" w:eastAsia="Arial" w:hAnsi="Arial"/>
                <w:sz w:val="12"/>
                <w:szCs w:val="12"/>
                <w:b w:val="1"/>
                <w:bCs w:val="1"/>
                <w:color w:val="auto"/>
                <w:w w:val="95"/>
              </w:rPr>
              <w:t>Eliminating</w:t>
            </w: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4"/>
            <w:vMerge w:val="continue"/>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9"/>
          </w:tcPr>
          <w:p>
            <w:pPr>
              <w:jc w:val="center"/>
              <w:ind w:right="60"/>
              <w:spacing w:after="0" w:line="115" w:lineRule="exact"/>
              <w:rPr>
                <w:sz w:val="20"/>
                <w:szCs w:val="20"/>
                <w:color w:val="auto"/>
              </w:rPr>
            </w:pPr>
            <w:r>
              <w:rPr>
                <w:rFonts w:ascii="Arial" w:cs="Arial" w:eastAsia="Arial" w:hAnsi="Arial"/>
                <w:sz w:val="12"/>
                <w:szCs w:val="12"/>
                <w:b w:val="1"/>
                <w:bCs w:val="1"/>
                <w:color w:val="auto"/>
                <w:w w:val="99"/>
              </w:rPr>
              <w:t>Guarantor</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8"/>
            <w:vMerge w:val="restart"/>
          </w:tcPr>
          <w:p>
            <w:pPr>
              <w:ind w:left="60"/>
              <w:spacing w:after="0"/>
              <w:rPr>
                <w:sz w:val="20"/>
                <w:szCs w:val="20"/>
                <w:color w:val="auto"/>
              </w:rPr>
            </w:pPr>
            <w:r>
              <w:rPr>
                <w:rFonts w:ascii="Arial" w:cs="Arial" w:eastAsia="Arial" w:hAnsi="Arial"/>
                <w:sz w:val="12"/>
                <w:szCs w:val="12"/>
                <w:b w:val="1"/>
                <w:bCs w:val="1"/>
                <w:color w:val="auto"/>
              </w:rPr>
              <w:t>JHL&amp;S</w:t>
            </w:r>
          </w:p>
        </w:tc>
        <w:tc>
          <w:tcPr>
            <w:tcW w:w="760" w:type="dxa"/>
            <w:vAlign w:val="bottom"/>
            <w:gridSpan w:val="9"/>
            <w:vMerge w:val="restart"/>
          </w:tcPr>
          <w:p>
            <w:pPr>
              <w:jc w:val="center"/>
              <w:ind w:right="280"/>
              <w:spacing w:after="0"/>
              <w:rPr>
                <w:sz w:val="20"/>
                <w:szCs w:val="20"/>
                <w:color w:val="auto"/>
              </w:rPr>
            </w:pPr>
            <w:r>
              <w:rPr>
                <w:rFonts w:ascii="Arial" w:cs="Arial" w:eastAsia="Arial" w:hAnsi="Arial"/>
                <w:sz w:val="12"/>
                <w:szCs w:val="12"/>
                <w:b w:val="1"/>
                <w:bCs w:val="1"/>
                <w:color w:val="auto"/>
                <w:w w:val="89"/>
              </w:rPr>
              <w:t>Resorts</w:t>
            </w:r>
          </w:p>
        </w:tc>
        <w:tc>
          <w:tcPr>
            <w:tcW w:w="940" w:type="dxa"/>
            <w:vAlign w:val="bottom"/>
            <w:gridSpan w:val="7"/>
            <w:vMerge w:val="restart"/>
          </w:tcPr>
          <w:p>
            <w:pPr>
              <w:spacing w:after="0"/>
              <w:rPr>
                <w:sz w:val="20"/>
                <w:szCs w:val="20"/>
                <w:color w:val="auto"/>
              </w:rPr>
            </w:pPr>
            <w:r>
              <w:rPr>
                <w:rFonts w:ascii="Arial" w:cs="Arial" w:eastAsia="Arial" w:hAnsi="Arial"/>
                <w:sz w:val="12"/>
                <w:szCs w:val="12"/>
                <w:b w:val="1"/>
                <w:bCs w:val="1"/>
                <w:color w:val="auto"/>
              </w:rPr>
              <w:t>Larkspur</w:t>
            </w:r>
          </w:p>
        </w:tc>
        <w:tc>
          <w:tcPr>
            <w:tcW w:w="180" w:type="dxa"/>
            <w:vAlign w:val="bottom"/>
          </w:tcPr>
          <w:p>
            <w:pPr>
              <w:spacing w:after="0"/>
              <w:rPr>
                <w:sz w:val="10"/>
                <w:szCs w:val="10"/>
                <w:color w:val="auto"/>
              </w:rPr>
            </w:pPr>
          </w:p>
        </w:tc>
        <w:tc>
          <w:tcPr>
            <w:tcW w:w="860" w:type="dxa"/>
            <w:vAlign w:val="bottom"/>
            <w:gridSpan w:val="6"/>
            <w:vMerge w:val="continue"/>
          </w:tcPr>
          <w:p>
            <w:pPr>
              <w:spacing w:after="0"/>
              <w:rPr>
                <w:sz w:val="10"/>
                <w:szCs w:val="10"/>
                <w:color w:val="auto"/>
              </w:rPr>
            </w:pPr>
          </w:p>
        </w:tc>
        <w:tc>
          <w:tcPr>
            <w:tcW w:w="960" w:type="dxa"/>
            <w:vAlign w:val="bottom"/>
            <w:gridSpan w:val="7"/>
            <w:vMerge w:val="continue"/>
          </w:tcPr>
          <w:p>
            <w:pPr>
              <w:spacing w:after="0"/>
              <w:rPr>
                <w:sz w:val="10"/>
                <w:szCs w:val="10"/>
                <w:color w:val="auto"/>
              </w:rPr>
            </w:pPr>
          </w:p>
        </w:tc>
        <w:tc>
          <w:tcPr>
            <w:tcW w:w="1160" w:type="dxa"/>
            <w:vAlign w:val="bottom"/>
            <w:gridSpan w:val="7"/>
            <w:vMerge w:val="restart"/>
          </w:tcPr>
          <w:p>
            <w:pPr>
              <w:jc w:val="right"/>
              <w:ind w:right="460"/>
              <w:spacing w:after="0"/>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8"/>
            <w:vMerge w:val="continue"/>
          </w:tcPr>
          <w:p>
            <w:pPr>
              <w:spacing w:after="0" w:line="20" w:lineRule="exact"/>
              <w:rPr>
                <w:sz w:val="1"/>
                <w:szCs w:val="1"/>
                <w:color w:val="auto"/>
              </w:rPr>
            </w:pPr>
          </w:p>
        </w:tc>
        <w:tc>
          <w:tcPr>
            <w:tcW w:w="760" w:type="dxa"/>
            <w:vAlign w:val="bottom"/>
            <w:gridSpan w:val="9"/>
            <w:vMerge w:val="continue"/>
          </w:tcPr>
          <w:p>
            <w:pPr>
              <w:spacing w:after="0" w:line="20" w:lineRule="exact"/>
              <w:rPr>
                <w:sz w:val="1"/>
                <w:szCs w:val="1"/>
                <w:color w:val="auto"/>
              </w:rPr>
            </w:pPr>
          </w:p>
        </w:tc>
        <w:tc>
          <w:tcPr>
            <w:tcW w:w="940" w:type="dxa"/>
            <w:vAlign w:val="bottom"/>
            <w:gridSpan w:val="7"/>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340" w:type="dxa"/>
            <w:vAlign w:val="bottom"/>
            <w:gridSpan w:val="3"/>
          </w:tcPr>
          <w:p>
            <w:pPr>
              <w:spacing w:after="0"/>
              <w:rPr>
                <w:sz w:val="20"/>
                <w:szCs w:val="20"/>
                <w:color w:val="auto"/>
              </w:rPr>
            </w:pPr>
            <w:r>
              <w:rPr>
                <w:rFonts w:ascii="Arial" w:cs="Arial" w:eastAsia="Arial" w:hAnsi="Arial"/>
                <w:sz w:val="10"/>
                <w:szCs w:val="10"/>
                <w:b w:val="1"/>
                <w:bCs w:val="1"/>
                <w:color w:val="auto"/>
                <w:w w:val="70"/>
              </w:rPr>
              <w:t>Company</w:t>
            </w:r>
          </w:p>
        </w:tc>
        <w:tc>
          <w:tcPr>
            <w:tcW w:w="12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7"/>
          </w:tcPr>
          <w:p>
            <w:pPr>
              <w:jc w:val="center"/>
              <w:spacing w:after="0" w:line="115" w:lineRule="exact"/>
              <w:rPr>
                <w:sz w:val="20"/>
                <w:szCs w:val="20"/>
                <w:color w:val="auto"/>
              </w:rPr>
            </w:pPr>
            <w:r>
              <w:rPr>
                <w:rFonts w:ascii="Arial" w:cs="Arial" w:eastAsia="Arial" w:hAnsi="Arial"/>
                <w:sz w:val="12"/>
                <w:szCs w:val="12"/>
                <w:b w:val="1"/>
                <w:bCs w:val="1"/>
                <w:color w:val="auto"/>
                <w:w w:val="81"/>
              </w:rPr>
              <w:t>Subsidiaries</w:t>
            </w:r>
          </w:p>
        </w:tc>
        <w:tc>
          <w:tcPr>
            <w:tcW w:w="20" w:type="dxa"/>
            <w:vAlign w:val="bottom"/>
            <w:vMerge w:val="continue"/>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8"/>
            <w:vMerge w:val="continue"/>
          </w:tcPr>
          <w:p>
            <w:pPr>
              <w:spacing w:after="0"/>
              <w:rPr>
                <w:sz w:val="10"/>
                <w:szCs w:val="10"/>
                <w:color w:val="auto"/>
              </w:rPr>
            </w:pPr>
          </w:p>
        </w:tc>
        <w:tc>
          <w:tcPr>
            <w:tcW w:w="760" w:type="dxa"/>
            <w:vAlign w:val="bottom"/>
            <w:gridSpan w:val="9"/>
            <w:vMerge w:val="continue"/>
          </w:tcPr>
          <w:p>
            <w:pPr>
              <w:spacing w:after="0"/>
              <w:rPr>
                <w:sz w:val="10"/>
                <w:szCs w:val="10"/>
                <w:color w:val="auto"/>
              </w:rPr>
            </w:pPr>
          </w:p>
        </w:tc>
        <w:tc>
          <w:tcPr>
            <w:tcW w:w="940" w:type="dxa"/>
            <w:vAlign w:val="bottom"/>
            <w:gridSpan w:val="7"/>
            <w:vMerge w:val="continue"/>
          </w:tcPr>
          <w:p>
            <w:pPr>
              <w:spacing w:after="0"/>
              <w:rPr>
                <w:sz w:val="10"/>
                <w:szCs w:val="10"/>
                <w:color w:val="auto"/>
              </w:rPr>
            </w:pPr>
          </w:p>
        </w:tc>
        <w:tc>
          <w:tcPr>
            <w:tcW w:w="1040" w:type="dxa"/>
            <w:vAlign w:val="bottom"/>
            <w:gridSpan w:val="7"/>
          </w:tcPr>
          <w:p>
            <w:pPr>
              <w:jc w:val="right"/>
              <w:ind w:right="380"/>
              <w:spacing w:after="0" w:line="115" w:lineRule="exact"/>
              <w:rPr>
                <w:sz w:val="20"/>
                <w:szCs w:val="20"/>
                <w:color w:val="auto"/>
              </w:rPr>
            </w:pPr>
            <w:r>
              <w:rPr>
                <w:rFonts w:ascii="Arial" w:cs="Arial" w:eastAsia="Arial" w:hAnsi="Arial"/>
                <w:sz w:val="12"/>
                <w:szCs w:val="12"/>
                <w:b w:val="1"/>
                <w:bCs w:val="1"/>
                <w:color w:val="auto"/>
                <w:w w:val="89"/>
              </w:rPr>
              <w:t>Subsidiaries</w:t>
            </w:r>
          </w:p>
        </w:tc>
        <w:tc>
          <w:tcPr>
            <w:tcW w:w="20" w:type="dxa"/>
            <w:vAlign w:val="bottom"/>
          </w:tcPr>
          <w:p>
            <w:pPr>
              <w:spacing w:after="0"/>
              <w:rPr>
                <w:sz w:val="10"/>
                <w:szCs w:val="10"/>
                <w:color w:val="auto"/>
              </w:rPr>
            </w:pPr>
          </w:p>
        </w:tc>
        <w:tc>
          <w:tcPr>
            <w:tcW w:w="940" w:type="dxa"/>
            <w:vAlign w:val="bottom"/>
            <w:gridSpan w:val="6"/>
          </w:tcPr>
          <w:p>
            <w:pPr>
              <w:jc w:val="center"/>
              <w:ind w:right="320"/>
              <w:spacing w:after="0" w:line="115" w:lineRule="exact"/>
              <w:rPr>
                <w:sz w:val="20"/>
                <w:szCs w:val="20"/>
                <w:color w:val="auto"/>
              </w:rPr>
            </w:pPr>
            <w:r>
              <w:rPr>
                <w:rFonts w:ascii="Arial" w:cs="Arial" w:eastAsia="Arial" w:hAnsi="Arial"/>
                <w:sz w:val="12"/>
                <w:szCs w:val="12"/>
                <w:b w:val="1"/>
                <w:bCs w:val="1"/>
                <w:color w:val="auto"/>
                <w:w w:val="93"/>
              </w:rPr>
              <w:t>Entries</w:t>
            </w:r>
          </w:p>
        </w:tc>
        <w:tc>
          <w:tcPr>
            <w:tcW w:w="11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580" w:type="dxa"/>
            <w:vAlign w:val="bottom"/>
            <w:gridSpan w:val="3"/>
          </w:tcPr>
          <w:p>
            <w:pPr>
              <w:ind w:left="520"/>
              <w:spacing w:after="0"/>
              <w:rPr>
                <w:sz w:val="20"/>
                <w:szCs w:val="20"/>
                <w:color w:val="auto"/>
              </w:rPr>
            </w:pPr>
            <w:r>
              <w:rPr>
                <w:rFonts w:ascii="Arial" w:cs="Arial" w:eastAsia="Arial" w:hAnsi="Arial"/>
                <w:sz w:val="12"/>
                <w:szCs w:val="12"/>
                <w:color w:val="auto"/>
              </w:rPr>
              <w:t>Current assets:</w:t>
            </w:r>
          </w:p>
        </w:tc>
        <w:tc>
          <w:tcPr>
            <w:tcW w:w="540" w:type="dxa"/>
            <w:vAlign w:val="bottom"/>
            <w:tcBorders>
              <w:top w:val="single" w:sz="8" w:color="auto"/>
            </w:tcBorders>
            <w:gridSpan w:val="5"/>
          </w:tcPr>
          <w:p>
            <w:pPr>
              <w:spacing w:after="0"/>
              <w:rPr>
                <w:sz w:val="21"/>
                <w:szCs w:val="21"/>
                <w:color w:val="auto"/>
              </w:rPr>
            </w:pPr>
          </w:p>
        </w:tc>
        <w:tc>
          <w:tcPr>
            <w:tcW w:w="480" w:type="dxa"/>
            <w:vAlign w:val="bottom"/>
            <w:gridSpan w:val="2"/>
          </w:tcPr>
          <w:p>
            <w:pPr>
              <w:spacing w:after="0"/>
              <w:rPr>
                <w:sz w:val="21"/>
                <w:szCs w:val="21"/>
                <w:color w:val="auto"/>
              </w:rPr>
            </w:pPr>
          </w:p>
        </w:tc>
        <w:tc>
          <w:tcPr>
            <w:tcW w:w="600" w:type="dxa"/>
            <w:vAlign w:val="bottom"/>
            <w:tcBorders>
              <w:top w:val="single" w:sz="8" w:color="auto"/>
            </w:tcBorders>
            <w:gridSpan w:val="8"/>
          </w:tcPr>
          <w:p>
            <w:pPr>
              <w:spacing w:after="0"/>
              <w:rPr>
                <w:sz w:val="21"/>
                <w:szCs w:val="21"/>
                <w:color w:val="auto"/>
              </w:rPr>
            </w:pPr>
          </w:p>
        </w:tc>
        <w:tc>
          <w:tcPr>
            <w:tcW w:w="440" w:type="dxa"/>
            <w:vAlign w:val="bottom"/>
            <w:gridSpan w:val="7"/>
          </w:tcPr>
          <w:p>
            <w:pPr>
              <w:spacing w:after="0"/>
              <w:rPr>
                <w:sz w:val="21"/>
                <w:szCs w:val="21"/>
                <w:color w:val="auto"/>
              </w:rPr>
            </w:pPr>
          </w:p>
        </w:tc>
        <w:tc>
          <w:tcPr>
            <w:tcW w:w="400" w:type="dxa"/>
            <w:vAlign w:val="bottom"/>
            <w:tcBorders>
              <w:top w:val="single" w:sz="8" w:color="auto"/>
            </w:tcBorders>
            <w:gridSpan w:val="5"/>
          </w:tcPr>
          <w:p>
            <w:pPr>
              <w:spacing w:after="0"/>
              <w:rPr>
                <w:sz w:val="21"/>
                <w:szCs w:val="21"/>
                <w:color w:val="auto"/>
              </w:rPr>
            </w:pPr>
          </w:p>
        </w:tc>
        <w:tc>
          <w:tcPr>
            <w:tcW w:w="380" w:type="dxa"/>
            <w:vAlign w:val="bottom"/>
            <w:gridSpan w:val="3"/>
          </w:tcPr>
          <w:p>
            <w:pPr>
              <w:spacing w:after="0"/>
              <w:rPr>
                <w:sz w:val="21"/>
                <w:szCs w:val="21"/>
                <w:color w:val="auto"/>
              </w:rPr>
            </w:pPr>
          </w:p>
        </w:tc>
        <w:tc>
          <w:tcPr>
            <w:tcW w:w="420" w:type="dxa"/>
            <w:vAlign w:val="bottom"/>
            <w:tcBorders>
              <w:top w:val="single" w:sz="8" w:color="auto"/>
            </w:tcBorders>
            <w:gridSpan w:val="6"/>
          </w:tcPr>
          <w:p>
            <w:pPr>
              <w:spacing w:after="0"/>
              <w:rPr>
                <w:sz w:val="21"/>
                <w:szCs w:val="21"/>
                <w:color w:val="auto"/>
              </w:rPr>
            </w:pPr>
          </w:p>
        </w:tc>
        <w:tc>
          <w:tcPr>
            <w:tcW w:w="300" w:type="dxa"/>
            <w:vAlign w:val="bottom"/>
            <w:gridSpan w:val="2"/>
          </w:tcPr>
          <w:p>
            <w:pPr>
              <w:spacing w:after="0"/>
              <w:rPr>
                <w:sz w:val="21"/>
                <w:szCs w:val="21"/>
                <w:color w:val="auto"/>
              </w:rPr>
            </w:pPr>
          </w:p>
        </w:tc>
        <w:tc>
          <w:tcPr>
            <w:tcW w:w="500" w:type="dxa"/>
            <w:vAlign w:val="bottom"/>
            <w:tcBorders>
              <w:top w:val="single" w:sz="8" w:color="auto"/>
            </w:tcBorders>
            <w:gridSpan w:val="3"/>
          </w:tcPr>
          <w:p>
            <w:pPr>
              <w:spacing w:after="0"/>
              <w:rPr>
                <w:sz w:val="21"/>
                <w:szCs w:val="21"/>
                <w:color w:val="auto"/>
              </w:rPr>
            </w:pPr>
          </w:p>
        </w:tc>
        <w:tc>
          <w:tcPr>
            <w:tcW w:w="440" w:type="dxa"/>
            <w:vAlign w:val="bottom"/>
            <w:gridSpan w:val="4"/>
          </w:tcPr>
          <w:p>
            <w:pPr>
              <w:spacing w:after="0"/>
              <w:rPr>
                <w:sz w:val="21"/>
                <w:szCs w:val="21"/>
                <w:color w:val="auto"/>
              </w:rPr>
            </w:pPr>
          </w:p>
        </w:tc>
        <w:tc>
          <w:tcPr>
            <w:tcW w:w="660" w:type="dxa"/>
            <w:vAlign w:val="bottom"/>
            <w:tcBorders>
              <w:top w:val="single" w:sz="8" w:color="auto"/>
            </w:tcBorders>
            <w:gridSpan w:val="5"/>
          </w:tcPr>
          <w:p>
            <w:pPr>
              <w:spacing w:after="0"/>
              <w:rPr>
                <w:sz w:val="21"/>
                <w:szCs w:val="21"/>
                <w:color w:val="auto"/>
              </w:rPr>
            </w:pPr>
          </w:p>
        </w:tc>
        <w:tc>
          <w:tcPr>
            <w:tcW w:w="520" w:type="dxa"/>
            <w:vAlign w:val="bottom"/>
            <w:gridSpan w:val="4"/>
          </w:tcPr>
          <w:p>
            <w:pPr>
              <w:spacing w:after="0"/>
              <w:rPr>
                <w:sz w:val="21"/>
                <w:szCs w:val="21"/>
                <w:color w:val="auto"/>
              </w:rPr>
            </w:pPr>
          </w:p>
        </w:tc>
        <w:tc>
          <w:tcPr>
            <w:tcW w:w="380" w:type="dxa"/>
            <w:vAlign w:val="bottom"/>
            <w:tcBorders>
              <w:top w:val="single" w:sz="8" w:color="auto"/>
            </w:tcBorders>
            <w:gridSpan w:val="2"/>
          </w:tcPr>
          <w:p>
            <w:pPr>
              <w:spacing w:after="0"/>
              <w:rPr>
                <w:sz w:val="21"/>
                <w:szCs w:val="21"/>
                <w:color w:val="auto"/>
              </w:rPr>
            </w:pPr>
          </w:p>
        </w:tc>
        <w:tc>
          <w:tcPr>
            <w:tcW w:w="440" w:type="dxa"/>
            <w:vAlign w:val="bottom"/>
            <w:gridSpan w:val="3"/>
          </w:tcPr>
          <w:p>
            <w:pPr>
              <w:spacing w:after="0"/>
              <w:rPr>
                <w:sz w:val="21"/>
                <w:szCs w:val="21"/>
                <w:color w:val="auto"/>
              </w:rPr>
            </w:pPr>
          </w:p>
        </w:tc>
        <w:tc>
          <w:tcPr>
            <w:tcW w:w="780" w:type="dxa"/>
            <w:vAlign w:val="bottom"/>
            <w:tcBorders>
              <w:top w:val="single" w:sz="8" w:color="auto"/>
            </w:tcBorders>
            <w:gridSpan w:val="6"/>
          </w:tcPr>
          <w:p>
            <w:pPr>
              <w:spacing w:after="0"/>
              <w:rPr>
                <w:sz w:val="21"/>
                <w:szCs w:val="21"/>
                <w:color w:val="auto"/>
              </w:rPr>
            </w:pP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Cash and cash equivalents</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23,111</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124</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2,679</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25,965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Receivables</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1,138</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26,457</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881</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602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117</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2,642</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31,837</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Inventories, net</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11,194</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89</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129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20,914</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32,326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520"/>
              <w:spacing w:after="0"/>
              <w:rPr>
                <w:sz w:val="20"/>
                <w:szCs w:val="20"/>
                <w:color w:val="auto"/>
              </w:rPr>
            </w:pPr>
            <w:r>
              <w:rPr>
                <w:rFonts w:ascii="Arial" w:cs="Arial" w:eastAsia="Arial" w:hAnsi="Arial"/>
                <w:sz w:val="12"/>
                <w:szCs w:val="12"/>
                <w:color w:val="auto"/>
              </w:rPr>
              <w:t>Other current assets</w:t>
            </w:r>
          </w:p>
        </w:tc>
        <w:tc>
          <w:tcPr>
            <w:tcW w:w="720" w:type="dxa"/>
            <w:vAlign w:val="bottom"/>
            <w:gridSpan w:val="7"/>
          </w:tcPr>
          <w:p>
            <w:pPr>
              <w:jc w:val="right"/>
              <w:spacing w:after="0"/>
              <w:rPr>
                <w:sz w:val="20"/>
                <w:szCs w:val="20"/>
                <w:color w:val="auto"/>
              </w:rPr>
            </w:pPr>
            <w:r>
              <w:rPr>
                <w:rFonts w:ascii="Arial" w:cs="Arial" w:eastAsia="Arial" w:hAnsi="Arial"/>
                <w:sz w:val="12"/>
                <w:szCs w:val="12"/>
                <w:u w:val="single" w:color="auto"/>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18,089</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137</w:t>
            </w:r>
          </w:p>
        </w:tc>
        <w:tc>
          <w:tcPr>
            <w:tcW w:w="260" w:type="dxa"/>
            <w:vAlign w:val="bottom"/>
          </w:tcPr>
          <w:p>
            <w:pPr>
              <w:spacing w:after="0"/>
              <w:rPr>
                <w:sz w:val="19"/>
                <w:szCs w:val="19"/>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u w:val="single" w:color="auto"/>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1,055</w:t>
            </w:r>
          </w:p>
        </w:tc>
        <w:tc>
          <w:tcPr>
            <w:tcW w:w="320" w:type="dxa"/>
            <w:vAlign w:val="bottom"/>
          </w:tcPr>
          <w:p>
            <w:pPr>
              <w:spacing w:after="0"/>
              <w:rPr>
                <w:sz w:val="19"/>
                <w:szCs w:val="19"/>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19,288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060" w:type="dxa"/>
            <w:vAlign w:val="bottom"/>
            <w:gridSpan w:val="16"/>
          </w:tcPr>
          <w:p>
            <w:pPr>
              <w:ind w:left="1020"/>
              <w:spacing w:after="0"/>
              <w:rPr>
                <w:sz w:val="20"/>
                <w:szCs w:val="20"/>
                <w:color w:val="auto"/>
              </w:rPr>
            </w:pPr>
            <w:r>
              <w:rPr>
                <w:rFonts w:ascii="Arial" w:cs="Arial" w:eastAsia="Arial" w:hAnsi="Arial"/>
                <w:sz w:val="12"/>
                <w:szCs w:val="12"/>
                <w:color w:val="auto"/>
              </w:rPr>
              <w:t>Total current assets</w:t>
            </w:r>
          </w:p>
        </w:tc>
        <w:tc>
          <w:tcPr>
            <w:tcW w:w="320" w:type="dxa"/>
            <w:vAlign w:val="bottom"/>
            <w:tcBorders>
              <w:top w:val="single" w:sz="8" w:color="auto"/>
            </w:tcBorders>
            <w:gridSpan w:val="4"/>
          </w:tcPr>
          <w:p>
            <w:pPr>
              <w:spacing w:after="0"/>
              <w:rPr>
                <w:sz w:val="16"/>
                <w:szCs w:val="16"/>
                <w:color w:val="auto"/>
              </w:rPr>
            </w:pPr>
          </w:p>
        </w:tc>
        <w:tc>
          <w:tcPr>
            <w:tcW w:w="560" w:type="dxa"/>
            <w:vAlign w:val="bottom"/>
            <w:gridSpan w:val="9"/>
          </w:tcPr>
          <w:p>
            <w:pPr>
              <w:spacing w:after="0"/>
              <w:rPr>
                <w:sz w:val="16"/>
                <w:szCs w:val="16"/>
                <w:color w:val="auto"/>
              </w:rPr>
            </w:pPr>
          </w:p>
        </w:tc>
        <w:tc>
          <w:tcPr>
            <w:tcW w:w="180" w:type="dxa"/>
            <w:vAlign w:val="bottom"/>
            <w:tcBorders>
              <w:top w:val="single" w:sz="8" w:color="auto"/>
            </w:tcBorders>
            <w:gridSpan w:val="2"/>
          </w:tcPr>
          <w:p>
            <w:pPr>
              <w:spacing w:after="0"/>
              <w:rPr>
                <w:sz w:val="16"/>
                <w:szCs w:val="16"/>
                <w:color w:val="auto"/>
              </w:rPr>
            </w:pPr>
          </w:p>
        </w:tc>
        <w:tc>
          <w:tcPr>
            <w:tcW w:w="2440" w:type="dxa"/>
            <w:vAlign w:val="bottom"/>
            <w:gridSpan w:val="20"/>
          </w:tcPr>
          <w:p>
            <w:pPr>
              <w:spacing w:after="0"/>
              <w:rPr>
                <w:sz w:val="16"/>
                <w:szCs w:val="16"/>
                <w:color w:val="auto"/>
              </w:rPr>
            </w:pPr>
          </w:p>
        </w:tc>
        <w:tc>
          <w:tcPr>
            <w:tcW w:w="240" w:type="dxa"/>
            <w:vAlign w:val="bottom"/>
            <w:tcBorders>
              <w:top w:val="single" w:sz="8" w:color="auto"/>
            </w:tcBorders>
            <w:gridSpan w:val="3"/>
          </w:tcPr>
          <w:p>
            <w:pPr>
              <w:spacing w:after="0"/>
              <w:rPr>
                <w:sz w:val="16"/>
                <w:szCs w:val="16"/>
                <w:color w:val="auto"/>
              </w:rPr>
            </w:pPr>
          </w:p>
        </w:tc>
        <w:tc>
          <w:tcPr>
            <w:tcW w:w="1740" w:type="dxa"/>
            <w:vAlign w:val="bottom"/>
            <w:gridSpan w:val="12"/>
          </w:tcPr>
          <w:p>
            <w:pPr>
              <w:spacing w:after="0"/>
              <w:rPr>
                <w:sz w:val="16"/>
                <w:szCs w:val="16"/>
                <w:color w:val="auto"/>
              </w:rPr>
            </w:pPr>
          </w:p>
        </w:tc>
        <w:tc>
          <w:tcPr>
            <w:tcW w:w="320" w:type="dxa"/>
            <w:vAlign w:val="bottom"/>
            <w:tcBorders>
              <w:top w:val="single" w:sz="8" w:color="auto"/>
            </w:tcBorders>
            <w:gridSpan w:val="2"/>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1,138</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78,851</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1,231</w:t>
            </w:r>
          </w:p>
        </w:tc>
        <w:tc>
          <w:tcPr>
            <w:tcW w:w="260" w:type="dxa"/>
            <w:vAlign w:val="bottom"/>
          </w:tcPr>
          <w:p>
            <w:pPr>
              <w:spacing w:after="0"/>
              <w:rPr>
                <w:sz w:val="17"/>
                <w:szCs w:val="17"/>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602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304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27,290</w:t>
            </w:r>
          </w:p>
        </w:tc>
        <w:tc>
          <w:tcPr>
            <w:tcW w:w="320" w:type="dxa"/>
            <w:vAlign w:val="bottom"/>
          </w:tcPr>
          <w:p>
            <w:pPr>
              <w:spacing w:after="0"/>
              <w:rPr>
                <w:sz w:val="17"/>
                <w:szCs w:val="17"/>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109,416</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Property, plant and equipment, net</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867,117</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30,203</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852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15,634</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913,806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Real estate held for sale and investment</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150,651</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900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10,227</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161,778</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Goodwill, net</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119,348</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2,077</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1,660</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16,515</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139,600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Other intangible assets, net</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65,504</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8,957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3,525</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77,986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Deferred charges and other assets</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9,450</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35,119</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34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521</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45,124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3400" w:type="dxa"/>
            <w:vAlign w:val="bottom"/>
          </w:tcPr>
          <w:p>
            <w:pPr>
              <w:ind w:left="520"/>
              <w:spacing w:after="0"/>
              <w:rPr>
                <w:sz w:val="20"/>
                <w:szCs w:val="20"/>
                <w:color w:val="auto"/>
              </w:rPr>
            </w:pPr>
            <w:r>
              <w:rPr>
                <w:rFonts w:ascii="Arial" w:cs="Arial" w:eastAsia="Arial" w:hAnsi="Arial"/>
                <w:sz w:val="12"/>
                <w:szCs w:val="12"/>
                <w:color w:val="auto"/>
                <w:w w:val="92"/>
              </w:rPr>
              <w:t>Investments in subsidiaries and advances to (from) parent</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865,717</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(217,450)</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(15,706)</w:t>
            </w:r>
          </w:p>
        </w:tc>
        <w:tc>
          <w:tcPr>
            <w:tcW w:w="260" w:type="dxa"/>
            <w:vAlign w:val="bottom"/>
          </w:tcPr>
          <w:p>
            <w:pPr>
              <w:spacing w:after="0"/>
              <w:rPr>
                <w:sz w:val="24"/>
                <w:szCs w:val="24"/>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(10,313)</w:t>
            </w:r>
          </w:p>
        </w:tc>
        <w:tc>
          <w:tcPr>
            <w:tcW w:w="320" w:type="dxa"/>
            <w:vAlign w:val="bottom"/>
          </w:tcPr>
          <w:p>
            <w:pPr>
              <w:spacing w:after="0"/>
              <w:rPr>
                <w:sz w:val="24"/>
                <w:szCs w:val="24"/>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(622,248)</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720" w:type="dxa"/>
            <w:vAlign w:val="bottom"/>
            <w:gridSpan w:val="5"/>
          </w:tcPr>
          <w:p>
            <w:pPr>
              <w:ind w:left="1020"/>
              <w:spacing w:after="0"/>
              <w:rPr>
                <w:sz w:val="20"/>
                <w:szCs w:val="20"/>
                <w:color w:val="auto"/>
              </w:rPr>
            </w:pPr>
            <w:r>
              <w:rPr>
                <w:rFonts w:ascii="Arial" w:cs="Arial" w:eastAsia="Arial" w:hAnsi="Arial"/>
                <w:sz w:val="12"/>
                <w:szCs w:val="12"/>
                <w:color w:val="auto"/>
              </w:rPr>
              <w:t>Total assets</w:t>
            </w:r>
          </w:p>
        </w:tc>
        <w:tc>
          <w:tcPr>
            <w:tcW w:w="400" w:type="dxa"/>
            <w:vAlign w:val="bottom"/>
            <w:tcBorders>
              <w:top w:val="single" w:sz="8" w:color="auto"/>
            </w:tcBorders>
            <w:gridSpan w:val="3"/>
          </w:tcPr>
          <w:p>
            <w:pPr>
              <w:spacing w:after="0"/>
              <w:rPr>
                <w:sz w:val="16"/>
                <w:szCs w:val="16"/>
                <w:color w:val="auto"/>
              </w:rPr>
            </w:pPr>
          </w:p>
        </w:tc>
        <w:tc>
          <w:tcPr>
            <w:tcW w:w="780" w:type="dxa"/>
            <w:vAlign w:val="bottom"/>
            <w:gridSpan w:val="6"/>
          </w:tcPr>
          <w:p>
            <w:pPr>
              <w:spacing w:after="0"/>
              <w:rPr>
                <w:sz w:val="16"/>
                <w:szCs w:val="16"/>
                <w:color w:val="auto"/>
              </w:rPr>
            </w:pPr>
          </w:p>
        </w:tc>
        <w:tc>
          <w:tcPr>
            <w:tcW w:w="480" w:type="dxa"/>
            <w:vAlign w:val="bottom"/>
            <w:tcBorders>
              <w:top w:val="single" w:sz="8" w:color="auto"/>
            </w:tcBorders>
            <w:gridSpan w:val="6"/>
          </w:tcPr>
          <w:p>
            <w:pPr>
              <w:spacing w:after="0"/>
              <w:rPr>
                <w:sz w:val="16"/>
                <w:szCs w:val="16"/>
                <w:color w:val="auto"/>
              </w:rPr>
            </w:pPr>
          </w:p>
        </w:tc>
        <w:tc>
          <w:tcPr>
            <w:tcW w:w="320" w:type="dxa"/>
            <w:vAlign w:val="bottom"/>
            <w:gridSpan w:val="7"/>
          </w:tcPr>
          <w:p>
            <w:pPr>
              <w:spacing w:after="0"/>
              <w:rPr>
                <w:sz w:val="16"/>
                <w:szCs w:val="16"/>
                <w:color w:val="auto"/>
              </w:rPr>
            </w:pPr>
          </w:p>
        </w:tc>
        <w:tc>
          <w:tcPr>
            <w:tcW w:w="420" w:type="dxa"/>
            <w:vAlign w:val="bottom"/>
            <w:tcBorders>
              <w:top w:val="single" w:sz="8" w:color="auto"/>
            </w:tcBorders>
            <w:gridSpan w:val="4"/>
          </w:tcPr>
          <w:p>
            <w:pPr>
              <w:spacing w:after="0"/>
              <w:rPr>
                <w:sz w:val="16"/>
                <w:szCs w:val="16"/>
                <w:color w:val="auto"/>
              </w:rPr>
            </w:pPr>
          </w:p>
        </w:tc>
        <w:tc>
          <w:tcPr>
            <w:tcW w:w="2260" w:type="dxa"/>
            <w:vAlign w:val="bottom"/>
            <w:gridSpan w:val="19"/>
          </w:tcPr>
          <w:p>
            <w:pPr>
              <w:spacing w:after="0"/>
              <w:rPr>
                <w:sz w:val="16"/>
                <w:szCs w:val="16"/>
                <w:color w:val="auto"/>
              </w:rPr>
            </w:pPr>
          </w:p>
        </w:tc>
        <w:tc>
          <w:tcPr>
            <w:tcW w:w="420" w:type="dxa"/>
            <w:vAlign w:val="bottom"/>
            <w:tcBorders>
              <w:top w:val="single" w:sz="8" w:color="auto"/>
            </w:tcBorders>
            <w:gridSpan w:val="4"/>
          </w:tcPr>
          <w:p>
            <w:pPr>
              <w:spacing w:after="0"/>
              <w:rPr>
                <w:sz w:val="16"/>
                <w:szCs w:val="16"/>
                <w:color w:val="auto"/>
              </w:rPr>
            </w:pPr>
          </w:p>
        </w:tc>
        <w:tc>
          <w:tcPr>
            <w:tcW w:w="560" w:type="dxa"/>
            <w:vAlign w:val="bottom"/>
            <w:gridSpan w:val="4"/>
          </w:tcPr>
          <w:p>
            <w:pPr>
              <w:spacing w:after="0"/>
              <w:rPr>
                <w:sz w:val="16"/>
                <w:szCs w:val="16"/>
                <w:color w:val="auto"/>
              </w:rPr>
            </w:pPr>
          </w:p>
        </w:tc>
        <w:tc>
          <w:tcPr>
            <w:tcW w:w="480" w:type="dxa"/>
            <w:vAlign w:val="bottom"/>
            <w:tcBorders>
              <w:top w:val="single" w:sz="8" w:color="auto"/>
            </w:tcBorders>
            <w:gridSpan w:val="3"/>
          </w:tcPr>
          <w:p>
            <w:pPr>
              <w:spacing w:after="0"/>
              <w:rPr>
                <w:sz w:val="16"/>
                <w:szCs w:val="16"/>
                <w:color w:val="auto"/>
              </w:rPr>
            </w:pPr>
          </w:p>
        </w:tc>
        <w:tc>
          <w:tcPr>
            <w:tcW w:w="14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876,305</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1,099,140</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17,805</w:t>
            </w:r>
          </w:p>
        </w:tc>
        <w:tc>
          <w:tcPr>
            <w:tcW w:w="260" w:type="dxa"/>
            <w:vAlign w:val="bottom"/>
          </w:tcPr>
          <w:p>
            <w:pPr>
              <w:spacing w:after="0"/>
              <w:rPr>
                <w:sz w:val="15"/>
                <w:szCs w:val="15"/>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12,153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1,156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63,399</w:t>
            </w:r>
          </w:p>
        </w:tc>
        <w:tc>
          <w:tcPr>
            <w:tcW w:w="320" w:type="dxa"/>
            <w:vAlign w:val="bottom"/>
          </w:tcPr>
          <w:p>
            <w:pPr>
              <w:spacing w:after="0"/>
              <w:rPr>
                <w:sz w:val="15"/>
                <w:szCs w:val="15"/>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(622,248)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w w:val="86"/>
              </w:rPr>
              <w:t>1,447,710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5"/>
        </w:trPr>
        <w:tc>
          <w:tcPr>
            <w:tcW w:w="3720" w:type="dxa"/>
            <w:vAlign w:val="bottom"/>
            <w:gridSpan w:val="5"/>
          </w:tcPr>
          <w:p>
            <w:pPr>
              <w:ind w:left="520"/>
              <w:spacing w:after="0"/>
              <w:rPr>
                <w:sz w:val="20"/>
                <w:szCs w:val="20"/>
                <w:color w:val="auto"/>
              </w:rPr>
            </w:pPr>
            <w:r>
              <w:rPr>
                <w:rFonts w:ascii="Arial" w:cs="Arial" w:eastAsia="Arial" w:hAnsi="Arial"/>
                <w:sz w:val="12"/>
                <w:szCs w:val="12"/>
                <w:color w:val="auto"/>
              </w:rPr>
              <w:t>Current liabilities:</w:t>
            </w:r>
          </w:p>
        </w:tc>
        <w:tc>
          <w:tcPr>
            <w:tcW w:w="400" w:type="dxa"/>
            <w:vAlign w:val="bottom"/>
            <w:tcBorders>
              <w:top w:val="single" w:sz="8" w:color="auto"/>
            </w:tcBorders>
            <w:gridSpan w:val="3"/>
          </w:tcPr>
          <w:p>
            <w:pPr>
              <w:spacing w:after="0"/>
              <w:rPr>
                <w:sz w:val="24"/>
                <w:szCs w:val="24"/>
                <w:color w:val="auto"/>
              </w:rPr>
            </w:pPr>
          </w:p>
        </w:tc>
        <w:tc>
          <w:tcPr>
            <w:tcW w:w="780" w:type="dxa"/>
            <w:vAlign w:val="bottom"/>
            <w:gridSpan w:val="6"/>
          </w:tcPr>
          <w:p>
            <w:pPr>
              <w:spacing w:after="0"/>
              <w:rPr>
                <w:sz w:val="24"/>
                <w:szCs w:val="24"/>
                <w:color w:val="auto"/>
              </w:rPr>
            </w:pPr>
          </w:p>
        </w:tc>
        <w:tc>
          <w:tcPr>
            <w:tcW w:w="480" w:type="dxa"/>
            <w:vAlign w:val="bottom"/>
            <w:tcBorders>
              <w:top w:val="single" w:sz="8" w:color="auto"/>
            </w:tcBorders>
            <w:gridSpan w:val="6"/>
          </w:tcPr>
          <w:p>
            <w:pPr>
              <w:spacing w:after="0"/>
              <w:rPr>
                <w:sz w:val="24"/>
                <w:szCs w:val="24"/>
                <w:color w:val="auto"/>
              </w:rPr>
            </w:pPr>
          </w:p>
        </w:tc>
        <w:tc>
          <w:tcPr>
            <w:tcW w:w="480" w:type="dxa"/>
            <w:vAlign w:val="bottom"/>
            <w:gridSpan w:val="8"/>
          </w:tcPr>
          <w:p>
            <w:pPr>
              <w:spacing w:after="0"/>
              <w:rPr>
                <w:sz w:val="24"/>
                <w:szCs w:val="24"/>
                <w:color w:val="auto"/>
              </w:rPr>
            </w:pPr>
          </w:p>
        </w:tc>
        <w:tc>
          <w:tcPr>
            <w:tcW w:w="260" w:type="dxa"/>
            <w:vAlign w:val="bottom"/>
            <w:tcBorders>
              <w:top w:val="single" w:sz="8" w:color="auto"/>
            </w:tcBorders>
            <w:gridSpan w:val="3"/>
          </w:tcPr>
          <w:p>
            <w:pPr>
              <w:spacing w:after="0"/>
              <w:rPr>
                <w:sz w:val="24"/>
                <w:szCs w:val="24"/>
                <w:color w:val="auto"/>
              </w:rPr>
            </w:pPr>
          </w:p>
        </w:tc>
        <w:tc>
          <w:tcPr>
            <w:tcW w:w="420" w:type="dxa"/>
            <w:vAlign w:val="bottom"/>
            <w:gridSpan w:val="4"/>
          </w:tcPr>
          <w:p>
            <w:pPr>
              <w:spacing w:after="0"/>
              <w:rPr>
                <w:sz w:val="24"/>
                <w:szCs w:val="24"/>
                <w:color w:val="auto"/>
              </w:rPr>
            </w:pPr>
          </w:p>
        </w:tc>
        <w:tc>
          <w:tcPr>
            <w:tcW w:w="300" w:type="dxa"/>
            <w:vAlign w:val="bottom"/>
            <w:tcBorders>
              <w:top w:val="single" w:sz="8" w:color="auto"/>
            </w:tcBorders>
            <w:gridSpan w:val="4"/>
          </w:tcPr>
          <w:p>
            <w:pPr>
              <w:spacing w:after="0"/>
              <w:rPr>
                <w:sz w:val="24"/>
                <w:szCs w:val="24"/>
                <w:color w:val="auto"/>
              </w:rPr>
            </w:pPr>
          </w:p>
        </w:tc>
        <w:tc>
          <w:tcPr>
            <w:tcW w:w="660" w:type="dxa"/>
            <w:vAlign w:val="bottom"/>
            <w:gridSpan w:val="3"/>
          </w:tcPr>
          <w:p>
            <w:pPr>
              <w:spacing w:after="0"/>
              <w:rPr>
                <w:sz w:val="24"/>
                <w:szCs w:val="24"/>
                <w:color w:val="auto"/>
              </w:rPr>
            </w:pPr>
          </w:p>
        </w:tc>
        <w:tc>
          <w:tcPr>
            <w:tcW w:w="280" w:type="dxa"/>
            <w:vAlign w:val="bottom"/>
            <w:tcBorders>
              <w:top w:val="single" w:sz="8" w:color="auto"/>
            </w:tcBorders>
            <w:gridSpan w:val="3"/>
          </w:tcPr>
          <w:p>
            <w:pPr>
              <w:spacing w:after="0"/>
              <w:rPr>
                <w:sz w:val="24"/>
                <w:szCs w:val="24"/>
                <w:color w:val="auto"/>
              </w:rPr>
            </w:pPr>
          </w:p>
        </w:tc>
        <w:tc>
          <w:tcPr>
            <w:tcW w:w="780" w:type="dxa"/>
            <w:vAlign w:val="bottom"/>
            <w:gridSpan w:val="6"/>
          </w:tcPr>
          <w:p>
            <w:pPr>
              <w:spacing w:after="0"/>
              <w:rPr>
                <w:sz w:val="24"/>
                <w:szCs w:val="24"/>
                <w:color w:val="auto"/>
              </w:rPr>
            </w:pPr>
          </w:p>
        </w:tc>
        <w:tc>
          <w:tcPr>
            <w:tcW w:w="240" w:type="dxa"/>
            <w:vAlign w:val="bottom"/>
            <w:tcBorders>
              <w:top w:val="single" w:sz="8" w:color="auto"/>
            </w:tcBorders>
            <w:gridSpan w:val="3"/>
          </w:tcPr>
          <w:p>
            <w:pPr>
              <w:spacing w:after="0"/>
              <w:rPr>
                <w:sz w:val="24"/>
                <w:szCs w:val="24"/>
                <w:color w:val="auto"/>
              </w:rPr>
            </w:pPr>
          </w:p>
        </w:tc>
        <w:tc>
          <w:tcPr>
            <w:tcW w:w="560" w:type="dxa"/>
            <w:vAlign w:val="bottom"/>
            <w:gridSpan w:val="4"/>
          </w:tcPr>
          <w:p>
            <w:pPr>
              <w:spacing w:after="0"/>
              <w:rPr>
                <w:sz w:val="24"/>
                <w:szCs w:val="24"/>
                <w:color w:val="auto"/>
              </w:rPr>
            </w:pPr>
          </w:p>
        </w:tc>
        <w:tc>
          <w:tcPr>
            <w:tcW w:w="480" w:type="dxa"/>
            <w:vAlign w:val="bottom"/>
            <w:tcBorders>
              <w:top w:val="single" w:sz="8" w:color="auto"/>
            </w:tcBorders>
            <w:gridSpan w:val="3"/>
          </w:tcPr>
          <w:p>
            <w:pPr>
              <w:spacing w:after="0"/>
              <w:rPr>
                <w:sz w:val="24"/>
                <w:szCs w:val="24"/>
                <w:color w:val="auto"/>
              </w:rPr>
            </w:pPr>
          </w:p>
        </w:tc>
        <w:tc>
          <w:tcPr>
            <w:tcW w:w="540" w:type="dxa"/>
            <w:vAlign w:val="bottom"/>
            <w:gridSpan w:val="3"/>
          </w:tcPr>
          <w:p>
            <w:pPr>
              <w:spacing w:after="0"/>
              <w:rPr>
                <w:sz w:val="24"/>
                <w:szCs w:val="24"/>
                <w:color w:val="auto"/>
              </w:rPr>
            </w:pPr>
          </w:p>
        </w:tc>
        <w:tc>
          <w:tcPr>
            <w:tcW w:w="480" w:type="dxa"/>
            <w:vAlign w:val="bottom"/>
            <w:tcBorders>
              <w:top w:val="single" w:sz="8" w:color="auto"/>
            </w:tcBorders>
            <w:gridSpan w:val="4"/>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Accounts payable and accrued expenses</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7,728</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112,265</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1,535</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1,852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178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16,672</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140,230</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Income taxes payable</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7,934</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7,934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520"/>
              <w:spacing w:after="0"/>
              <w:rPr>
                <w:sz w:val="20"/>
                <w:szCs w:val="20"/>
                <w:color w:val="auto"/>
              </w:rPr>
            </w:pPr>
            <w:r>
              <w:rPr>
                <w:rFonts w:ascii="Arial" w:cs="Arial" w:eastAsia="Arial" w:hAnsi="Arial"/>
                <w:sz w:val="12"/>
                <w:szCs w:val="12"/>
                <w:color w:val="auto"/>
              </w:rPr>
              <w:t>Long-term debt due within one year</w:t>
            </w:r>
          </w:p>
        </w:tc>
        <w:tc>
          <w:tcPr>
            <w:tcW w:w="720" w:type="dxa"/>
            <w:vAlign w:val="bottom"/>
            <w:gridSpan w:val="7"/>
          </w:tcPr>
          <w:p>
            <w:pPr>
              <w:jc w:val="right"/>
              <w:spacing w:after="0"/>
              <w:rPr>
                <w:sz w:val="20"/>
                <w:szCs w:val="20"/>
                <w:color w:val="auto"/>
              </w:rPr>
            </w:pPr>
            <w:r>
              <w:rPr>
                <w:rFonts w:ascii="Arial" w:cs="Arial" w:eastAsia="Arial" w:hAnsi="Arial"/>
                <w:sz w:val="12"/>
                <w:szCs w:val="12"/>
                <w:u w:val="single" w:color="auto"/>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2,854</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900</w:t>
            </w:r>
          </w:p>
        </w:tc>
        <w:tc>
          <w:tcPr>
            <w:tcW w:w="260" w:type="dxa"/>
            <w:vAlign w:val="bottom"/>
          </w:tcPr>
          <w:p>
            <w:pPr>
              <w:spacing w:after="0"/>
              <w:rPr>
                <w:sz w:val="19"/>
                <w:szCs w:val="19"/>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1,000</w:t>
            </w:r>
          </w:p>
        </w:tc>
        <w:tc>
          <w:tcPr>
            <w:tcW w:w="320" w:type="dxa"/>
            <w:vAlign w:val="bottom"/>
          </w:tcPr>
          <w:p>
            <w:pPr>
              <w:spacing w:after="0"/>
              <w:rPr>
                <w:sz w:val="19"/>
                <w:szCs w:val="19"/>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4,754</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180" w:type="dxa"/>
            <w:vAlign w:val="bottom"/>
            <w:gridSpan w:val="17"/>
          </w:tcPr>
          <w:p>
            <w:pPr>
              <w:ind w:left="102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tcBorders>
            <w:gridSpan w:val="3"/>
          </w:tcPr>
          <w:p>
            <w:pPr>
              <w:spacing w:after="0"/>
              <w:rPr>
                <w:sz w:val="16"/>
                <w:szCs w:val="16"/>
                <w:color w:val="auto"/>
              </w:rPr>
            </w:pPr>
          </w:p>
        </w:tc>
        <w:tc>
          <w:tcPr>
            <w:tcW w:w="560" w:type="dxa"/>
            <w:vAlign w:val="bottom"/>
            <w:gridSpan w:val="9"/>
          </w:tcPr>
          <w:p>
            <w:pPr>
              <w:spacing w:after="0"/>
              <w:rPr>
                <w:sz w:val="16"/>
                <w:szCs w:val="16"/>
                <w:color w:val="auto"/>
              </w:rPr>
            </w:pPr>
          </w:p>
        </w:tc>
        <w:tc>
          <w:tcPr>
            <w:tcW w:w="180" w:type="dxa"/>
            <w:vAlign w:val="bottom"/>
            <w:tcBorders>
              <w:top w:val="single" w:sz="8" w:color="auto"/>
            </w:tcBorders>
            <w:gridSpan w:val="2"/>
          </w:tcPr>
          <w:p>
            <w:pPr>
              <w:spacing w:after="0"/>
              <w:rPr>
                <w:sz w:val="16"/>
                <w:szCs w:val="16"/>
                <w:color w:val="auto"/>
              </w:rPr>
            </w:pPr>
          </w:p>
        </w:tc>
        <w:tc>
          <w:tcPr>
            <w:tcW w:w="2440" w:type="dxa"/>
            <w:vAlign w:val="bottom"/>
            <w:gridSpan w:val="20"/>
          </w:tcPr>
          <w:p>
            <w:pPr>
              <w:spacing w:after="0"/>
              <w:rPr>
                <w:sz w:val="16"/>
                <w:szCs w:val="16"/>
                <w:color w:val="auto"/>
              </w:rPr>
            </w:pPr>
          </w:p>
        </w:tc>
        <w:tc>
          <w:tcPr>
            <w:tcW w:w="240" w:type="dxa"/>
            <w:vAlign w:val="bottom"/>
            <w:tcBorders>
              <w:top w:val="single" w:sz="8" w:color="auto"/>
            </w:tcBorders>
            <w:gridSpan w:val="3"/>
          </w:tcPr>
          <w:p>
            <w:pPr>
              <w:spacing w:after="0"/>
              <w:rPr>
                <w:sz w:val="16"/>
                <w:szCs w:val="16"/>
                <w:color w:val="auto"/>
              </w:rPr>
            </w:pPr>
          </w:p>
        </w:tc>
        <w:tc>
          <w:tcPr>
            <w:tcW w:w="1800" w:type="dxa"/>
            <w:vAlign w:val="bottom"/>
            <w:gridSpan w:val="13"/>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00" w:type="dxa"/>
            <w:vAlign w:val="bottom"/>
          </w:tcPr>
          <w:p>
            <w:pPr>
              <w:spacing w:after="0"/>
              <w:rPr>
                <w:sz w:val="17"/>
                <w:szCs w:val="17"/>
                <w:color w:val="auto"/>
              </w:rPr>
            </w:pP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15,662</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115,119</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2,435</w:t>
            </w:r>
          </w:p>
        </w:tc>
        <w:tc>
          <w:tcPr>
            <w:tcW w:w="260" w:type="dxa"/>
            <w:vAlign w:val="bottom"/>
          </w:tcPr>
          <w:p>
            <w:pPr>
              <w:spacing w:after="0"/>
              <w:rPr>
                <w:sz w:val="17"/>
                <w:szCs w:val="17"/>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1,852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178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17,672</w:t>
            </w:r>
          </w:p>
        </w:tc>
        <w:tc>
          <w:tcPr>
            <w:tcW w:w="320" w:type="dxa"/>
            <w:vAlign w:val="bottom"/>
          </w:tcPr>
          <w:p>
            <w:pPr>
              <w:spacing w:after="0"/>
              <w:rPr>
                <w:sz w:val="17"/>
                <w:szCs w:val="17"/>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152,918</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Long-term debt</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353,108</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231,898</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126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12,900</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598,032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Other long-term liabilities</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267</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90,317</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90,584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Deferred income taxes</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71,791</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1,643</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73,434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Minority interest in net assets of consolidated JV</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(115)</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7,531</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3,231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100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13,158</w:t>
            </w:r>
          </w:p>
        </w:tc>
        <w:tc>
          <w:tcPr>
            <w:tcW w:w="320" w:type="dxa"/>
            <w:vAlign w:val="bottom"/>
          </w:tcPr>
          <w:p>
            <w:pPr>
              <w:spacing w:after="0"/>
              <w:rPr>
                <w:sz w:val="21"/>
                <w:szCs w:val="21"/>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23,905</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400" w:type="dxa"/>
            <w:vAlign w:val="bottom"/>
          </w:tcPr>
          <w:p>
            <w:pPr>
              <w:ind w:left="520"/>
              <w:spacing w:after="0"/>
              <w:rPr>
                <w:sz w:val="20"/>
                <w:szCs w:val="20"/>
                <w:color w:val="auto"/>
              </w:rPr>
            </w:pPr>
            <w:r>
              <w:rPr>
                <w:rFonts w:ascii="Arial" w:cs="Arial" w:eastAsia="Arial" w:hAnsi="Arial"/>
                <w:sz w:val="12"/>
                <w:szCs w:val="12"/>
                <w:color w:val="auto"/>
              </w:rPr>
              <w:t>Put option - RockResorts</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1,569</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21"/>
                <w:szCs w:val="21"/>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1,569</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400" w:type="dxa"/>
            <w:vAlign w:val="bottom"/>
          </w:tcPr>
          <w:p>
            <w:pPr>
              <w:ind w:left="520"/>
              <w:spacing w:after="0"/>
              <w:rPr>
                <w:sz w:val="20"/>
                <w:szCs w:val="20"/>
                <w:color w:val="auto"/>
              </w:rPr>
            </w:pPr>
            <w:r>
              <w:rPr>
                <w:rFonts w:ascii="Arial" w:cs="Arial" w:eastAsia="Arial" w:hAnsi="Arial"/>
                <w:sz w:val="12"/>
                <w:szCs w:val="12"/>
                <w:color w:val="auto"/>
              </w:rPr>
              <w:t>Total stockholders' equity</w:t>
            </w:r>
          </w:p>
        </w:tc>
        <w:tc>
          <w:tcPr>
            <w:tcW w:w="720" w:type="dxa"/>
            <w:vAlign w:val="bottom"/>
            <w:gridSpan w:val="7"/>
          </w:tcPr>
          <w:p>
            <w:pPr>
              <w:jc w:val="right"/>
              <w:spacing w:after="0"/>
              <w:rPr>
                <w:sz w:val="20"/>
                <w:szCs w:val="20"/>
                <w:color w:val="auto"/>
              </w:rPr>
            </w:pPr>
            <w:r>
              <w:rPr>
                <w:rFonts w:ascii="Arial" w:cs="Arial" w:eastAsia="Arial" w:hAnsi="Arial"/>
                <w:sz w:val="12"/>
                <w:szCs w:val="12"/>
                <w:color w:val="auto"/>
              </w:rPr>
              <w:t>507,268</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588,561</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7,839</w:t>
            </w:r>
          </w:p>
        </w:tc>
        <w:tc>
          <w:tcPr>
            <w:tcW w:w="260" w:type="dxa"/>
            <w:vAlign w:val="bottom"/>
          </w:tcPr>
          <w:p>
            <w:pPr>
              <w:spacing w:after="0"/>
              <w:rPr>
                <w:sz w:val="19"/>
                <w:szCs w:val="19"/>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7,070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752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18,026</w:t>
            </w:r>
          </w:p>
        </w:tc>
        <w:tc>
          <w:tcPr>
            <w:tcW w:w="320" w:type="dxa"/>
            <w:vAlign w:val="bottom"/>
          </w:tcPr>
          <w:p>
            <w:pPr>
              <w:spacing w:after="0"/>
              <w:rPr>
                <w:sz w:val="19"/>
                <w:szCs w:val="19"/>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(622,248)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rPr>
              <w:t>507,268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720" w:type="dxa"/>
            <w:vAlign w:val="bottom"/>
            <w:gridSpan w:val="5"/>
          </w:tcPr>
          <w:p>
            <w:pPr>
              <w:ind w:left="1020"/>
              <w:spacing w:after="0"/>
              <w:rPr>
                <w:sz w:val="20"/>
                <w:szCs w:val="20"/>
                <w:color w:val="auto"/>
              </w:rPr>
            </w:pPr>
            <w:r>
              <w:rPr>
                <w:rFonts w:ascii="Arial" w:cs="Arial" w:eastAsia="Arial" w:hAnsi="Arial"/>
                <w:sz w:val="12"/>
                <w:szCs w:val="12"/>
                <w:color w:val="auto"/>
              </w:rPr>
              <w:t>Total liabilities and stockholders' equity</w:t>
            </w:r>
          </w:p>
        </w:tc>
        <w:tc>
          <w:tcPr>
            <w:tcW w:w="400" w:type="dxa"/>
            <w:vAlign w:val="bottom"/>
            <w:tcBorders>
              <w:top w:val="single" w:sz="8" w:color="auto"/>
            </w:tcBorders>
            <w:gridSpan w:val="3"/>
          </w:tcPr>
          <w:p>
            <w:pPr>
              <w:spacing w:after="0"/>
              <w:rPr>
                <w:sz w:val="16"/>
                <w:szCs w:val="16"/>
                <w:color w:val="auto"/>
              </w:rPr>
            </w:pPr>
          </w:p>
        </w:tc>
        <w:tc>
          <w:tcPr>
            <w:tcW w:w="860" w:type="dxa"/>
            <w:vAlign w:val="bottom"/>
            <w:gridSpan w:val="7"/>
          </w:tcPr>
          <w:p>
            <w:pPr>
              <w:spacing w:after="0"/>
              <w:rPr>
                <w:sz w:val="16"/>
                <w:szCs w:val="16"/>
                <w:color w:val="auto"/>
              </w:rPr>
            </w:pPr>
          </w:p>
        </w:tc>
        <w:tc>
          <w:tcPr>
            <w:tcW w:w="400" w:type="dxa"/>
            <w:vAlign w:val="bottom"/>
            <w:tcBorders>
              <w:top w:val="single" w:sz="8" w:color="auto"/>
            </w:tcBorders>
            <w:gridSpan w:val="5"/>
          </w:tcPr>
          <w:p>
            <w:pPr>
              <w:spacing w:after="0"/>
              <w:rPr>
                <w:sz w:val="16"/>
                <w:szCs w:val="16"/>
                <w:color w:val="auto"/>
              </w:rPr>
            </w:pPr>
          </w:p>
        </w:tc>
        <w:tc>
          <w:tcPr>
            <w:tcW w:w="480" w:type="dxa"/>
            <w:vAlign w:val="bottom"/>
            <w:gridSpan w:val="8"/>
          </w:tcPr>
          <w:p>
            <w:pPr>
              <w:spacing w:after="0"/>
              <w:rPr>
                <w:sz w:val="16"/>
                <w:szCs w:val="16"/>
                <w:color w:val="auto"/>
              </w:rPr>
            </w:pPr>
          </w:p>
        </w:tc>
        <w:tc>
          <w:tcPr>
            <w:tcW w:w="260" w:type="dxa"/>
            <w:vAlign w:val="bottom"/>
            <w:tcBorders>
              <w:top w:val="single" w:sz="8" w:color="auto"/>
            </w:tcBorders>
            <w:gridSpan w:val="3"/>
          </w:tcPr>
          <w:p>
            <w:pPr>
              <w:spacing w:after="0"/>
              <w:rPr>
                <w:sz w:val="16"/>
                <w:szCs w:val="16"/>
                <w:color w:val="auto"/>
              </w:rPr>
            </w:pPr>
          </w:p>
        </w:tc>
        <w:tc>
          <w:tcPr>
            <w:tcW w:w="420" w:type="dxa"/>
            <w:vAlign w:val="bottom"/>
            <w:gridSpan w:val="4"/>
          </w:tcPr>
          <w:p>
            <w:pPr>
              <w:spacing w:after="0"/>
              <w:rPr>
                <w:sz w:val="16"/>
                <w:szCs w:val="16"/>
                <w:color w:val="auto"/>
              </w:rPr>
            </w:pPr>
          </w:p>
        </w:tc>
        <w:tc>
          <w:tcPr>
            <w:tcW w:w="300" w:type="dxa"/>
            <w:vAlign w:val="bottom"/>
            <w:tcBorders>
              <w:top w:val="single" w:sz="8" w:color="auto"/>
            </w:tcBorders>
            <w:gridSpan w:val="4"/>
          </w:tcPr>
          <w:p>
            <w:pPr>
              <w:spacing w:after="0"/>
              <w:rPr>
                <w:sz w:val="16"/>
                <w:szCs w:val="16"/>
                <w:color w:val="auto"/>
              </w:rPr>
            </w:pPr>
          </w:p>
        </w:tc>
        <w:tc>
          <w:tcPr>
            <w:tcW w:w="740" w:type="dxa"/>
            <w:vAlign w:val="bottom"/>
            <w:gridSpan w:val="4"/>
          </w:tcPr>
          <w:p>
            <w:pPr>
              <w:spacing w:after="0"/>
              <w:rPr>
                <w:sz w:val="16"/>
                <w:szCs w:val="16"/>
                <w:color w:val="auto"/>
              </w:rPr>
            </w:pPr>
          </w:p>
        </w:tc>
        <w:tc>
          <w:tcPr>
            <w:tcW w:w="200" w:type="dxa"/>
            <w:vAlign w:val="bottom"/>
            <w:tcBorders>
              <w:top w:val="single" w:sz="8" w:color="auto"/>
            </w:tcBorders>
            <w:gridSpan w:val="2"/>
          </w:tcPr>
          <w:p>
            <w:pPr>
              <w:spacing w:after="0"/>
              <w:rPr>
                <w:sz w:val="16"/>
                <w:szCs w:val="16"/>
                <w:color w:val="auto"/>
              </w:rPr>
            </w:pPr>
          </w:p>
        </w:tc>
        <w:tc>
          <w:tcPr>
            <w:tcW w:w="780" w:type="dxa"/>
            <w:vAlign w:val="bottom"/>
            <w:gridSpan w:val="6"/>
          </w:tcPr>
          <w:p>
            <w:pPr>
              <w:spacing w:after="0"/>
              <w:rPr>
                <w:sz w:val="16"/>
                <w:szCs w:val="16"/>
                <w:color w:val="auto"/>
              </w:rPr>
            </w:pPr>
          </w:p>
        </w:tc>
        <w:tc>
          <w:tcPr>
            <w:tcW w:w="240" w:type="dxa"/>
            <w:vAlign w:val="bottom"/>
            <w:tcBorders>
              <w:top w:val="single" w:sz="8" w:color="auto"/>
            </w:tcBorders>
            <w:gridSpan w:val="3"/>
          </w:tcPr>
          <w:p>
            <w:pPr>
              <w:spacing w:after="0"/>
              <w:rPr>
                <w:sz w:val="16"/>
                <w:szCs w:val="16"/>
                <w:color w:val="auto"/>
              </w:rPr>
            </w:pPr>
          </w:p>
        </w:tc>
        <w:tc>
          <w:tcPr>
            <w:tcW w:w="560" w:type="dxa"/>
            <w:vAlign w:val="bottom"/>
            <w:gridSpan w:val="4"/>
          </w:tcPr>
          <w:p>
            <w:pPr>
              <w:spacing w:after="0"/>
              <w:rPr>
                <w:sz w:val="16"/>
                <w:szCs w:val="16"/>
                <w:color w:val="auto"/>
              </w:rPr>
            </w:pPr>
          </w:p>
        </w:tc>
        <w:tc>
          <w:tcPr>
            <w:tcW w:w="480" w:type="dxa"/>
            <w:vAlign w:val="bottom"/>
            <w:tcBorders>
              <w:top w:val="single" w:sz="8" w:color="auto"/>
            </w:tcBorders>
            <w:gridSpan w:val="3"/>
          </w:tcPr>
          <w:p>
            <w:pPr>
              <w:spacing w:after="0"/>
              <w:rPr>
                <w:sz w:val="16"/>
                <w:szCs w:val="16"/>
                <w:color w:val="auto"/>
              </w:rPr>
            </w:pPr>
          </w:p>
        </w:tc>
        <w:tc>
          <w:tcPr>
            <w:tcW w:w="620" w:type="dxa"/>
            <w:vAlign w:val="bottom"/>
            <w:gridSpan w:val="4"/>
          </w:tcPr>
          <w:p>
            <w:pPr>
              <w:spacing w:after="0"/>
              <w:rPr>
                <w:sz w:val="16"/>
                <w:szCs w:val="16"/>
                <w:color w:val="auto"/>
              </w:rPr>
            </w:pPr>
          </w:p>
        </w:tc>
        <w:tc>
          <w:tcPr>
            <w:tcW w:w="400" w:type="dxa"/>
            <w:vAlign w:val="bottom"/>
            <w:tcBorders>
              <w:top w:val="single" w:sz="8" w:color="auto"/>
            </w:tcBorders>
            <w:gridSpan w:val="3"/>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400" w:type="dxa"/>
            <w:vAlign w:val="bottom"/>
          </w:tcPr>
          <w:p>
            <w:pPr>
              <w:spacing w:after="0"/>
              <w:rPr>
                <w:sz w:val="15"/>
                <w:szCs w:val="15"/>
                <w:color w:val="auto"/>
              </w:rPr>
            </w:pPr>
          </w:p>
        </w:tc>
        <w:tc>
          <w:tcPr>
            <w:tcW w:w="320" w:type="dxa"/>
            <w:vAlign w:val="bottom"/>
            <w:gridSpan w:val="4"/>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w w:val="87"/>
              </w:rPr>
              <w:t>876,305</w:t>
            </w:r>
          </w:p>
        </w:tc>
        <w:tc>
          <w:tcPr>
            <w:tcW w:w="1300" w:type="dxa"/>
            <w:vAlign w:val="bottom"/>
            <w:gridSpan w:val="13"/>
          </w:tcPr>
          <w:p>
            <w:pPr>
              <w:jc w:val="right"/>
              <w:ind w:right="40"/>
              <w:spacing w:after="0"/>
              <w:rPr>
                <w:sz w:val="20"/>
                <w:szCs w:val="20"/>
                <w:color w:val="auto"/>
              </w:rPr>
            </w:pPr>
            <w:r>
              <w:rPr>
                <w:rFonts w:ascii="Arial" w:cs="Arial" w:eastAsia="Arial" w:hAnsi="Arial"/>
                <w:sz w:val="12"/>
                <w:szCs w:val="12"/>
                <w:color w:val="auto"/>
              </w:rPr>
              <w:t>1,099,140</w:t>
            </w:r>
          </w:p>
        </w:tc>
        <w:tc>
          <w:tcPr>
            <w:tcW w:w="700" w:type="dxa"/>
            <w:vAlign w:val="bottom"/>
            <w:gridSpan w:val="10"/>
          </w:tcPr>
          <w:p>
            <w:pPr>
              <w:jc w:val="right"/>
              <w:spacing w:after="0"/>
              <w:rPr>
                <w:sz w:val="20"/>
                <w:szCs w:val="20"/>
                <w:color w:val="auto"/>
              </w:rPr>
            </w:pPr>
            <w:r>
              <w:rPr>
                <w:rFonts w:ascii="Arial" w:cs="Arial" w:eastAsia="Arial" w:hAnsi="Arial"/>
                <w:sz w:val="12"/>
                <w:szCs w:val="12"/>
                <w:color w:val="auto"/>
              </w:rPr>
              <w:t>17,805</w:t>
            </w:r>
          </w:p>
        </w:tc>
        <w:tc>
          <w:tcPr>
            <w:tcW w:w="260" w:type="dxa"/>
            <w:vAlign w:val="bottom"/>
          </w:tcPr>
          <w:p>
            <w:pPr>
              <w:spacing w:after="0"/>
              <w:rPr>
                <w:sz w:val="15"/>
                <w:szCs w:val="15"/>
                <w:color w:val="auto"/>
              </w:rPr>
            </w:pPr>
          </w:p>
        </w:tc>
        <w:tc>
          <w:tcPr>
            <w:tcW w:w="460" w:type="dxa"/>
            <w:vAlign w:val="bottom"/>
            <w:gridSpan w:val="7"/>
          </w:tcPr>
          <w:p>
            <w:pPr>
              <w:jc w:val="right"/>
              <w:spacing w:after="0"/>
              <w:rPr>
                <w:sz w:val="20"/>
                <w:szCs w:val="20"/>
                <w:color w:val="auto"/>
              </w:rPr>
            </w:pPr>
            <w:r>
              <w:rPr>
                <w:rFonts w:ascii="Arial" w:cs="Arial" w:eastAsia="Arial" w:hAnsi="Arial"/>
                <w:sz w:val="12"/>
                <w:szCs w:val="12"/>
                <w:color w:val="auto"/>
              </w:rPr>
              <w:t>12,153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2"/>
                <w:szCs w:val="12"/>
                <w:color w:val="auto"/>
              </w:rPr>
              <w:t>1,156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6"/>
          </w:tcPr>
          <w:p>
            <w:pPr>
              <w:jc w:val="right"/>
              <w:spacing w:after="0"/>
              <w:rPr>
                <w:sz w:val="20"/>
                <w:szCs w:val="20"/>
                <w:color w:val="auto"/>
              </w:rPr>
            </w:pPr>
            <w:r>
              <w:rPr>
                <w:rFonts w:ascii="Arial" w:cs="Arial" w:eastAsia="Arial" w:hAnsi="Arial"/>
                <w:sz w:val="12"/>
                <w:szCs w:val="12"/>
                <w:color w:val="auto"/>
              </w:rPr>
              <w:t>63,399</w:t>
            </w:r>
          </w:p>
        </w:tc>
        <w:tc>
          <w:tcPr>
            <w:tcW w:w="320" w:type="dxa"/>
            <w:vAlign w:val="bottom"/>
          </w:tcPr>
          <w:p>
            <w:pPr>
              <w:spacing w:after="0"/>
              <w:rPr>
                <w:sz w:val="15"/>
                <w:szCs w:val="15"/>
                <w:color w:val="auto"/>
              </w:rPr>
            </w:pPr>
          </w:p>
        </w:tc>
        <w:tc>
          <w:tcPr>
            <w:tcW w:w="960" w:type="dxa"/>
            <w:vAlign w:val="bottom"/>
            <w:gridSpan w:val="7"/>
          </w:tcPr>
          <w:p>
            <w:pPr>
              <w:jc w:val="right"/>
              <w:ind w:right="240"/>
              <w:spacing w:after="0"/>
              <w:rPr>
                <w:sz w:val="20"/>
                <w:szCs w:val="20"/>
                <w:color w:val="auto"/>
              </w:rPr>
            </w:pPr>
            <w:r>
              <w:rPr>
                <w:rFonts w:ascii="Arial" w:cs="Arial" w:eastAsia="Arial" w:hAnsi="Arial"/>
                <w:sz w:val="12"/>
                <w:szCs w:val="12"/>
                <w:color w:val="auto"/>
              </w:rPr>
              <w:t>(622,248)</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4"/>
          </w:tcPr>
          <w:p>
            <w:pPr>
              <w:jc w:val="right"/>
              <w:spacing w:after="0"/>
              <w:rPr>
                <w:sz w:val="20"/>
                <w:szCs w:val="20"/>
                <w:color w:val="auto"/>
              </w:rPr>
            </w:pPr>
            <w:r>
              <w:rPr>
                <w:rFonts w:ascii="Arial" w:cs="Arial" w:eastAsia="Arial" w:hAnsi="Arial"/>
                <w:sz w:val="12"/>
                <w:szCs w:val="12"/>
                <w:color w:val="auto"/>
                <w:w w:val="86"/>
              </w:rPr>
              <w:t>1,447,710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Borders>
              <w:right w:val="single" w:sz="8" w:color="auto"/>
            </w:tcBorders>
            <w:gridSpan w:val="8"/>
          </w:tcPr>
          <w:p>
            <w:pPr>
              <w:spacing w:after="0" w:line="20" w:lineRule="exact"/>
              <w:rPr>
                <w:sz w:val="1"/>
                <w:szCs w:val="1"/>
                <w:color w:val="auto"/>
              </w:rPr>
            </w:pPr>
          </w:p>
        </w:tc>
        <w:tc>
          <w:tcPr>
            <w:tcW w:w="940" w:type="dxa"/>
            <w:vAlign w:val="bottom"/>
            <w:tcBorders>
              <w:right w:val="single" w:sz="8" w:color="auto"/>
            </w:tcBorders>
            <w:gridSpan w:val="8"/>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11"/>
            <w:shd w:val="clear" w:color="auto" w:fill="000000"/>
          </w:tcPr>
          <w:p>
            <w:pPr>
              <w:spacing w:after="0" w:line="20" w:lineRule="exact"/>
              <w:rPr>
                <w:sz w:val="1"/>
                <w:szCs w:val="1"/>
                <w:color w:val="auto"/>
              </w:rPr>
            </w:pPr>
          </w:p>
        </w:tc>
        <w:tc>
          <w:tcPr>
            <w:tcW w:w="680" w:type="dxa"/>
            <w:vAlign w:val="bottom"/>
            <w:tcBorders>
              <w:right w:val="single" w:sz="8" w:color="auto"/>
            </w:tcBorders>
            <w:gridSpan w:val="7"/>
            <w:shd w:val="clear" w:color="auto" w:fill="000000"/>
          </w:tcPr>
          <w:p>
            <w:pPr>
              <w:spacing w:after="0" w:line="20" w:lineRule="exact"/>
              <w:rPr>
                <w:sz w:val="1"/>
                <w:szCs w:val="1"/>
                <w:color w:val="auto"/>
              </w:rPr>
            </w:pPr>
          </w:p>
        </w:tc>
        <w:tc>
          <w:tcPr>
            <w:tcW w:w="300" w:type="dxa"/>
            <w:vAlign w:val="bottom"/>
            <w:tcBorders>
              <w:right w:val="single" w:sz="8" w:color="auto"/>
            </w:tcBorders>
            <w:gridSpan w:val="4"/>
            <w:shd w:val="clear" w:color="auto" w:fill="000000"/>
          </w:tcPr>
          <w:p>
            <w:pPr>
              <w:spacing w:after="0" w:line="20" w:lineRule="exact"/>
              <w:rPr>
                <w:sz w:val="1"/>
                <w:szCs w:val="1"/>
                <w:color w:val="auto"/>
              </w:rPr>
            </w:pPr>
          </w:p>
        </w:tc>
        <w:tc>
          <w:tcPr>
            <w:tcW w:w="940" w:type="dxa"/>
            <w:vAlign w:val="bottom"/>
            <w:tcBorders>
              <w:right w:val="single" w:sz="8" w:color="auto"/>
            </w:tcBorders>
            <w:gridSpan w:val="6"/>
          </w:tcPr>
          <w:p>
            <w:pPr>
              <w:spacing w:after="0" w:line="20" w:lineRule="exact"/>
              <w:rPr>
                <w:sz w:val="1"/>
                <w:szCs w:val="1"/>
                <w:color w:val="auto"/>
              </w:rPr>
            </w:pPr>
          </w:p>
        </w:tc>
        <w:tc>
          <w:tcPr>
            <w:tcW w:w="780" w:type="dxa"/>
            <w:vAlign w:val="bottom"/>
            <w:tcBorders>
              <w:right w:val="single" w:sz="8" w:color="auto"/>
            </w:tcBorders>
            <w:gridSpan w:val="6"/>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960" w:type="dxa"/>
            <w:vAlign w:val="bottom"/>
            <w:tcBorders>
              <w:right w:val="single" w:sz="8" w:color="auto"/>
            </w:tcBorders>
            <w:gridSpan w:val="6"/>
          </w:tcPr>
          <w:p>
            <w:pPr>
              <w:spacing w:after="0" w:line="20" w:lineRule="exact"/>
              <w:rPr>
                <w:sz w:val="1"/>
                <w:szCs w:val="1"/>
                <w:color w:val="auto"/>
              </w:rPr>
            </w:pPr>
          </w:p>
        </w:tc>
        <w:tc>
          <w:tcPr>
            <w:tcW w:w="1100" w:type="dxa"/>
            <w:vAlign w:val="bottom"/>
            <w:tcBorders>
              <w:right w:val="single" w:sz="8" w:color="auto"/>
            </w:tcBorders>
            <w:gridSpan w:val="8"/>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60" w:top="315" w:right="399" w:bottom="0" w:gutter="0" w:footer="0" w:header="0"/>
        </w:sectPr>
      </w:pPr>
    </w:p>
    <w:p>
      <w:pPr>
        <w:spacing w:after="0" w:line="389" w:lineRule="exact"/>
        <w:rPr>
          <w:sz w:val="20"/>
          <w:szCs w:val="20"/>
          <w:color w:val="auto"/>
        </w:rPr>
      </w:pPr>
    </w:p>
    <w:p>
      <w:pPr>
        <w:jc w:val="center"/>
        <w:ind w:right="-259"/>
        <w:spacing w:after="0"/>
        <w:rPr>
          <w:sz w:val="20"/>
          <w:szCs w:val="20"/>
          <w:color w:val="auto"/>
        </w:rPr>
      </w:pPr>
      <w:r>
        <w:rPr>
          <w:rFonts w:ascii="Arial" w:cs="Arial" w:eastAsia="Arial" w:hAnsi="Arial"/>
          <w:sz w:val="10"/>
          <w:szCs w:val="10"/>
          <w:b w:val="1"/>
          <w:bCs w:val="1"/>
          <w:color w:val="auto"/>
        </w:rPr>
        <w:t>Supplemental Condensed Consolidating Balance Sheet</w:t>
      </w:r>
    </w:p>
    <w:p>
      <w:pPr>
        <w:sectPr>
          <w:pgSz w:w="11900" w:h="16838" w:orient="portrait"/>
          <w:cols w:equalWidth="0" w:num="1">
            <w:col w:w="11240"/>
          </w:cols>
          <w:pgMar w:left="260" w:top="315" w:right="399" w:bottom="0" w:gutter="0" w:footer="0" w:header="0"/>
          <w:type w:val="continuous"/>
        </w:sectPr>
      </w:pPr>
    </w:p>
    <w:bookmarkStart w:id="10" w:name="page11"/>
    <w:bookmarkEnd w:id="10"/>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Restated)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of dollars)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Parent</w:t>
            </w:r>
          </w:p>
        </w:tc>
        <w:tc>
          <w:tcPr>
            <w:tcW w:w="1140" w:type="dxa"/>
            <w:vAlign w:val="bottom"/>
            <w:gridSpan w:val="8"/>
          </w:tcPr>
          <w:p>
            <w:pPr>
              <w:jc w:val="center"/>
              <w:ind w:right="420"/>
              <w:spacing w:after="0"/>
              <w:rPr>
                <w:sz w:val="20"/>
                <w:szCs w:val="20"/>
                <w:color w:val="auto"/>
              </w:rPr>
            </w:pPr>
            <w:r>
              <w:rPr>
                <w:rFonts w:ascii="Arial" w:cs="Arial" w:eastAsia="Arial" w:hAnsi="Arial"/>
                <w:sz w:val="12"/>
                <w:szCs w:val="12"/>
                <w:b w:val="1"/>
                <w:bCs w:val="1"/>
                <w:color w:val="auto"/>
                <w:w w:val="97"/>
              </w:rPr>
              <w:t>100% Owned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5"/>
            <w:vMerge w:val="continue"/>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5"/>
          </w:tcPr>
          <w:p>
            <w:pPr>
              <w:jc w:val="center"/>
              <w:ind w:right="40"/>
              <w:spacing w:after="0" w:line="115" w:lineRule="exact"/>
              <w:rPr>
                <w:sz w:val="20"/>
                <w:szCs w:val="20"/>
                <w:color w:val="auto"/>
              </w:rPr>
            </w:pPr>
            <w:r>
              <w:rPr>
                <w:rFonts w:ascii="Arial" w:cs="Arial" w:eastAsia="Arial" w:hAnsi="Arial"/>
                <w:sz w:val="12"/>
                <w:szCs w:val="12"/>
                <w:b w:val="1"/>
                <w:bCs w:val="1"/>
                <w:color w:val="auto"/>
                <w:w w:val="96"/>
              </w:rPr>
              <w:t>Guarantor</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6"/>
            <w:vMerge w:val="restart"/>
          </w:tcPr>
          <w:p>
            <w:pPr>
              <w:jc w:val="right"/>
              <w:ind w:right="280"/>
              <w:spacing w:after="0"/>
              <w:rPr>
                <w:sz w:val="20"/>
                <w:szCs w:val="20"/>
                <w:color w:val="auto"/>
              </w:rPr>
            </w:pPr>
            <w:r>
              <w:rPr>
                <w:rFonts w:ascii="Arial" w:cs="Arial" w:eastAsia="Arial" w:hAnsi="Arial"/>
                <w:sz w:val="12"/>
                <w:szCs w:val="12"/>
                <w:b w:val="1"/>
                <w:bCs w:val="1"/>
                <w:color w:val="auto"/>
                <w:w w:val="96"/>
              </w:rPr>
              <w:t>JHL&amp;S</w:t>
            </w:r>
          </w:p>
        </w:tc>
        <w:tc>
          <w:tcPr>
            <w:tcW w:w="1340" w:type="dxa"/>
            <w:vAlign w:val="bottom"/>
            <w:gridSpan w:val="6"/>
            <w:vMerge w:val="restart"/>
          </w:tcPr>
          <w:p>
            <w:pPr>
              <w:ind w:left="160"/>
              <w:spacing w:after="0"/>
              <w:rPr>
                <w:sz w:val="20"/>
                <w:szCs w:val="20"/>
                <w:color w:val="auto"/>
              </w:rPr>
            </w:pPr>
            <w:r>
              <w:rPr>
                <w:rFonts w:ascii="Arial" w:cs="Arial" w:eastAsia="Arial" w:hAnsi="Arial"/>
                <w:sz w:val="12"/>
                <w:szCs w:val="12"/>
                <w:b w:val="1"/>
                <w:bCs w:val="1"/>
                <w:color w:val="auto"/>
              </w:rPr>
              <w:t>RockResorts</w:t>
            </w:r>
          </w:p>
        </w:tc>
        <w:tc>
          <w:tcPr>
            <w:tcW w:w="68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w w:val="93"/>
              </w:rPr>
              <w:t>Larkspur</w:t>
            </w:r>
          </w:p>
        </w:tc>
        <w:tc>
          <w:tcPr>
            <w:tcW w:w="1340" w:type="dxa"/>
            <w:vAlign w:val="bottom"/>
            <w:gridSpan w:val="7"/>
            <w:vMerge w:val="restart"/>
          </w:tcPr>
          <w:p>
            <w:pPr>
              <w:ind w:left="220"/>
              <w:spacing w:after="0"/>
              <w:rPr>
                <w:sz w:val="20"/>
                <w:szCs w:val="20"/>
                <w:color w:val="auto"/>
              </w:rPr>
            </w:pPr>
            <w:r>
              <w:rPr>
                <w:rFonts w:ascii="Arial" w:cs="Arial" w:eastAsia="Arial" w:hAnsi="Arial"/>
                <w:sz w:val="12"/>
                <w:szCs w:val="12"/>
                <w:b w:val="1"/>
                <w:bCs w:val="1"/>
                <w:color w:val="auto"/>
              </w:rPr>
              <w:t>Other Subsidiaries</w:t>
            </w:r>
          </w:p>
        </w:tc>
        <w:tc>
          <w:tcPr>
            <w:tcW w:w="12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Eliminating Entries</w:t>
            </w:r>
          </w:p>
        </w:tc>
        <w:tc>
          <w:tcPr>
            <w:tcW w:w="780" w:type="dxa"/>
            <w:vAlign w:val="bottom"/>
            <w:gridSpan w:val="6"/>
            <w:vMerge w:val="restart"/>
          </w:tcPr>
          <w:p>
            <w:pPr>
              <w:jc w:val="right"/>
              <w:ind w:right="80"/>
              <w:spacing w:after="0"/>
              <w:rPr>
                <w:sz w:val="20"/>
                <w:szCs w:val="20"/>
                <w:color w:val="auto"/>
              </w:rPr>
            </w:pPr>
            <w:r>
              <w:rPr>
                <w:rFonts w:ascii="Arial" w:cs="Arial" w:eastAsia="Arial" w:hAnsi="Arial"/>
                <w:sz w:val="12"/>
                <w:szCs w:val="12"/>
                <w:b w:val="1"/>
                <w:bCs w:val="1"/>
                <w:color w:val="auto"/>
                <w:w w:val="89"/>
              </w:rPr>
              <w:t>Consolidated</w:t>
            </w:r>
          </w:p>
        </w:tc>
        <w:tc>
          <w:tcPr>
            <w:tcW w:w="0" w:type="dxa"/>
            <w:vAlign w:val="bottom"/>
          </w:tcPr>
          <w:p>
            <w:pPr>
              <w:spacing w:after="0"/>
              <w:rPr>
                <w:sz w:val="1"/>
                <w:szCs w:val="1"/>
                <w:color w:val="auto"/>
              </w:rPr>
            </w:pPr>
          </w:p>
        </w:tc>
      </w:tr>
      <w:tr>
        <w:trPr>
          <w:trHeight w:val="115"/>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w w:val="70"/>
              </w:rPr>
              <w:t>Company</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78"/>
              </w:rPr>
              <w:t>Subsidiaries</w:t>
            </w:r>
          </w:p>
        </w:tc>
        <w:tc>
          <w:tcPr>
            <w:tcW w:w="4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gridSpan w:val="6"/>
            <w:vMerge w:val="continue"/>
          </w:tcPr>
          <w:p>
            <w:pPr>
              <w:spacing w:after="0"/>
              <w:rPr>
                <w:sz w:val="10"/>
                <w:szCs w:val="10"/>
                <w:color w:val="auto"/>
              </w:rPr>
            </w:pPr>
          </w:p>
        </w:tc>
        <w:tc>
          <w:tcPr>
            <w:tcW w:w="1340" w:type="dxa"/>
            <w:vAlign w:val="bottom"/>
            <w:gridSpan w:val="6"/>
            <w:vMerge w:val="continue"/>
          </w:tcPr>
          <w:p>
            <w:pPr>
              <w:spacing w:after="0"/>
              <w:rPr>
                <w:sz w:val="10"/>
                <w:szCs w:val="10"/>
                <w:color w:val="auto"/>
              </w:rPr>
            </w:pPr>
          </w:p>
        </w:tc>
        <w:tc>
          <w:tcPr>
            <w:tcW w:w="680" w:type="dxa"/>
            <w:vAlign w:val="bottom"/>
            <w:gridSpan w:val="3"/>
            <w:vMerge w:val="continue"/>
          </w:tcPr>
          <w:p>
            <w:pPr>
              <w:spacing w:after="0"/>
              <w:rPr>
                <w:sz w:val="10"/>
                <w:szCs w:val="10"/>
                <w:color w:val="auto"/>
              </w:rPr>
            </w:pPr>
          </w:p>
        </w:tc>
        <w:tc>
          <w:tcPr>
            <w:tcW w:w="1340" w:type="dxa"/>
            <w:vAlign w:val="bottom"/>
            <w:gridSpan w:val="7"/>
            <w:vMerge w:val="continue"/>
          </w:tcPr>
          <w:p>
            <w:pPr>
              <w:spacing w:after="0"/>
              <w:rPr>
                <w:sz w:val="10"/>
                <w:szCs w:val="10"/>
                <w:color w:val="auto"/>
              </w:rPr>
            </w:pPr>
          </w:p>
        </w:tc>
        <w:tc>
          <w:tcPr>
            <w:tcW w:w="1200" w:type="dxa"/>
            <w:vAlign w:val="bottom"/>
            <w:gridSpan w:val="4"/>
            <w:vMerge w:val="continue"/>
          </w:tcPr>
          <w:p>
            <w:pPr>
              <w:spacing w:after="0"/>
              <w:rPr>
                <w:sz w:val="10"/>
                <w:szCs w:val="10"/>
                <w:color w:val="auto"/>
              </w:rPr>
            </w:pPr>
          </w:p>
        </w:tc>
        <w:tc>
          <w:tcPr>
            <w:tcW w:w="78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0"/>
                <w:szCs w:val="20"/>
                <w:color w:val="auto"/>
              </w:rPr>
            </w:pPr>
            <w:r>
              <w:rPr>
                <w:rFonts w:ascii="Arial" w:cs="Arial" w:eastAsia="Arial" w:hAnsi="Arial"/>
                <w:sz w:val="12"/>
                <w:szCs w:val="12"/>
                <w:color w:val="auto"/>
              </w:rPr>
              <w:t>Current assets:</w:t>
            </w: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22,240</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492</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220</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3,278</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26,230</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Receivables, net</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36,983</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78</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130</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75</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3,080</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40,346</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Inventories, net</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7,956</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33</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161</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21,388</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29,538</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2"/>
                <w:szCs w:val="12"/>
                <w:color w:val="auto"/>
              </w:rPr>
              <w:t>Other current assets</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2,078</w:t>
            </w:r>
          </w:p>
        </w:tc>
        <w:tc>
          <w:tcPr>
            <w:tcW w:w="440" w:type="dxa"/>
            <w:vAlign w:val="bottom"/>
          </w:tcPr>
          <w:p>
            <w:pPr>
              <w:spacing w:after="0"/>
              <w:rPr>
                <w:sz w:val="19"/>
                <w:szCs w:val="19"/>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20,988</w:t>
            </w:r>
          </w:p>
        </w:tc>
        <w:tc>
          <w:tcPr>
            <w:tcW w:w="30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75</w:t>
            </w:r>
          </w:p>
        </w:tc>
        <w:tc>
          <w:tcPr>
            <w:tcW w:w="160" w:type="dxa"/>
            <w:vAlign w:val="bottom"/>
          </w:tcPr>
          <w:p>
            <w:pPr>
              <w:spacing w:after="0"/>
              <w:rPr>
                <w:sz w:val="19"/>
                <w:szCs w:val="19"/>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u w:val="single" w:color="auto"/>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7</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1,162</w:t>
            </w:r>
          </w:p>
        </w:tc>
        <w:tc>
          <w:tcPr>
            <w:tcW w:w="14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u w:val="single" w:color="auto"/>
                <w:color w:val="auto"/>
              </w:rPr>
              <w:t>-</w:t>
            </w:r>
          </w:p>
        </w:tc>
        <w:tc>
          <w:tcPr>
            <w:tcW w:w="160" w:type="dxa"/>
            <w:vAlign w:val="bottom"/>
          </w:tcPr>
          <w:p>
            <w:pPr>
              <w:spacing w:after="0"/>
              <w:rPr>
                <w:sz w:val="19"/>
                <w:szCs w:val="19"/>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24,310</w:t>
            </w:r>
          </w:p>
        </w:tc>
        <w:tc>
          <w:tcPr>
            <w:tcW w:w="0" w:type="dxa"/>
            <w:vAlign w:val="bottom"/>
          </w:tcPr>
          <w:p>
            <w:pPr>
              <w:spacing w:after="0"/>
              <w:rPr>
                <w:sz w:val="1"/>
                <w:szCs w:val="1"/>
                <w:color w:val="auto"/>
              </w:rPr>
            </w:pPr>
          </w:p>
        </w:tc>
      </w:tr>
      <w:tr>
        <w:trPr>
          <w:trHeight w:val="188"/>
        </w:trPr>
        <w:tc>
          <w:tcPr>
            <w:tcW w:w="3320" w:type="dxa"/>
            <w:vAlign w:val="bottom"/>
          </w:tcPr>
          <w:p>
            <w:pPr>
              <w:ind w:left="500"/>
              <w:spacing w:after="0"/>
              <w:rPr>
                <w:sz w:val="20"/>
                <w:szCs w:val="20"/>
                <w:color w:val="auto"/>
              </w:rPr>
            </w:pPr>
            <w:r>
              <w:rPr>
                <w:rFonts w:ascii="Arial" w:cs="Arial" w:eastAsia="Arial" w:hAnsi="Arial"/>
                <w:sz w:val="12"/>
                <w:szCs w:val="12"/>
                <w:color w:val="auto"/>
              </w:rPr>
              <w:t>Total current assets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2,078</w:t>
            </w:r>
          </w:p>
        </w:tc>
        <w:tc>
          <w:tcPr>
            <w:tcW w:w="440" w:type="dxa"/>
            <w:vAlign w:val="bottom"/>
          </w:tcPr>
          <w:p>
            <w:pPr>
              <w:spacing w:after="0"/>
              <w:rPr>
                <w:sz w:val="17"/>
                <w:szCs w:val="17"/>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88,167</w:t>
            </w:r>
          </w:p>
        </w:tc>
        <w:tc>
          <w:tcPr>
            <w:tcW w:w="300" w:type="dxa"/>
            <w:vAlign w:val="bottom"/>
          </w:tcPr>
          <w:p>
            <w:pPr>
              <w:spacing w:after="0"/>
              <w:rPr>
                <w:sz w:val="17"/>
                <w:szCs w:val="17"/>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678</w:t>
            </w:r>
          </w:p>
        </w:tc>
        <w:tc>
          <w:tcPr>
            <w:tcW w:w="160" w:type="dxa"/>
            <w:vAlign w:val="bottom"/>
          </w:tcPr>
          <w:p>
            <w:pPr>
              <w:spacing w:after="0"/>
              <w:rPr>
                <w:sz w:val="17"/>
                <w:szCs w:val="17"/>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130</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463</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28,908</w:t>
            </w:r>
          </w:p>
        </w:tc>
        <w:tc>
          <w:tcPr>
            <w:tcW w:w="14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120,424</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Property, plant and equipment, net</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742,420</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28,222</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910</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17,243</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788,795</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Real estate held for sale</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161,104</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900</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10,227</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172,231</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Goodwill, net</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1140" w:type="dxa"/>
            <w:vAlign w:val="bottom"/>
            <w:gridSpan w:val="8"/>
          </w:tcPr>
          <w:p>
            <w:pPr>
              <w:jc w:val="right"/>
              <w:ind w:right="300"/>
              <w:spacing w:after="0"/>
              <w:rPr>
                <w:sz w:val="20"/>
                <w:szCs w:val="20"/>
                <w:color w:val="auto"/>
              </w:rPr>
            </w:pPr>
            <w:r>
              <w:rPr>
                <w:rFonts w:ascii="Arial" w:cs="Arial" w:eastAsia="Arial" w:hAnsi="Arial"/>
                <w:sz w:val="12"/>
                <w:szCs w:val="12"/>
                <w:color w:val="auto"/>
              </w:rPr>
              <w:t>113,047</w:t>
            </w: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2,111</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478</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16,706</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132,342</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Other intangible assets, net</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56,203</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10,731</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3,773</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70,707</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Deferred charges and other assets</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9,573</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37,329</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531</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47,433</w:t>
            </w:r>
          </w:p>
        </w:tc>
        <w:tc>
          <w:tcPr>
            <w:tcW w:w="0" w:type="dxa"/>
            <w:vAlign w:val="bottom"/>
          </w:tcPr>
          <w:p>
            <w:pPr>
              <w:spacing w:after="0"/>
              <w:rPr>
                <w:sz w:val="1"/>
                <w:szCs w:val="1"/>
                <w:color w:val="auto"/>
              </w:rPr>
            </w:pPr>
          </w:p>
        </w:tc>
      </w:tr>
      <w:tr>
        <w:trPr>
          <w:trHeight w:val="308"/>
        </w:trPr>
        <w:tc>
          <w:tcPr>
            <w:tcW w:w="3320" w:type="dxa"/>
            <w:vAlign w:val="bottom"/>
          </w:tcPr>
          <w:p>
            <w:pPr>
              <w:spacing w:after="0"/>
              <w:rPr>
                <w:sz w:val="20"/>
                <w:szCs w:val="20"/>
                <w:color w:val="auto"/>
              </w:rPr>
            </w:pPr>
            <w:r>
              <w:rPr>
                <w:rFonts w:ascii="Arial" w:cs="Arial" w:eastAsia="Arial" w:hAnsi="Arial"/>
                <w:sz w:val="12"/>
                <w:szCs w:val="12"/>
                <w:color w:val="auto"/>
              </w:rPr>
              <w:t>Investments in subsidiaries and advances to (from) parent</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854,054</w:t>
            </w:r>
          </w:p>
        </w:tc>
        <w:tc>
          <w:tcPr>
            <w:tcW w:w="440" w:type="dxa"/>
            <w:vAlign w:val="bottom"/>
          </w:tcPr>
          <w:p>
            <w:pPr>
              <w:spacing w:after="0"/>
              <w:rPr>
                <w:sz w:val="24"/>
                <w:szCs w:val="24"/>
                <w:color w:val="auto"/>
              </w:rPr>
            </w:pPr>
          </w:p>
        </w:tc>
        <w:tc>
          <w:tcPr>
            <w:tcW w:w="1140" w:type="dxa"/>
            <w:vAlign w:val="bottom"/>
            <w:gridSpan w:val="8"/>
          </w:tcPr>
          <w:p>
            <w:pPr>
              <w:jc w:val="right"/>
              <w:ind w:right="300"/>
              <w:spacing w:after="0"/>
              <w:rPr>
                <w:sz w:val="20"/>
                <w:szCs w:val="20"/>
                <w:color w:val="auto"/>
              </w:rPr>
            </w:pPr>
            <w:r>
              <w:rPr>
                <w:rFonts w:ascii="Arial" w:cs="Arial" w:eastAsia="Arial" w:hAnsi="Arial"/>
                <w:sz w:val="12"/>
                <w:szCs w:val="12"/>
                <w:color w:val="auto"/>
              </w:rPr>
              <w:t>(53,927)</w:t>
            </w:r>
          </w:p>
        </w:tc>
        <w:tc>
          <w:tcPr>
            <w:tcW w:w="680" w:type="dxa"/>
            <w:vAlign w:val="bottom"/>
            <w:gridSpan w:val="6"/>
          </w:tcPr>
          <w:p>
            <w:pPr>
              <w:jc w:val="right"/>
              <w:ind w:right="160"/>
              <w:spacing w:after="0"/>
              <w:rPr>
                <w:sz w:val="20"/>
                <w:szCs w:val="20"/>
                <w:color w:val="auto"/>
              </w:rPr>
            </w:pPr>
            <w:r>
              <w:rPr>
                <w:rFonts w:ascii="Arial" w:cs="Arial" w:eastAsia="Arial" w:hAnsi="Arial"/>
                <w:sz w:val="12"/>
                <w:szCs w:val="12"/>
                <w:color w:val="auto"/>
              </w:rPr>
              <w:t>(13,111)</w:t>
            </w: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61</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(448)</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(10,061)</w:t>
            </w:r>
          </w:p>
        </w:tc>
        <w:tc>
          <w:tcPr>
            <w:tcW w:w="1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(776,568)</w:t>
            </w:r>
          </w:p>
        </w:tc>
        <w:tc>
          <w:tcPr>
            <w:tcW w:w="160" w:type="dxa"/>
            <w:vAlign w:val="bottom"/>
          </w:tcPr>
          <w:p>
            <w:pPr>
              <w:spacing w:after="0"/>
              <w:rPr>
                <w:sz w:val="24"/>
                <w:szCs w:val="24"/>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0" w:type="dxa"/>
            <w:vAlign w:val="bottom"/>
          </w:tcPr>
          <w:p>
            <w:pPr>
              <w:spacing w:after="0"/>
              <w:rPr>
                <w:sz w:val="1"/>
                <w:szCs w:val="1"/>
                <w:color w:val="auto"/>
              </w:rPr>
            </w:pPr>
          </w:p>
        </w:tc>
      </w:tr>
      <w:tr>
        <w:trPr>
          <w:trHeight w:val="188"/>
        </w:trPr>
        <w:tc>
          <w:tcPr>
            <w:tcW w:w="3320" w:type="dxa"/>
            <w:vAlign w:val="bottom"/>
          </w:tcPr>
          <w:p>
            <w:pPr>
              <w:ind w:left="500"/>
              <w:spacing w:after="0"/>
              <w:rPr>
                <w:sz w:val="20"/>
                <w:szCs w:val="20"/>
                <w:color w:val="auto"/>
              </w:rPr>
            </w:pPr>
            <w:r>
              <w:rPr>
                <w:rFonts w:ascii="Arial" w:cs="Arial" w:eastAsia="Arial" w:hAnsi="Arial"/>
                <w:sz w:val="12"/>
                <w:szCs w:val="12"/>
                <w:color w:val="auto"/>
              </w:rPr>
              <w:t>Total assets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865,704</w:t>
            </w:r>
          </w:p>
        </w:tc>
        <w:tc>
          <w:tcPr>
            <w:tcW w:w="440" w:type="dxa"/>
            <w:vAlign w:val="bottom"/>
          </w:tcPr>
          <w:p>
            <w:pPr>
              <w:spacing w:after="0"/>
              <w:rPr>
                <w:sz w:val="15"/>
                <w:szCs w:val="15"/>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1,144,343</w:t>
            </w:r>
          </w:p>
        </w:tc>
        <w:tc>
          <w:tcPr>
            <w:tcW w:w="300" w:type="dxa"/>
            <w:vAlign w:val="bottom"/>
          </w:tcPr>
          <w:p>
            <w:pPr>
              <w:spacing w:after="0"/>
              <w:rPr>
                <w:sz w:val="15"/>
                <w:szCs w:val="15"/>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17,900</w:t>
            </w:r>
          </w:p>
        </w:tc>
        <w:tc>
          <w:tcPr>
            <w:tcW w:w="160" w:type="dxa"/>
            <w:vAlign w:val="bottom"/>
          </w:tcPr>
          <w:p>
            <w:pPr>
              <w:spacing w:after="0"/>
              <w:rPr>
                <w:sz w:val="15"/>
                <w:szCs w:val="15"/>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12,300</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925</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67,327</w:t>
            </w:r>
          </w:p>
        </w:tc>
        <w:tc>
          <w:tcPr>
            <w:tcW w:w="140" w:type="dxa"/>
            <w:vAlign w:val="bottom"/>
          </w:tcPr>
          <w:p>
            <w:pPr>
              <w:spacing w:after="0"/>
              <w:rPr>
                <w:sz w:val="15"/>
                <w:szCs w:val="15"/>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(776,568)</w:t>
            </w:r>
          </w:p>
        </w:tc>
        <w:tc>
          <w:tcPr>
            <w:tcW w:w="160" w:type="dxa"/>
            <w:vAlign w:val="bottom"/>
          </w:tcPr>
          <w:p>
            <w:pPr>
              <w:spacing w:after="0"/>
              <w:rPr>
                <w:sz w:val="15"/>
                <w:szCs w:val="15"/>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1,331,932</w:t>
            </w:r>
          </w:p>
        </w:tc>
        <w:tc>
          <w:tcPr>
            <w:tcW w:w="0" w:type="dxa"/>
            <w:vAlign w:val="bottom"/>
          </w:tcPr>
          <w:p>
            <w:pPr>
              <w:spacing w:after="0"/>
              <w:rPr>
                <w:sz w:val="1"/>
                <w:szCs w:val="1"/>
                <w:color w:val="auto"/>
              </w:rPr>
            </w:pPr>
          </w:p>
        </w:tc>
      </w:tr>
      <w:tr>
        <w:trPr>
          <w:trHeight w:val="495"/>
        </w:trPr>
        <w:tc>
          <w:tcPr>
            <w:tcW w:w="3320" w:type="dxa"/>
            <w:vAlign w:val="bottom"/>
          </w:tcPr>
          <w:p>
            <w:pPr>
              <w:spacing w:after="0"/>
              <w:rPr>
                <w:sz w:val="20"/>
                <w:szCs w:val="20"/>
                <w:color w:val="auto"/>
              </w:rPr>
            </w:pPr>
            <w:r>
              <w:rPr>
                <w:rFonts w:ascii="Arial" w:cs="Arial" w:eastAsia="Arial" w:hAnsi="Arial"/>
                <w:sz w:val="12"/>
                <w:szCs w:val="12"/>
                <w:color w:val="auto"/>
              </w:rPr>
              <w:t>Current liabilities: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Accounts payable and accrued expenses</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19,587</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130,807</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1,110</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900</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235</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18,356</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170,995</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Income taxes payable</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2"/>
                <w:szCs w:val="12"/>
                <w:color w:val="auto"/>
              </w:rPr>
              <w:t>Long-term debt due within one year</w:t>
            </w:r>
          </w:p>
        </w:tc>
        <w:tc>
          <w:tcPr>
            <w:tcW w:w="560" w:type="dxa"/>
            <w:vAlign w:val="bottom"/>
            <w:gridSpan w:val="5"/>
          </w:tcPr>
          <w:p>
            <w:pPr>
              <w:jc w:val="right"/>
              <w:spacing w:after="0"/>
              <w:rPr>
                <w:sz w:val="20"/>
                <w:szCs w:val="20"/>
                <w:color w:val="auto"/>
              </w:rPr>
            </w:pPr>
            <w:r>
              <w:rPr>
                <w:rFonts w:ascii="Arial" w:cs="Arial" w:eastAsia="Arial" w:hAnsi="Arial"/>
                <w:sz w:val="12"/>
                <w:szCs w:val="12"/>
                <w:u w:val="single" w:color="auto"/>
                <w:color w:val="auto"/>
              </w:rPr>
              <w:t>-</w:t>
            </w:r>
          </w:p>
        </w:tc>
        <w:tc>
          <w:tcPr>
            <w:tcW w:w="440" w:type="dxa"/>
            <w:vAlign w:val="bottom"/>
          </w:tcPr>
          <w:p>
            <w:pPr>
              <w:spacing w:after="0"/>
              <w:rPr>
                <w:sz w:val="19"/>
                <w:szCs w:val="19"/>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2,361</w:t>
            </w:r>
          </w:p>
        </w:tc>
        <w:tc>
          <w:tcPr>
            <w:tcW w:w="30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u w:val="single" w:color="auto"/>
                <w:color w:val="auto"/>
              </w:rPr>
              <w:t>-</w:t>
            </w:r>
          </w:p>
        </w:tc>
        <w:tc>
          <w:tcPr>
            <w:tcW w:w="160" w:type="dxa"/>
            <w:vAlign w:val="bottom"/>
          </w:tcPr>
          <w:p>
            <w:pPr>
              <w:spacing w:after="0"/>
              <w:rPr>
                <w:sz w:val="19"/>
                <w:szCs w:val="19"/>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u w:val="single" w:color="auto"/>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u w:val="single" w:color="auto"/>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u w:val="single" w:color="auto"/>
                <w:color w:val="auto"/>
              </w:rPr>
              <w:t>-</w:t>
            </w:r>
          </w:p>
        </w:tc>
        <w:tc>
          <w:tcPr>
            <w:tcW w:w="160" w:type="dxa"/>
            <w:vAlign w:val="bottom"/>
          </w:tcPr>
          <w:p>
            <w:pPr>
              <w:spacing w:after="0"/>
              <w:rPr>
                <w:sz w:val="19"/>
                <w:szCs w:val="19"/>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3,361</w:t>
            </w:r>
          </w:p>
        </w:tc>
        <w:tc>
          <w:tcPr>
            <w:tcW w:w="0" w:type="dxa"/>
            <w:vAlign w:val="bottom"/>
          </w:tcPr>
          <w:p>
            <w:pPr>
              <w:spacing w:after="0"/>
              <w:rPr>
                <w:sz w:val="1"/>
                <w:szCs w:val="1"/>
                <w:color w:val="auto"/>
              </w:rPr>
            </w:pPr>
          </w:p>
        </w:tc>
      </w:tr>
      <w:tr>
        <w:trPr>
          <w:trHeight w:val="188"/>
        </w:trPr>
        <w:tc>
          <w:tcPr>
            <w:tcW w:w="3320" w:type="dxa"/>
            <w:vAlign w:val="bottom"/>
          </w:tcPr>
          <w:p>
            <w:pPr>
              <w:ind w:left="500"/>
              <w:spacing w:after="0"/>
              <w:rPr>
                <w:sz w:val="20"/>
                <w:szCs w:val="20"/>
                <w:color w:val="auto"/>
              </w:rPr>
            </w:pPr>
            <w:r>
              <w:rPr>
                <w:rFonts w:ascii="Arial" w:cs="Arial" w:eastAsia="Arial" w:hAnsi="Arial"/>
                <w:sz w:val="12"/>
                <w:szCs w:val="12"/>
                <w:color w:val="auto"/>
              </w:rPr>
              <w:t>Total current liabilities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320" w:type="dxa"/>
            <w:vAlign w:val="bottom"/>
          </w:tcPr>
          <w:p>
            <w:pPr>
              <w:spacing w:after="0"/>
              <w:rPr>
                <w:sz w:val="17"/>
                <w:szCs w:val="17"/>
                <w:color w:val="auto"/>
              </w:rPr>
            </w:pP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19,587</w:t>
            </w:r>
          </w:p>
        </w:tc>
        <w:tc>
          <w:tcPr>
            <w:tcW w:w="440" w:type="dxa"/>
            <w:vAlign w:val="bottom"/>
          </w:tcPr>
          <w:p>
            <w:pPr>
              <w:spacing w:after="0"/>
              <w:rPr>
                <w:sz w:val="17"/>
                <w:szCs w:val="17"/>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133,168</w:t>
            </w:r>
          </w:p>
        </w:tc>
        <w:tc>
          <w:tcPr>
            <w:tcW w:w="300" w:type="dxa"/>
            <w:vAlign w:val="bottom"/>
          </w:tcPr>
          <w:p>
            <w:pPr>
              <w:spacing w:after="0"/>
              <w:rPr>
                <w:sz w:val="17"/>
                <w:szCs w:val="17"/>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1,110</w:t>
            </w:r>
          </w:p>
        </w:tc>
        <w:tc>
          <w:tcPr>
            <w:tcW w:w="160" w:type="dxa"/>
            <w:vAlign w:val="bottom"/>
          </w:tcPr>
          <w:p>
            <w:pPr>
              <w:spacing w:after="0"/>
              <w:rPr>
                <w:sz w:val="17"/>
                <w:szCs w:val="17"/>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900</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235</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19,356</w:t>
            </w:r>
          </w:p>
        </w:tc>
        <w:tc>
          <w:tcPr>
            <w:tcW w:w="14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7"/>
                <w:szCs w:val="17"/>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174,356</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Long-term debt</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352,759</w:t>
            </w:r>
          </w:p>
        </w:tc>
        <w:tc>
          <w:tcPr>
            <w:tcW w:w="440" w:type="dxa"/>
            <w:vAlign w:val="bottom"/>
          </w:tcPr>
          <w:p>
            <w:pPr>
              <w:spacing w:after="0"/>
              <w:rPr>
                <w:sz w:val="21"/>
                <w:szCs w:val="21"/>
                <w:color w:val="auto"/>
              </w:rPr>
            </w:pPr>
          </w:p>
        </w:tc>
        <w:tc>
          <w:tcPr>
            <w:tcW w:w="1140" w:type="dxa"/>
            <w:vAlign w:val="bottom"/>
            <w:gridSpan w:val="8"/>
          </w:tcPr>
          <w:p>
            <w:pPr>
              <w:jc w:val="right"/>
              <w:ind w:right="300"/>
              <w:spacing w:after="0"/>
              <w:rPr>
                <w:sz w:val="20"/>
                <w:szCs w:val="20"/>
                <w:color w:val="auto"/>
              </w:rPr>
            </w:pPr>
            <w:r>
              <w:rPr>
                <w:rFonts w:ascii="Arial" w:cs="Arial" w:eastAsia="Arial" w:hAnsi="Arial"/>
                <w:sz w:val="12"/>
                <w:szCs w:val="12"/>
                <w:color w:val="auto"/>
              </w:rPr>
              <w:t>100,911</w:t>
            </w: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1,155</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16,900</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471,725</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Other long-term liabilities</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535</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80,135</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80,670</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Deferred income taxes</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87,062</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1,643</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88,705</w:t>
            </w:r>
          </w:p>
        </w:tc>
        <w:tc>
          <w:tcPr>
            <w:tcW w:w="0" w:type="dxa"/>
            <w:vAlign w:val="bottom"/>
          </w:tcPr>
          <w:p>
            <w:pPr>
              <w:spacing w:after="0"/>
              <w:rPr>
                <w:sz w:val="1"/>
                <w:szCs w:val="1"/>
                <w:color w:val="auto"/>
              </w:rPr>
            </w:pPr>
          </w:p>
        </w:tc>
      </w:tr>
      <w:tr>
        <w:trPr>
          <w:trHeight w:val="246"/>
        </w:trPr>
        <w:tc>
          <w:tcPr>
            <w:tcW w:w="3320" w:type="dxa"/>
            <w:vAlign w:val="bottom"/>
          </w:tcPr>
          <w:p>
            <w:pPr>
              <w:spacing w:after="0"/>
              <w:rPr>
                <w:sz w:val="20"/>
                <w:szCs w:val="20"/>
                <w:color w:val="auto"/>
              </w:rPr>
            </w:pPr>
            <w:r>
              <w:rPr>
                <w:rFonts w:ascii="Arial" w:cs="Arial" w:eastAsia="Arial" w:hAnsi="Arial"/>
                <w:sz w:val="12"/>
                <w:szCs w:val="12"/>
                <w:color w:val="auto"/>
              </w:rPr>
              <w:t>Minority interest in net assets of consolidated JV</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21"/>
                <w:szCs w:val="21"/>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185</w:t>
            </w:r>
          </w:p>
        </w:tc>
        <w:tc>
          <w:tcPr>
            <w:tcW w:w="300" w:type="dxa"/>
            <w:vAlign w:val="bottom"/>
          </w:tcPr>
          <w:p>
            <w:pPr>
              <w:spacing w:after="0"/>
              <w:rPr>
                <w:sz w:val="21"/>
                <w:szCs w:val="21"/>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7,661</w:t>
            </w:r>
          </w:p>
        </w:tc>
        <w:tc>
          <w:tcPr>
            <w:tcW w:w="160" w:type="dxa"/>
            <w:vAlign w:val="bottom"/>
          </w:tcPr>
          <w:p>
            <w:pPr>
              <w:spacing w:after="0"/>
              <w:rPr>
                <w:sz w:val="21"/>
                <w:szCs w:val="21"/>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3,231</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100</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12,474</w:t>
            </w:r>
          </w:p>
        </w:tc>
        <w:tc>
          <w:tcPr>
            <w:tcW w:w="14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23,651</w:t>
            </w:r>
          </w:p>
        </w:tc>
        <w:tc>
          <w:tcPr>
            <w:tcW w:w="0" w:type="dxa"/>
            <w:vAlign w:val="bottom"/>
          </w:tcPr>
          <w:p>
            <w:pPr>
              <w:spacing w:after="0"/>
              <w:rPr>
                <w:sz w:val="1"/>
                <w:szCs w:val="1"/>
                <w:color w:val="auto"/>
              </w:rPr>
            </w:pPr>
          </w:p>
        </w:tc>
      </w:tr>
      <w:tr>
        <w:trPr>
          <w:trHeight w:val="222"/>
        </w:trPr>
        <w:tc>
          <w:tcPr>
            <w:tcW w:w="3320" w:type="dxa"/>
            <w:vAlign w:val="bottom"/>
          </w:tcPr>
          <w:p>
            <w:pPr>
              <w:spacing w:after="0"/>
              <w:rPr>
                <w:sz w:val="20"/>
                <w:szCs w:val="20"/>
                <w:color w:val="auto"/>
              </w:rPr>
            </w:pPr>
            <w:r>
              <w:rPr>
                <w:rFonts w:ascii="Arial" w:cs="Arial" w:eastAsia="Arial" w:hAnsi="Arial"/>
                <w:sz w:val="12"/>
                <w:szCs w:val="12"/>
                <w:color w:val="auto"/>
              </w:rPr>
              <w:t>Total stockholders' equity</w:t>
            </w:r>
          </w:p>
        </w:tc>
        <w:tc>
          <w:tcPr>
            <w:tcW w:w="560" w:type="dxa"/>
            <w:vAlign w:val="bottom"/>
            <w:gridSpan w:val="5"/>
          </w:tcPr>
          <w:p>
            <w:pPr>
              <w:jc w:val="right"/>
              <w:spacing w:after="0"/>
              <w:rPr>
                <w:sz w:val="20"/>
                <w:szCs w:val="20"/>
                <w:color w:val="auto"/>
              </w:rPr>
            </w:pPr>
            <w:r>
              <w:rPr>
                <w:rFonts w:ascii="Arial" w:cs="Arial" w:eastAsia="Arial" w:hAnsi="Arial"/>
                <w:sz w:val="12"/>
                <w:szCs w:val="12"/>
                <w:color w:val="auto"/>
              </w:rPr>
              <w:t>492,824</w:t>
            </w:r>
          </w:p>
        </w:tc>
        <w:tc>
          <w:tcPr>
            <w:tcW w:w="440" w:type="dxa"/>
            <w:vAlign w:val="bottom"/>
          </w:tcPr>
          <w:p>
            <w:pPr>
              <w:spacing w:after="0"/>
              <w:rPr>
                <w:sz w:val="19"/>
                <w:szCs w:val="19"/>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742,882</w:t>
            </w:r>
          </w:p>
        </w:tc>
        <w:tc>
          <w:tcPr>
            <w:tcW w:w="300" w:type="dxa"/>
            <w:vAlign w:val="bottom"/>
          </w:tcPr>
          <w:p>
            <w:pPr>
              <w:spacing w:after="0"/>
              <w:rPr>
                <w:sz w:val="19"/>
                <w:szCs w:val="19"/>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7,974</w:t>
            </w:r>
          </w:p>
        </w:tc>
        <w:tc>
          <w:tcPr>
            <w:tcW w:w="160" w:type="dxa"/>
            <w:vAlign w:val="bottom"/>
          </w:tcPr>
          <w:p>
            <w:pPr>
              <w:spacing w:after="0"/>
              <w:rPr>
                <w:sz w:val="19"/>
                <w:szCs w:val="19"/>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8,169</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590</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16,954</w:t>
            </w:r>
          </w:p>
        </w:tc>
        <w:tc>
          <w:tcPr>
            <w:tcW w:w="14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(776,568)</w:t>
            </w:r>
          </w:p>
        </w:tc>
        <w:tc>
          <w:tcPr>
            <w:tcW w:w="160" w:type="dxa"/>
            <w:vAlign w:val="bottom"/>
          </w:tcPr>
          <w:p>
            <w:pPr>
              <w:spacing w:after="0"/>
              <w:rPr>
                <w:sz w:val="19"/>
                <w:szCs w:val="19"/>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492,825</w:t>
            </w:r>
          </w:p>
        </w:tc>
        <w:tc>
          <w:tcPr>
            <w:tcW w:w="0" w:type="dxa"/>
            <w:vAlign w:val="bottom"/>
          </w:tcPr>
          <w:p>
            <w:pPr>
              <w:spacing w:after="0"/>
              <w:rPr>
                <w:sz w:val="1"/>
                <w:szCs w:val="1"/>
                <w:color w:val="auto"/>
              </w:rPr>
            </w:pPr>
          </w:p>
        </w:tc>
      </w:tr>
      <w:tr>
        <w:trPr>
          <w:trHeight w:val="188"/>
        </w:trPr>
        <w:tc>
          <w:tcPr>
            <w:tcW w:w="3320" w:type="dxa"/>
            <w:vAlign w:val="bottom"/>
          </w:tcPr>
          <w:p>
            <w:pPr>
              <w:ind w:left="500"/>
              <w:spacing w:after="0"/>
              <w:rPr>
                <w:sz w:val="20"/>
                <w:szCs w:val="20"/>
                <w:color w:val="auto"/>
              </w:rPr>
            </w:pPr>
            <w:r>
              <w:rPr>
                <w:rFonts w:ascii="Arial" w:cs="Arial" w:eastAsia="Arial" w:hAnsi="Arial"/>
                <w:sz w:val="12"/>
                <w:szCs w:val="12"/>
                <w:color w:val="auto"/>
              </w:rPr>
              <w:t>Total liabilities and stockholders' equity</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400" w:type="dxa"/>
            <w:vAlign w:val="bottom"/>
            <w:gridSpan w:val="3"/>
          </w:tcPr>
          <w:p>
            <w:pPr>
              <w:jc w:val="right"/>
              <w:spacing w:after="0"/>
              <w:rPr>
                <w:sz w:val="20"/>
                <w:szCs w:val="20"/>
                <w:color w:val="auto"/>
              </w:rPr>
            </w:pPr>
            <w:r>
              <w:rPr>
                <w:rFonts w:ascii="Arial" w:cs="Arial" w:eastAsia="Arial" w:hAnsi="Arial"/>
                <w:sz w:val="12"/>
                <w:szCs w:val="12"/>
                <w:color w:val="auto"/>
                <w:w w:val="87"/>
              </w:rPr>
              <w:t>865,704</w:t>
            </w:r>
          </w:p>
        </w:tc>
        <w:tc>
          <w:tcPr>
            <w:tcW w:w="440" w:type="dxa"/>
            <w:vAlign w:val="bottom"/>
          </w:tcPr>
          <w:p>
            <w:pPr>
              <w:spacing w:after="0"/>
              <w:rPr>
                <w:sz w:val="15"/>
                <w:szCs w:val="15"/>
                <w:color w:val="auto"/>
              </w:rPr>
            </w:pP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1,144,343</w:t>
            </w:r>
          </w:p>
        </w:tc>
        <w:tc>
          <w:tcPr>
            <w:tcW w:w="300" w:type="dxa"/>
            <w:vAlign w:val="bottom"/>
          </w:tcPr>
          <w:p>
            <w:pPr>
              <w:spacing w:after="0"/>
              <w:rPr>
                <w:sz w:val="15"/>
                <w:szCs w:val="15"/>
                <w:color w:val="auto"/>
              </w:rPr>
            </w:pPr>
          </w:p>
        </w:tc>
        <w:tc>
          <w:tcPr>
            <w:tcW w:w="520" w:type="dxa"/>
            <w:vAlign w:val="bottom"/>
            <w:gridSpan w:val="5"/>
          </w:tcPr>
          <w:p>
            <w:pPr>
              <w:jc w:val="right"/>
              <w:spacing w:after="0"/>
              <w:rPr>
                <w:sz w:val="20"/>
                <w:szCs w:val="20"/>
                <w:color w:val="auto"/>
              </w:rPr>
            </w:pPr>
            <w:r>
              <w:rPr>
                <w:rFonts w:ascii="Arial" w:cs="Arial" w:eastAsia="Arial" w:hAnsi="Arial"/>
                <w:sz w:val="12"/>
                <w:szCs w:val="12"/>
                <w:color w:val="auto"/>
              </w:rPr>
              <w:t>17,900</w:t>
            </w:r>
          </w:p>
        </w:tc>
        <w:tc>
          <w:tcPr>
            <w:tcW w:w="160" w:type="dxa"/>
            <w:vAlign w:val="bottom"/>
          </w:tcPr>
          <w:p>
            <w:pPr>
              <w:spacing w:after="0"/>
              <w:rPr>
                <w:sz w:val="15"/>
                <w:szCs w:val="15"/>
                <w:color w:val="auto"/>
              </w:rPr>
            </w:pPr>
          </w:p>
        </w:tc>
        <w:tc>
          <w:tcPr>
            <w:tcW w:w="1340" w:type="dxa"/>
            <w:vAlign w:val="bottom"/>
            <w:gridSpan w:val="6"/>
          </w:tcPr>
          <w:p>
            <w:pPr>
              <w:jc w:val="right"/>
              <w:ind w:right="340"/>
              <w:spacing w:after="0"/>
              <w:rPr>
                <w:sz w:val="20"/>
                <w:szCs w:val="20"/>
                <w:color w:val="auto"/>
              </w:rPr>
            </w:pPr>
            <w:r>
              <w:rPr>
                <w:rFonts w:ascii="Arial" w:cs="Arial" w:eastAsia="Arial" w:hAnsi="Arial"/>
                <w:sz w:val="12"/>
                <w:szCs w:val="12"/>
                <w:color w:val="auto"/>
              </w:rPr>
              <w:t>12,300</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925</w:t>
            </w:r>
          </w:p>
        </w:tc>
        <w:tc>
          <w:tcPr>
            <w:tcW w:w="1200" w:type="dxa"/>
            <w:vAlign w:val="bottom"/>
            <w:gridSpan w:val="6"/>
          </w:tcPr>
          <w:p>
            <w:pPr>
              <w:jc w:val="right"/>
              <w:ind w:right="60"/>
              <w:spacing w:after="0"/>
              <w:rPr>
                <w:sz w:val="20"/>
                <w:szCs w:val="20"/>
                <w:color w:val="auto"/>
              </w:rPr>
            </w:pPr>
            <w:r>
              <w:rPr>
                <w:rFonts w:ascii="Arial" w:cs="Arial" w:eastAsia="Arial" w:hAnsi="Arial"/>
                <w:sz w:val="12"/>
                <w:szCs w:val="12"/>
                <w:color w:val="auto"/>
              </w:rPr>
              <w:t>67,327</w:t>
            </w:r>
          </w:p>
        </w:tc>
        <w:tc>
          <w:tcPr>
            <w:tcW w:w="140" w:type="dxa"/>
            <w:vAlign w:val="bottom"/>
          </w:tcPr>
          <w:p>
            <w:pPr>
              <w:spacing w:after="0"/>
              <w:rPr>
                <w:sz w:val="15"/>
                <w:szCs w:val="15"/>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2"/>
                <w:szCs w:val="12"/>
                <w:color w:val="auto"/>
              </w:rPr>
              <w:t>(776,568)</w:t>
            </w:r>
          </w:p>
        </w:tc>
        <w:tc>
          <w:tcPr>
            <w:tcW w:w="160" w:type="dxa"/>
            <w:vAlign w:val="bottom"/>
          </w:tcPr>
          <w:p>
            <w:pPr>
              <w:spacing w:after="0"/>
              <w:rPr>
                <w:sz w:val="15"/>
                <w:szCs w:val="15"/>
                <w:color w:val="auto"/>
              </w:rPr>
            </w:pPr>
          </w:p>
        </w:tc>
        <w:tc>
          <w:tcPr>
            <w:tcW w:w="780" w:type="dxa"/>
            <w:vAlign w:val="bottom"/>
            <w:gridSpan w:val="6"/>
          </w:tcPr>
          <w:p>
            <w:pPr>
              <w:jc w:val="right"/>
              <w:spacing w:after="0"/>
              <w:rPr>
                <w:sz w:val="20"/>
                <w:szCs w:val="20"/>
                <w:color w:val="auto"/>
              </w:rPr>
            </w:pPr>
            <w:r>
              <w:rPr>
                <w:rFonts w:ascii="Arial" w:cs="Arial" w:eastAsia="Arial" w:hAnsi="Arial"/>
                <w:sz w:val="12"/>
                <w:szCs w:val="12"/>
                <w:color w:val="auto"/>
              </w:rPr>
              <w:t>1,331,932</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Supplemental Condensed Consolidating Statement of Operations</w:t>
      </w:r>
    </w:p>
    <w:p>
      <w:pPr>
        <w:spacing w:after="0" w:line="62"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For the six months ended January 31, 2003</w:t>
      </w:r>
    </w:p>
    <w:p>
      <w:pPr>
        <w:spacing w:after="0" w:line="62"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(in thousands of dollars)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6"/>
            <w:vMerge w:val="restart"/>
          </w:tcPr>
          <w:p>
            <w:pPr>
              <w:spacing w:after="0"/>
              <w:rPr>
                <w:sz w:val="20"/>
                <w:szCs w:val="20"/>
                <w:color w:val="auto"/>
              </w:rPr>
            </w:pPr>
            <w:r>
              <w:rPr>
                <w:rFonts w:ascii="Arial" w:cs="Arial" w:eastAsia="Arial" w:hAnsi="Arial"/>
                <w:sz w:val="12"/>
                <w:szCs w:val="12"/>
                <w:b w:val="1"/>
                <w:bCs w:val="1"/>
                <w:color w:val="auto"/>
              </w:rPr>
              <w:t>Parent</w:t>
            </w:r>
          </w:p>
        </w:tc>
        <w:tc>
          <w:tcPr>
            <w:tcW w:w="1080" w:type="dxa"/>
            <w:vAlign w:val="bottom"/>
            <w:gridSpan w:val="8"/>
          </w:tcPr>
          <w:p>
            <w:pPr>
              <w:spacing w:after="0"/>
              <w:rPr>
                <w:sz w:val="20"/>
                <w:szCs w:val="20"/>
                <w:color w:val="auto"/>
              </w:rPr>
            </w:pPr>
            <w:r>
              <w:rPr>
                <w:rFonts w:ascii="Arial" w:cs="Arial" w:eastAsia="Arial" w:hAnsi="Arial"/>
                <w:sz w:val="12"/>
                <w:szCs w:val="12"/>
                <w:b w:val="1"/>
                <w:bCs w:val="1"/>
                <w:color w:val="auto"/>
              </w:rPr>
              <w:t>100% Owned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6"/>
            <w:vMerge w:val="restart"/>
          </w:tcPr>
          <w:p>
            <w:pPr>
              <w:jc w:val="center"/>
              <w:spacing w:after="0"/>
              <w:rPr>
                <w:sz w:val="20"/>
                <w:szCs w:val="20"/>
                <w:color w:val="auto"/>
              </w:rPr>
            </w:pPr>
            <w:r>
              <w:rPr>
                <w:rFonts w:ascii="Arial" w:cs="Arial" w:eastAsia="Arial" w:hAnsi="Arial"/>
                <w:sz w:val="12"/>
                <w:szCs w:val="12"/>
                <w:b w:val="1"/>
                <w:bCs w:val="1"/>
                <w:color w:val="auto"/>
                <w:w w:val="95"/>
              </w:rPr>
              <w:t>Eliminating</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6"/>
            <w:vMerge w:val="continue"/>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gridSpan w:val="6"/>
          </w:tcPr>
          <w:p>
            <w:pPr>
              <w:jc w:val="right"/>
              <w:ind w:right="120"/>
              <w:spacing w:after="0" w:line="115" w:lineRule="exact"/>
              <w:rPr>
                <w:sz w:val="20"/>
                <w:szCs w:val="20"/>
                <w:color w:val="auto"/>
              </w:rPr>
            </w:pPr>
            <w:r>
              <w:rPr>
                <w:rFonts w:ascii="Arial" w:cs="Arial" w:eastAsia="Arial" w:hAnsi="Arial"/>
                <w:sz w:val="12"/>
                <w:szCs w:val="12"/>
                <w:b w:val="1"/>
                <w:bCs w:val="1"/>
                <w:color w:val="auto"/>
                <w:w w:val="96"/>
              </w:rPr>
              <w:t>Guarantor</w:t>
            </w:r>
          </w:p>
        </w:tc>
        <w:tc>
          <w:tcPr>
            <w:tcW w:w="320" w:type="dxa"/>
            <w:vAlign w:val="bottom"/>
          </w:tcPr>
          <w:p>
            <w:pPr>
              <w:spacing w:after="0"/>
              <w:rPr>
                <w:sz w:val="10"/>
                <w:szCs w:val="10"/>
                <w:color w:val="auto"/>
              </w:rPr>
            </w:pPr>
          </w:p>
        </w:tc>
        <w:tc>
          <w:tcPr>
            <w:tcW w:w="90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JHL&amp;S</w:t>
            </w:r>
          </w:p>
        </w:tc>
        <w:tc>
          <w:tcPr>
            <w:tcW w:w="1100" w:type="dxa"/>
            <w:vAlign w:val="bottom"/>
            <w:gridSpan w:val="4"/>
            <w:vMerge w:val="restart"/>
          </w:tcPr>
          <w:p>
            <w:pPr>
              <w:jc w:val="right"/>
              <w:ind w:right="420"/>
              <w:spacing w:after="0"/>
              <w:rPr>
                <w:sz w:val="20"/>
                <w:szCs w:val="20"/>
                <w:color w:val="auto"/>
              </w:rPr>
            </w:pPr>
            <w:r>
              <w:rPr>
                <w:rFonts w:ascii="Arial" w:cs="Arial" w:eastAsia="Arial" w:hAnsi="Arial"/>
                <w:sz w:val="12"/>
                <w:szCs w:val="12"/>
                <w:b w:val="1"/>
                <w:bCs w:val="1"/>
                <w:color w:val="auto"/>
                <w:w w:val="89"/>
              </w:rPr>
              <w:t>RockResorts</w:t>
            </w:r>
          </w:p>
        </w:tc>
        <w:tc>
          <w:tcPr>
            <w:tcW w:w="7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Larkspur</w:t>
            </w:r>
          </w:p>
        </w:tc>
        <w:tc>
          <w:tcPr>
            <w:tcW w:w="1200" w:type="dxa"/>
            <w:vAlign w:val="bottom"/>
            <w:gridSpan w:val="6"/>
            <w:vMerge w:val="restart"/>
          </w:tcPr>
          <w:p>
            <w:pPr>
              <w:ind w:left="80"/>
              <w:spacing w:after="0"/>
              <w:rPr>
                <w:sz w:val="20"/>
                <w:szCs w:val="20"/>
                <w:color w:val="auto"/>
              </w:rPr>
            </w:pPr>
            <w:r>
              <w:rPr>
                <w:rFonts w:ascii="Arial" w:cs="Arial" w:eastAsia="Arial" w:hAnsi="Arial"/>
                <w:sz w:val="12"/>
                <w:szCs w:val="12"/>
                <w:b w:val="1"/>
                <w:bCs w:val="1"/>
                <w:color w:val="auto"/>
              </w:rPr>
              <w:t>Other Subsidiaries</w:t>
            </w:r>
          </w:p>
        </w:tc>
        <w:tc>
          <w:tcPr>
            <w:tcW w:w="840" w:type="dxa"/>
            <w:vAlign w:val="bottom"/>
            <w:gridSpan w:val="6"/>
            <w:vMerge w:val="continue"/>
          </w:tcPr>
          <w:p>
            <w:pPr>
              <w:spacing w:after="0"/>
              <w:rPr>
                <w:sz w:val="10"/>
                <w:szCs w:val="10"/>
                <w:color w:val="auto"/>
              </w:rPr>
            </w:pPr>
          </w:p>
        </w:tc>
        <w:tc>
          <w:tcPr>
            <w:tcW w:w="1100" w:type="dxa"/>
            <w:vAlign w:val="bottom"/>
            <w:gridSpan w:val="6"/>
            <w:vMerge w:val="restart"/>
          </w:tcPr>
          <w:p>
            <w:pPr>
              <w:jc w:val="right"/>
              <w:ind w:right="140"/>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15"/>
        </w:trPr>
        <w:tc>
          <w:tcPr>
            <w:tcW w:w="2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Borders>
              <w:top w:val="single" w:sz="8" w:color="auto"/>
            </w:tcBorders>
            <w:gridSpan w:val="3"/>
          </w:tcPr>
          <w:p>
            <w:pPr>
              <w:spacing w:after="0"/>
              <w:rPr>
                <w:sz w:val="20"/>
                <w:szCs w:val="20"/>
                <w:color w:val="auto"/>
              </w:rPr>
            </w:pPr>
            <w:r>
              <w:rPr>
                <w:rFonts w:ascii="Arial" w:cs="Arial" w:eastAsia="Arial" w:hAnsi="Arial"/>
                <w:sz w:val="10"/>
                <w:szCs w:val="10"/>
                <w:b w:val="1"/>
                <w:bCs w:val="1"/>
                <w:color w:val="auto"/>
                <w:w w:val="70"/>
              </w:rPr>
              <w:t>Company</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gridSpan w:val="5"/>
          </w:tcPr>
          <w:p>
            <w:pPr>
              <w:jc w:val="right"/>
              <w:spacing w:after="0" w:line="115" w:lineRule="exact"/>
              <w:rPr>
                <w:sz w:val="20"/>
                <w:szCs w:val="20"/>
                <w:color w:val="auto"/>
              </w:rPr>
            </w:pPr>
            <w:r>
              <w:rPr>
                <w:rFonts w:ascii="Arial" w:cs="Arial" w:eastAsia="Arial" w:hAnsi="Arial"/>
                <w:sz w:val="12"/>
                <w:szCs w:val="12"/>
                <w:b w:val="1"/>
                <w:bCs w:val="1"/>
                <w:color w:val="auto"/>
                <w:w w:val="78"/>
              </w:rPr>
              <w:t>Subsidiaries</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5"/>
            <w:vMerge w:val="continue"/>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700" w:type="dxa"/>
            <w:vAlign w:val="bottom"/>
            <w:gridSpan w:val="4"/>
            <w:vMerge w:val="continue"/>
          </w:tcPr>
          <w:p>
            <w:pPr>
              <w:spacing w:after="0"/>
              <w:rPr>
                <w:sz w:val="10"/>
                <w:szCs w:val="10"/>
                <w:color w:val="auto"/>
              </w:rPr>
            </w:pPr>
          </w:p>
        </w:tc>
        <w:tc>
          <w:tcPr>
            <w:tcW w:w="1200" w:type="dxa"/>
            <w:vAlign w:val="bottom"/>
            <w:gridSpan w:val="6"/>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center"/>
              <w:ind w:right="120"/>
              <w:spacing w:after="0" w:line="115" w:lineRule="exact"/>
              <w:rPr>
                <w:sz w:val="20"/>
                <w:szCs w:val="20"/>
                <w:color w:val="auto"/>
              </w:rPr>
            </w:pPr>
            <w:r>
              <w:rPr>
                <w:rFonts w:ascii="Arial" w:cs="Arial" w:eastAsia="Arial" w:hAnsi="Arial"/>
                <w:sz w:val="12"/>
                <w:szCs w:val="12"/>
                <w:b w:val="1"/>
                <w:bCs w:val="1"/>
                <w:color w:val="auto"/>
                <w:w w:val="93"/>
              </w:rPr>
              <w:t>Entries</w:t>
            </w:r>
          </w:p>
        </w:tc>
        <w:tc>
          <w:tcPr>
            <w:tcW w:w="100" w:type="dxa"/>
            <w:vAlign w:val="bottom"/>
          </w:tcPr>
          <w:p>
            <w:pPr>
              <w:spacing w:after="0"/>
              <w:rPr>
                <w:sz w:val="10"/>
                <w:szCs w:val="10"/>
                <w:color w:val="auto"/>
              </w:rPr>
            </w:pPr>
          </w:p>
        </w:tc>
        <w:tc>
          <w:tcPr>
            <w:tcW w:w="11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780" w:type="dxa"/>
            <w:vAlign w:val="bottom"/>
          </w:tcPr>
          <w:p>
            <w:pPr>
              <w:spacing w:after="0"/>
              <w:rPr>
                <w:sz w:val="20"/>
                <w:szCs w:val="20"/>
                <w:color w:val="auto"/>
              </w:rPr>
            </w:pPr>
            <w:r>
              <w:rPr>
                <w:rFonts w:ascii="Arial" w:cs="Arial" w:eastAsia="Arial" w:hAnsi="Arial"/>
                <w:sz w:val="12"/>
                <w:szCs w:val="12"/>
                <w:color w:val="auto"/>
              </w:rPr>
              <w:t>Total revenues</w:t>
            </w:r>
          </w:p>
        </w:tc>
        <w:tc>
          <w:tcPr>
            <w:tcW w:w="200" w:type="dxa"/>
            <w:vAlign w:val="bottom"/>
          </w:tcPr>
          <w:p>
            <w:pPr>
              <w:spacing w:after="0"/>
              <w:rPr>
                <w:sz w:val="24"/>
                <w:szCs w:val="24"/>
                <w:color w:val="auto"/>
              </w:rPr>
            </w:pPr>
          </w:p>
        </w:tc>
        <w:tc>
          <w:tcPr>
            <w:tcW w:w="560" w:type="dxa"/>
            <w:vAlign w:val="bottom"/>
            <w:gridSpan w:val="6"/>
          </w:tcPr>
          <w:p>
            <w:pPr>
              <w:jc w:val="right"/>
              <w:spacing w:after="0"/>
              <w:rPr>
                <w:sz w:val="20"/>
                <w:szCs w:val="20"/>
                <w:color w:val="auto"/>
              </w:rPr>
            </w:pPr>
            <w:r>
              <w:rPr>
                <w:rFonts w:ascii="Arial" w:cs="Arial" w:eastAsia="Arial" w:hAnsi="Arial"/>
                <w:sz w:val="12"/>
                <w:szCs w:val="12"/>
                <w:color w:val="auto"/>
              </w:rPr>
              <w:t>11</w:t>
            </w:r>
          </w:p>
        </w:tc>
        <w:tc>
          <w:tcPr>
            <w:tcW w:w="320" w:type="dxa"/>
            <w:vAlign w:val="bottom"/>
          </w:tcPr>
          <w:p>
            <w:pPr>
              <w:spacing w:after="0"/>
              <w:rPr>
                <w:sz w:val="24"/>
                <w:szCs w:val="24"/>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256,431</w:t>
            </w:r>
          </w:p>
        </w:tc>
        <w:tc>
          <w:tcPr>
            <w:tcW w:w="320" w:type="dxa"/>
            <w:vAlign w:val="bottom"/>
          </w:tcPr>
          <w:p>
            <w:pPr>
              <w:spacing w:after="0"/>
              <w:rPr>
                <w:sz w:val="24"/>
                <w:szCs w:val="24"/>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3,555</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2,725</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1,218</w:t>
            </w:r>
          </w:p>
        </w:tc>
        <w:tc>
          <w:tcPr>
            <w:tcW w:w="8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89,693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6,987</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360,620</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4,508</w:t>
            </w:r>
          </w:p>
        </w:tc>
        <w:tc>
          <w:tcPr>
            <w:tcW w:w="320" w:type="dxa"/>
            <w:vAlign w:val="bottom"/>
          </w:tcPr>
          <w:p>
            <w:pPr>
              <w:spacing w:after="0"/>
              <w:rPr>
                <w:sz w:val="19"/>
                <w:szCs w:val="19"/>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248,793</w:t>
            </w:r>
          </w:p>
        </w:tc>
        <w:tc>
          <w:tcPr>
            <w:tcW w:w="320" w:type="dxa"/>
            <w:vAlign w:val="bottom"/>
          </w:tcPr>
          <w:p>
            <w:pPr>
              <w:spacing w:after="0"/>
              <w:rPr>
                <w:sz w:val="19"/>
                <w:szCs w:val="19"/>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5,877</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3,334</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1,569</w:t>
            </w: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81,829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6,987</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352,897</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12"/>
                <w:szCs w:val="12"/>
                <w:color w:val="auto"/>
              </w:rPr>
              <w:t>Income (loss) from operations</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(4,497)</w:t>
            </w:r>
          </w:p>
        </w:tc>
        <w:tc>
          <w:tcPr>
            <w:tcW w:w="320" w:type="dxa"/>
            <w:vAlign w:val="bottom"/>
          </w:tcPr>
          <w:p>
            <w:pPr>
              <w:spacing w:after="0"/>
              <w:rPr>
                <w:sz w:val="21"/>
                <w:szCs w:val="21"/>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7,638</w:t>
            </w:r>
          </w:p>
        </w:tc>
        <w:tc>
          <w:tcPr>
            <w:tcW w:w="320" w:type="dxa"/>
            <w:vAlign w:val="bottom"/>
          </w:tcPr>
          <w:p>
            <w:pPr>
              <w:spacing w:after="0"/>
              <w:rPr>
                <w:sz w:val="21"/>
                <w:szCs w:val="21"/>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(2,322)</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(609)</w:t>
            </w:r>
          </w:p>
        </w:tc>
        <w:tc>
          <w:tcPr>
            <w:tcW w:w="700" w:type="dxa"/>
            <w:vAlign w:val="bottom"/>
            <w:gridSpan w:val="4"/>
          </w:tcPr>
          <w:p>
            <w:pPr>
              <w:jc w:val="right"/>
              <w:ind w:right="80"/>
              <w:spacing w:after="0"/>
              <w:rPr>
                <w:sz w:val="20"/>
                <w:szCs w:val="20"/>
                <w:color w:val="auto"/>
              </w:rPr>
            </w:pPr>
            <w:r>
              <w:rPr>
                <w:rFonts w:ascii="Arial" w:cs="Arial" w:eastAsia="Arial" w:hAnsi="Arial"/>
                <w:sz w:val="12"/>
                <w:szCs w:val="12"/>
                <w:color w:val="auto"/>
              </w:rPr>
              <w:t>(351)</w:t>
            </w: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7,864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7,723</w:t>
            </w:r>
          </w:p>
        </w:tc>
        <w:tc>
          <w:tcPr>
            <w:tcW w:w="0" w:type="dxa"/>
            <w:vAlign w:val="bottom"/>
          </w:tcPr>
          <w:p>
            <w:pPr>
              <w:spacing w:after="0"/>
              <w:rPr>
                <w:sz w:val="1"/>
                <w:szCs w:val="1"/>
                <w:color w:val="auto"/>
              </w:rPr>
            </w:pPr>
          </w:p>
        </w:tc>
      </w:tr>
      <w:tr>
        <w:trPr>
          <w:trHeight w:val="246"/>
        </w:trPr>
        <w:tc>
          <w:tcPr>
            <w:tcW w:w="2780" w:type="dxa"/>
            <w:vAlign w:val="bottom"/>
          </w:tcPr>
          <w:p>
            <w:pPr>
              <w:spacing w:after="0"/>
              <w:rPr>
                <w:sz w:val="20"/>
                <w:szCs w:val="20"/>
                <w:color w:val="auto"/>
              </w:rPr>
            </w:pPr>
            <w:r>
              <w:rPr>
                <w:rFonts w:ascii="Arial" w:cs="Arial" w:eastAsia="Arial" w:hAnsi="Arial"/>
                <w:sz w:val="12"/>
                <w:szCs w:val="12"/>
                <w:color w:val="auto"/>
              </w:rPr>
              <w:t>Other income (expense)</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(8,408)</w:t>
            </w:r>
          </w:p>
        </w:tc>
        <w:tc>
          <w:tcPr>
            <w:tcW w:w="320" w:type="dxa"/>
            <w:vAlign w:val="bottom"/>
          </w:tcPr>
          <w:p>
            <w:pPr>
              <w:spacing w:after="0"/>
              <w:rPr>
                <w:sz w:val="21"/>
                <w:szCs w:val="21"/>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(15,002)</w:t>
            </w:r>
          </w:p>
        </w:tc>
        <w:tc>
          <w:tcPr>
            <w:tcW w:w="320" w:type="dxa"/>
            <w:vAlign w:val="bottom"/>
          </w:tcPr>
          <w:p>
            <w:pPr>
              <w:spacing w:after="0"/>
              <w:rPr>
                <w:sz w:val="21"/>
                <w:szCs w:val="21"/>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(536)</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2"/>
                <w:szCs w:val="12"/>
                <w:color w:val="auto"/>
              </w:rPr>
              <w:t>(12)</w:t>
            </w: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(382)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(24,340)</w:t>
            </w:r>
          </w:p>
        </w:tc>
        <w:tc>
          <w:tcPr>
            <w:tcW w:w="0" w:type="dxa"/>
            <w:vAlign w:val="bottom"/>
          </w:tcPr>
          <w:p>
            <w:pPr>
              <w:spacing w:after="0"/>
              <w:rPr>
                <w:sz w:val="1"/>
                <w:szCs w:val="1"/>
                <w:color w:val="auto"/>
              </w:rPr>
            </w:pPr>
          </w:p>
        </w:tc>
      </w:tr>
      <w:tr>
        <w:trPr>
          <w:trHeight w:val="246"/>
        </w:trPr>
        <w:tc>
          <w:tcPr>
            <w:tcW w:w="2780" w:type="dxa"/>
            <w:vAlign w:val="bottom"/>
          </w:tcPr>
          <w:p>
            <w:pPr>
              <w:spacing w:after="0"/>
              <w:rPr>
                <w:sz w:val="20"/>
                <w:szCs w:val="20"/>
                <w:color w:val="auto"/>
              </w:rPr>
            </w:pPr>
            <w:r>
              <w:rPr>
                <w:rFonts w:ascii="Arial" w:cs="Arial" w:eastAsia="Arial" w:hAnsi="Arial"/>
                <w:sz w:val="12"/>
                <w:szCs w:val="12"/>
                <w:color w:val="auto"/>
              </w:rPr>
              <w:t>Equity investment income</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1"/>
                <w:szCs w:val="21"/>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1,732</w:t>
            </w:r>
          </w:p>
        </w:tc>
        <w:tc>
          <w:tcPr>
            <w:tcW w:w="320" w:type="dxa"/>
            <w:vAlign w:val="bottom"/>
          </w:tcPr>
          <w:p>
            <w:pPr>
              <w:spacing w:after="0"/>
              <w:rPr>
                <w:sz w:val="21"/>
                <w:szCs w:val="21"/>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1,732</w:t>
            </w:r>
          </w:p>
        </w:tc>
        <w:tc>
          <w:tcPr>
            <w:tcW w:w="0" w:type="dxa"/>
            <w:vAlign w:val="bottom"/>
          </w:tcPr>
          <w:p>
            <w:pPr>
              <w:spacing w:after="0"/>
              <w:rPr>
                <w:sz w:val="1"/>
                <w:szCs w:val="1"/>
                <w:color w:val="auto"/>
              </w:rPr>
            </w:pPr>
          </w:p>
        </w:tc>
      </w:tr>
      <w:tr>
        <w:trPr>
          <w:trHeight w:val="246"/>
        </w:trPr>
        <w:tc>
          <w:tcPr>
            <w:tcW w:w="2780" w:type="dxa"/>
            <w:vAlign w:val="bottom"/>
          </w:tcPr>
          <w:p>
            <w:pPr>
              <w:spacing w:after="0"/>
              <w:rPr>
                <w:sz w:val="20"/>
                <w:szCs w:val="20"/>
                <w:color w:val="auto"/>
              </w:rPr>
            </w:pPr>
            <w:r>
              <w:rPr>
                <w:rFonts w:ascii="Arial" w:cs="Arial" w:eastAsia="Arial" w:hAnsi="Arial"/>
                <w:sz w:val="12"/>
                <w:szCs w:val="12"/>
                <w:color w:val="auto"/>
              </w:rPr>
              <w:t>Gain (loss) on investments</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21"/>
                <w:szCs w:val="21"/>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1,371</w:t>
            </w:r>
          </w:p>
        </w:tc>
        <w:tc>
          <w:tcPr>
            <w:tcW w:w="320" w:type="dxa"/>
            <w:vAlign w:val="bottom"/>
          </w:tcPr>
          <w:p>
            <w:pPr>
              <w:spacing w:after="0"/>
              <w:rPr>
                <w:sz w:val="21"/>
                <w:szCs w:val="21"/>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1,371</w:t>
            </w:r>
          </w:p>
        </w:tc>
        <w:tc>
          <w:tcPr>
            <w:tcW w:w="0" w:type="dxa"/>
            <w:vAlign w:val="bottom"/>
          </w:tcPr>
          <w:p>
            <w:pPr>
              <w:spacing w:after="0"/>
              <w:rPr>
                <w:sz w:val="1"/>
                <w:szCs w:val="1"/>
                <w:color w:val="auto"/>
              </w:rPr>
            </w:pPr>
          </w:p>
        </w:tc>
      </w:tr>
      <w:tr>
        <w:trPr>
          <w:trHeight w:val="164"/>
        </w:trPr>
        <w:tc>
          <w:tcPr>
            <w:tcW w:w="2780" w:type="dxa"/>
            <w:vAlign w:val="bottom"/>
          </w:tcPr>
          <w:p>
            <w:pPr>
              <w:spacing w:after="0"/>
              <w:rPr>
                <w:sz w:val="20"/>
                <w:szCs w:val="20"/>
                <w:color w:val="auto"/>
              </w:rPr>
            </w:pPr>
            <w:r>
              <w:rPr>
                <w:rFonts w:ascii="Arial" w:cs="Arial" w:eastAsia="Arial" w:hAnsi="Arial"/>
                <w:sz w:val="12"/>
                <w:szCs w:val="12"/>
                <w:color w:val="auto"/>
              </w:rPr>
              <w:t>Minority interest in net income of consolidated joint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780" w:type="dxa"/>
            <w:vAlign w:val="bottom"/>
          </w:tcPr>
          <w:p>
            <w:pPr>
              <w:spacing w:after="0" w:line="132" w:lineRule="exact"/>
              <w:rPr>
                <w:sz w:val="20"/>
                <w:szCs w:val="20"/>
                <w:color w:val="auto"/>
              </w:rPr>
            </w:pPr>
            <w:r>
              <w:rPr>
                <w:rFonts w:ascii="Arial" w:cs="Arial" w:eastAsia="Arial" w:hAnsi="Arial"/>
                <w:sz w:val="12"/>
                <w:szCs w:val="12"/>
                <w:color w:val="auto"/>
              </w:rPr>
              <w:t>venture</w:t>
            </w:r>
          </w:p>
        </w:tc>
        <w:tc>
          <w:tcPr>
            <w:tcW w:w="760" w:type="dxa"/>
            <w:vAlign w:val="bottom"/>
            <w:gridSpan w:val="7"/>
          </w:tcPr>
          <w:p>
            <w:pPr>
              <w:jc w:val="right"/>
              <w:spacing w:after="0" w:line="132" w:lineRule="exact"/>
              <w:rPr>
                <w:sz w:val="20"/>
                <w:szCs w:val="20"/>
                <w:color w:val="auto"/>
              </w:rPr>
            </w:pPr>
            <w:r>
              <w:rPr>
                <w:rFonts w:ascii="Arial" w:cs="Arial" w:eastAsia="Arial" w:hAnsi="Arial"/>
                <w:sz w:val="12"/>
                <w:szCs w:val="12"/>
                <w:u w:val="single" w:color="auto"/>
                <w:color w:val="auto"/>
              </w:rPr>
              <w:t>-</w:t>
            </w:r>
          </w:p>
        </w:tc>
        <w:tc>
          <w:tcPr>
            <w:tcW w:w="320" w:type="dxa"/>
            <w:vAlign w:val="bottom"/>
          </w:tcPr>
          <w:p>
            <w:pPr>
              <w:spacing w:after="0"/>
              <w:rPr>
                <w:sz w:val="11"/>
                <w:szCs w:val="11"/>
                <w:color w:val="auto"/>
              </w:rPr>
            </w:pPr>
          </w:p>
        </w:tc>
        <w:tc>
          <w:tcPr>
            <w:tcW w:w="600" w:type="dxa"/>
            <w:vAlign w:val="bottom"/>
            <w:gridSpan w:val="5"/>
          </w:tcPr>
          <w:p>
            <w:pPr>
              <w:spacing w:after="0"/>
              <w:rPr>
                <w:sz w:val="11"/>
                <w:szCs w:val="11"/>
                <w:color w:val="auto"/>
              </w:rPr>
            </w:pPr>
          </w:p>
        </w:tc>
        <w:tc>
          <w:tcPr>
            <w:tcW w:w="16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2"/>
                <w:szCs w:val="12"/>
                <w:color w:val="auto"/>
              </w:rPr>
              <w:t>-</w:t>
            </w:r>
          </w:p>
        </w:tc>
        <w:tc>
          <w:tcPr>
            <w:tcW w:w="320" w:type="dxa"/>
            <w:vAlign w:val="bottom"/>
          </w:tcPr>
          <w:p>
            <w:pPr>
              <w:spacing w:after="0"/>
              <w:rPr>
                <w:sz w:val="11"/>
                <w:szCs w:val="11"/>
                <w:color w:val="auto"/>
              </w:rPr>
            </w:pPr>
          </w:p>
        </w:tc>
        <w:tc>
          <w:tcPr>
            <w:tcW w:w="280" w:type="dxa"/>
            <w:vAlign w:val="bottom"/>
            <w:gridSpan w:val="2"/>
          </w:tcPr>
          <w:p>
            <w:pPr>
              <w:spacing w:after="0"/>
              <w:rPr>
                <w:sz w:val="11"/>
                <w:szCs w:val="11"/>
                <w:color w:val="auto"/>
              </w:rPr>
            </w:pPr>
          </w:p>
        </w:tc>
        <w:tc>
          <w:tcPr>
            <w:tcW w:w="28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2"/>
                <w:szCs w:val="12"/>
                <w:color w:val="auto"/>
                <w:w w:val="86"/>
              </w:rPr>
              <w:t>1,400</w:t>
            </w:r>
          </w:p>
        </w:tc>
        <w:tc>
          <w:tcPr>
            <w:tcW w:w="340" w:type="dxa"/>
            <w:vAlign w:val="bottom"/>
          </w:tcPr>
          <w:p>
            <w:pPr>
              <w:spacing w:after="0"/>
              <w:rPr>
                <w:sz w:val="11"/>
                <w:szCs w:val="11"/>
                <w:color w:val="auto"/>
              </w:rPr>
            </w:pPr>
          </w:p>
        </w:tc>
        <w:tc>
          <w:tcPr>
            <w:tcW w:w="1100" w:type="dxa"/>
            <w:vAlign w:val="bottom"/>
            <w:gridSpan w:val="4"/>
          </w:tcPr>
          <w:p>
            <w:pPr>
              <w:jc w:val="right"/>
              <w:ind w:right="240"/>
              <w:spacing w:after="0" w:line="132" w:lineRule="exact"/>
              <w:rPr>
                <w:sz w:val="20"/>
                <w:szCs w:val="20"/>
                <w:color w:val="auto"/>
              </w:rPr>
            </w:pPr>
            <w:r>
              <w:rPr>
                <w:rFonts w:ascii="Arial" w:cs="Arial" w:eastAsia="Arial" w:hAnsi="Arial"/>
                <w:sz w:val="12"/>
                <w:szCs w:val="12"/>
                <w:u w:val="single" w:color="auto"/>
                <w:color w:val="auto"/>
              </w:rPr>
              <w:t>-</w:t>
            </w:r>
          </w:p>
        </w:tc>
        <w:tc>
          <w:tcPr>
            <w:tcW w:w="620" w:type="dxa"/>
            <w:vAlign w:val="bottom"/>
            <w:gridSpan w:val="3"/>
          </w:tcPr>
          <w:p>
            <w:pPr>
              <w:jc w:val="right"/>
              <w:spacing w:after="0" w:line="132" w:lineRule="exact"/>
              <w:rPr>
                <w:sz w:val="20"/>
                <w:szCs w:val="20"/>
                <w:color w:val="auto"/>
              </w:rPr>
            </w:pPr>
            <w:r>
              <w:rPr>
                <w:rFonts w:ascii="Arial" w:cs="Arial" w:eastAsia="Arial" w:hAnsi="Arial"/>
                <w:sz w:val="12"/>
                <w:szCs w:val="12"/>
                <w:u w:val="single" w:color="auto"/>
                <w:color w:val="auto"/>
              </w:rPr>
              <w:t>-</w:t>
            </w:r>
          </w:p>
        </w:tc>
        <w:tc>
          <w:tcPr>
            <w:tcW w:w="80" w:type="dxa"/>
            <w:vAlign w:val="bottom"/>
          </w:tcPr>
          <w:p>
            <w:pPr>
              <w:spacing w:after="0"/>
              <w:rPr>
                <w:sz w:val="11"/>
                <w:szCs w:val="11"/>
                <w:color w:val="auto"/>
              </w:rPr>
            </w:pPr>
          </w:p>
        </w:tc>
        <w:tc>
          <w:tcPr>
            <w:tcW w:w="620" w:type="dxa"/>
            <w:vAlign w:val="bottom"/>
            <w:gridSpan w:val="2"/>
          </w:tcPr>
          <w:p>
            <w:pPr>
              <w:spacing w:after="0"/>
              <w:rPr>
                <w:sz w:val="11"/>
                <w:szCs w:val="11"/>
                <w:color w:val="auto"/>
              </w:rPr>
            </w:pPr>
          </w:p>
        </w:tc>
        <w:tc>
          <w:tcPr>
            <w:tcW w:w="36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2"/>
                <w:szCs w:val="12"/>
                <w:color w:val="auto"/>
                <w:w w:val="89"/>
              </w:rPr>
              <w:t>(1,439)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6"/>
          </w:tcPr>
          <w:p>
            <w:pPr>
              <w:jc w:val="right"/>
              <w:spacing w:after="0" w:line="132" w:lineRule="exact"/>
              <w:rPr>
                <w:sz w:val="20"/>
                <w:szCs w:val="20"/>
                <w:color w:val="auto"/>
              </w:rPr>
            </w:pPr>
            <w:r>
              <w:rPr>
                <w:rFonts w:ascii="Arial" w:cs="Arial" w:eastAsia="Arial" w:hAnsi="Arial"/>
                <w:sz w:val="12"/>
                <w:szCs w:val="12"/>
                <w:u w:val="single" w:color="auto"/>
                <w:color w:val="auto"/>
              </w:rPr>
              <w:t>-</w:t>
            </w:r>
          </w:p>
        </w:tc>
        <w:tc>
          <w:tcPr>
            <w:tcW w:w="880" w:type="dxa"/>
            <w:vAlign w:val="bottom"/>
            <w:gridSpan w:val="4"/>
          </w:tcPr>
          <w:p>
            <w:pPr>
              <w:spacing w:after="0"/>
              <w:rPr>
                <w:sz w:val="11"/>
                <w:szCs w:val="11"/>
                <w:color w:val="auto"/>
              </w:rPr>
            </w:pPr>
          </w:p>
        </w:tc>
        <w:tc>
          <w:tcPr>
            <w:tcW w:w="220" w:type="dxa"/>
            <w:vAlign w:val="bottom"/>
            <w:tcBorders>
              <w:bottom w:val="single" w:sz="8" w:color="auto"/>
            </w:tcBorders>
            <w:gridSpan w:val="2"/>
          </w:tcPr>
          <w:p>
            <w:pPr>
              <w:jc w:val="right"/>
              <w:spacing w:after="0" w:line="132" w:lineRule="exact"/>
              <w:rPr>
                <w:sz w:val="20"/>
                <w:szCs w:val="20"/>
                <w:color w:val="auto"/>
              </w:rPr>
            </w:pPr>
            <w:r>
              <w:rPr>
                <w:rFonts w:ascii="Arial" w:cs="Arial" w:eastAsia="Arial" w:hAnsi="Arial"/>
                <w:sz w:val="12"/>
                <w:szCs w:val="12"/>
                <w:color w:val="auto"/>
                <w:w w:val="93"/>
              </w:rPr>
              <w:t>(39)</w:t>
            </w:r>
          </w:p>
        </w:tc>
        <w:tc>
          <w:tcPr>
            <w:tcW w:w="0" w:type="dxa"/>
            <w:vAlign w:val="bottom"/>
          </w:tcPr>
          <w:p>
            <w:pPr>
              <w:spacing w:after="0"/>
              <w:rPr>
                <w:sz w:val="1"/>
                <w:szCs w:val="1"/>
                <w:color w:val="auto"/>
              </w:rPr>
            </w:pPr>
          </w:p>
        </w:tc>
      </w:tr>
      <w:tr>
        <w:trPr>
          <w:trHeight w:val="250"/>
        </w:trPr>
        <w:tc>
          <w:tcPr>
            <w:tcW w:w="2780" w:type="dxa"/>
            <w:vAlign w:val="bottom"/>
          </w:tcPr>
          <w:p>
            <w:pPr>
              <w:spacing w:after="0"/>
              <w:rPr>
                <w:sz w:val="20"/>
                <w:szCs w:val="20"/>
                <w:color w:val="auto"/>
              </w:rPr>
            </w:pPr>
            <w:r>
              <w:rPr>
                <w:rFonts w:ascii="Arial" w:cs="Arial" w:eastAsia="Arial" w:hAnsi="Arial"/>
                <w:sz w:val="12"/>
                <w:szCs w:val="12"/>
                <w:color w:val="auto"/>
              </w:rPr>
              <w:t>Income (loss) before income taxes</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(12,905)</w:t>
            </w:r>
          </w:p>
        </w:tc>
        <w:tc>
          <w:tcPr>
            <w:tcW w:w="320" w:type="dxa"/>
            <w:vAlign w:val="bottom"/>
          </w:tcPr>
          <w:p>
            <w:pPr>
              <w:spacing w:after="0"/>
              <w:rPr>
                <w:sz w:val="21"/>
                <w:szCs w:val="21"/>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(4,261)</w:t>
            </w:r>
          </w:p>
        </w:tc>
        <w:tc>
          <w:tcPr>
            <w:tcW w:w="320" w:type="dxa"/>
            <w:vAlign w:val="bottom"/>
          </w:tcPr>
          <w:p>
            <w:pPr>
              <w:spacing w:after="0"/>
              <w:rPr>
                <w:sz w:val="21"/>
                <w:szCs w:val="21"/>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(1,458)</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(609)</w:t>
            </w:r>
          </w:p>
        </w:tc>
        <w:tc>
          <w:tcPr>
            <w:tcW w:w="700" w:type="dxa"/>
            <w:vAlign w:val="bottom"/>
            <w:gridSpan w:val="4"/>
          </w:tcPr>
          <w:p>
            <w:pPr>
              <w:jc w:val="right"/>
              <w:ind w:right="80"/>
              <w:spacing w:after="0"/>
              <w:rPr>
                <w:sz w:val="20"/>
                <w:szCs w:val="20"/>
                <w:color w:val="auto"/>
              </w:rPr>
            </w:pPr>
            <w:r>
              <w:rPr>
                <w:rFonts w:ascii="Arial" w:cs="Arial" w:eastAsia="Arial" w:hAnsi="Arial"/>
                <w:sz w:val="12"/>
                <w:szCs w:val="12"/>
                <w:color w:val="auto"/>
              </w:rPr>
              <w:t>(363)</w:t>
            </w: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6,043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(13,552)</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2"/>
                <w:szCs w:val="12"/>
                <w:color w:val="auto"/>
              </w:rPr>
              <w:t>Benefit for income taxes</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5,420</w:t>
            </w:r>
          </w:p>
        </w:tc>
        <w:tc>
          <w:tcPr>
            <w:tcW w:w="320" w:type="dxa"/>
            <w:vAlign w:val="bottom"/>
          </w:tcPr>
          <w:p>
            <w:pPr>
              <w:spacing w:after="0"/>
              <w:rPr>
                <w:sz w:val="19"/>
                <w:szCs w:val="19"/>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124</w:t>
            </w:r>
          </w:p>
        </w:tc>
        <w:tc>
          <w:tcPr>
            <w:tcW w:w="320" w:type="dxa"/>
            <w:vAlign w:val="bottom"/>
          </w:tcPr>
          <w:p>
            <w:pPr>
              <w:spacing w:after="0"/>
              <w:rPr>
                <w:sz w:val="19"/>
                <w:szCs w:val="19"/>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u w:val="single" w:color="auto"/>
                <w:color w:val="auto"/>
              </w:rPr>
              <w:t>-</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u w:val="single" w:color="auto"/>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u w:val="single" w:color="auto"/>
                <w:color w:val="auto"/>
              </w:rPr>
              <w:t>-</w:t>
            </w: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5,544</w:t>
            </w:r>
          </w:p>
        </w:tc>
        <w:tc>
          <w:tcPr>
            <w:tcW w:w="0" w:type="dxa"/>
            <w:vAlign w:val="bottom"/>
          </w:tcPr>
          <w:p>
            <w:pPr>
              <w:spacing w:after="0"/>
              <w:rPr>
                <w:sz w:val="1"/>
                <w:szCs w:val="1"/>
                <w:color w:val="auto"/>
              </w:rPr>
            </w:pPr>
          </w:p>
        </w:tc>
      </w:tr>
      <w:tr>
        <w:trPr>
          <w:trHeight w:val="192"/>
        </w:trPr>
        <w:tc>
          <w:tcPr>
            <w:tcW w:w="2780" w:type="dxa"/>
            <w:vAlign w:val="bottom"/>
          </w:tcPr>
          <w:p>
            <w:pPr>
              <w:spacing w:after="0"/>
              <w:rPr>
                <w:sz w:val="20"/>
                <w:szCs w:val="20"/>
                <w:color w:val="auto"/>
              </w:rPr>
            </w:pPr>
            <w:r>
              <w:rPr>
                <w:rFonts w:ascii="Arial" w:cs="Arial" w:eastAsia="Arial" w:hAnsi="Arial"/>
                <w:sz w:val="12"/>
                <w:szCs w:val="12"/>
                <w:color w:val="auto"/>
              </w:rPr>
              <w:t>Net income (loss) before equity in income of</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780" w:type="dxa"/>
            <w:vAlign w:val="bottom"/>
          </w:tcPr>
          <w:p>
            <w:pPr>
              <w:spacing w:after="0"/>
              <w:rPr>
                <w:sz w:val="20"/>
                <w:szCs w:val="20"/>
                <w:color w:val="auto"/>
              </w:rPr>
            </w:pPr>
            <w:r>
              <w:rPr>
                <w:rFonts w:ascii="Arial" w:cs="Arial" w:eastAsia="Arial" w:hAnsi="Arial"/>
                <w:sz w:val="12"/>
                <w:szCs w:val="12"/>
                <w:color w:val="auto"/>
              </w:rPr>
              <w:t>consolidated subsidiaries</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(7,485)</w:t>
            </w:r>
          </w:p>
        </w:tc>
        <w:tc>
          <w:tcPr>
            <w:tcW w:w="320" w:type="dxa"/>
            <w:vAlign w:val="bottom"/>
          </w:tcPr>
          <w:p>
            <w:pPr>
              <w:spacing w:after="0"/>
              <w:rPr>
                <w:sz w:val="13"/>
                <w:szCs w:val="13"/>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(4,137)</w:t>
            </w:r>
          </w:p>
        </w:tc>
        <w:tc>
          <w:tcPr>
            <w:tcW w:w="320" w:type="dxa"/>
            <w:vAlign w:val="bottom"/>
          </w:tcPr>
          <w:p>
            <w:pPr>
              <w:spacing w:after="0"/>
              <w:rPr>
                <w:sz w:val="13"/>
                <w:szCs w:val="13"/>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(1,458)</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(609)</w:t>
            </w:r>
          </w:p>
        </w:tc>
        <w:tc>
          <w:tcPr>
            <w:tcW w:w="700" w:type="dxa"/>
            <w:vAlign w:val="bottom"/>
            <w:gridSpan w:val="4"/>
          </w:tcPr>
          <w:p>
            <w:pPr>
              <w:jc w:val="right"/>
              <w:ind w:right="80"/>
              <w:spacing w:after="0"/>
              <w:rPr>
                <w:sz w:val="20"/>
                <w:szCs w:val="20"/>
                <w:color w:val="auto"/>
              </w:rPr>
            </w:pPr>
            <w:r>
              <w:rPr>
                <w:rFonts w:ascii="Arial" w:cs="Arial" w:eastAsia="Arial" w:hAnsi="Arial"/>
                <w:sz w:val="12"/>
                <w:szCs w:val="12"/>
                <w:color w:val="auto"/>
              </w:rPr>
              <w:t>(363)</w:t>
            </w: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6,043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(8,008)</w:t>
            </w:r>
          </w:p>
        </w:tc>
        <w:tc>
          <w:tcPr>
            <w:tcW w:w="0" w:type="dxa"/>
            <w:vAlign w:val="bottom"/>
          </w:tcPr>
          <w:p>
            <w:pPr>
              <w:spacing w:after="0"/>
              <w:rPr>
                <w:sz w:val="1"/>
                <w:szCs w:val="1"/>
                <w:color w:val="auto"/>
              </w:rPr>
            </w:pPr>
          </w:p>
        </w:tc>
      </w:tr>
      <w:tr>
        <w:trPr>
          <w:trHeight w:val="222"/>
        </w:trPr>
        <w:tc>
          <w:tcPr>
            <w:tcW w:w="2780" w:type="dxa"/>
            <w:vAlign w:val="bottom"/>
          </w:tcPr>
          <w:p>
            <w:pPr>
              <w:spacing w:after="0"/>
              <w:rPr>
                <w:sz w:val="20"/>
                <w:szCs w:val="20"/>
                <w:color w:val="auto"/>
              </w:rPr>
            </w:pPr>
            <w:r>
              <w:rPr>
                <w:rFonts w:ascii="Arial" w:cs="Arial" w:eastAsia="Arial" w:hAnsi="Arial"/>
                <w:sz w:val="12"/>
                <w:szCs w:val="12"/>
                <w:color w:val="auto"/>
              </w:rPr>
              <w:t>Equity in income of consolidated subsidiaries</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(523)</w:t>
            </w:r>
          </w:p>
        </w:tc>
        <w:tc>
          <w:tcPr>
            <w:tcW w:w="320" w:type="dxa"/>
            <w:vAlign w:val="bottom"/>
          </w:tcPr>
          <w:p>
            <w:pPr>
              <w:spacing w:after="0"/>
              <w:rPr>
                <w:sz w:val="19"/>
                <w:szCs w:val="19"/>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3,613</w:t>
            </w:r>
          </w:p>
        </w:tc>
        <w:tc>
          <w:tcPr>
            <w:tcW w:w="320" w:type="dxa"/>
            <w:vAlign w:val="bottom"/>
          </w:tcPr>
          <w:p>
            <w:pPr>
              <w:spacing w:after="0"/>
              <w:rPr>
                <w:sz w:val="19"/>
                <w:szCs w:val="19"/>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u w:val="single" w:color="auto"/>
                <w:color w:val="auto"/>
              </w:rPr>
              <w:t>-</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u w:val="single" w:color="auto"/>
                <w:color w:val="auto"/>
              </w:rPr>
              <w:t>-</w:t>
            </w:r>
          </w:p>
        </w:tc>
        <w:tc>
          <w:tcPr>
            <w:tcW w:w="620" w:type="dxa"/>
            <w:vAlign w:val="bottom"/>
            <w:gridSpan w:val="3"/>
          </w:tcPr>
          <w:p>
            <w:pPr>
              <w:jc w:val="right"/>
              <w:spacing w:after="0"/>
              <w:rPr>
                <w:sz w:val="20"/>
                <w:szCs w:val="20"/>
                <w:color w:val="auto"/>
              </w:rPr>
            </w:pPr>
            <w:r>
              <w:rPr>
                <w:rFonts w:ascii="Arial" w:cs="Arial" w:eastAsia="Arial" w:hAnsi="Arial"/>
                <w:sz w:val="12"/>
                <w:szCs w:val="12"/>
                <w:u w:val="single" w:color="auto"/>
                <w:color w:val="auto"/>
              </w:rPr>
              <w:t>-</w:t>
            </w:r>
          </w:p>
        </w:tc>
        <w:tc>
          <w:tcPr>
            <w:tcW w:w="80" w:type="dxa"/>
            <w:vAlign w:val="bottom"/>
          </w:tcPr>
          <w:p>
            <w:pPr>
              <w:spacing w:after="0"/>
              <w:rPr>
                <w:sz w:val="19"/>
                <w:szCs w:val="19"/>
                <w:color w:val="auto"/>
              </w:rPr>
            </w:pPr>
          </w:p>
        </w:tc>
        <w:tc>
          <w:tcPr>
            <w:tcW w:w="98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(3,090)</w:t>
            </w:r>
          </w:p>
        </w:tc>
        <w:tc>
          <w:tcPr>
            <w:tcW w:w="110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right w:val="single" w:sz="8" w:color="auto"/>
            </w:tcBorders>
            <w:gridSpan w:val="3"/>
          </w:tcPr>
          <w:p>
            <w:pPr>
              <w:spacing w:after="0" w:line="20" w:lineRule="exact"/>
              <w:rPr>
                <w:sz w:val="1"/>
                <w:szCs w:val="1"/>
                <w:color w:val="auto"/>
              </w:rPr>
            </w:pPr>
          </w:p>
        </w:tc>
        <w:tc>
          <w:tcPr>
            <w:tcW w:w="260" w:type="dxa"/>
            <w:vAlign w:val="bottom"/>
            <w:tcBorders>
              <w:right w:val="single" w:sz="8" w:color="auto"/>
            </w:tcBorders>
            <w:gridSpan w:val="4"/>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780" w:type="dxa"/>
            <w:vAlign w:val="bottom"/>
          </w:tcPr>
          <w:p>
            <w:pPr>
              <w:spacing w:after="0"/>
              <w:rPr>
                <w:sz w:val="20"/>
                <w:szCs w:val="20"/>
                <w:color w:val="auto"/>
              </w:rPr>
            </w:pPr>
            <w:r>
              <w:rPr>
                <w:rFonts w:ascii="Arial" w:cs="Arial" w:eastAsia="Arial" w:hAnsi="Arial"/>
                <w:sz w:val="12"/>
                <w:szCs w:val="12"/>
                <w:color w:val="auto"/>
              </w:rPr>
              <w:t>Net income (loss)</w:t>
            </w: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(8,008)</w:t>
            </w:r>
          </w:p>
        </w:tc>
        <w:tc>
          <w:tcPr>
            <w:tcW w:w="320" w:type="dxa"/>
            <w:vAlign w:val="bottom"/>
          </w:tcPr>
          <w:p>
            <w:pPr>
              <w:spacing w:after="0"/>
              <w:rPr>
                <w:sz w:val="19"/>
                <w:szCs w:val="19"/>
                <w:color w:val="auto"/>
              </w:rPr>
            </w:pPr>
          </w:p>
        </w:tc>
        <w:tc>
          <w:tcPr>
            <w:tcW w:w="760" w:type="dxa"/>
            <w:vAlign w:val="bottom"/>
            <w:gridSpan w:val="7"/>
          </w:tcPr>
          <w:p>
            <w:pPr>
              <w:jc w:val="right"/>
              <w:spacing w:after="0"/>
              <w:rPr>
                <w:sz w:val="20"/>
                <w:szCs w:val="20"/>
                <w:color w:val="auto"/>
              </w:rPr>
            </w:pPr>
            <w:r>
              <w:rPr>
                <w:rFonts w:ascii="Arial" w:cs="Arial" w:eastAsia="Arial" w:hAnsi="Arial"/>
                <w:sz w:val="12"/>
                <w:szCs w:val="12"/>
                <w:color w:val="auto"/>
              </w:rPr>
              <w:t>(524)</w:t>
            </w:r>
          </w:p>
        </w:tc>
        <w:tc>
          <w:tcPr>
            <w:tcW w:w="320" w:type="dxa"/>
            <w:vAlign w:val="bottom"/>
          </w:tcPr>
          <w:p>
            <w:pPr>
              <w:spacing w:after="0"/>
              <w:rPr>
                <w:sz w:val="19"/>
                <w:szCs w:val="19"/>
                <w:color w:val="auto"/>
              </w:rPr>
            </w:pPr>
          </w:p>
        </w:tc>
        <w:tc>
          <w:tcPr>
            <w:tcW w:w="900" w:type="dxa"/>
            <w:vAlign w:val="bottom"/>
            <w:gridSpan w:val="5"/>
          </w:tcPr>
          <w:p>
            <w:pPr>
              <w:jc w:val="right"/>
              <w:ind w:right="340"/>
              <w:spacing w:after="0"/>
              <w:rPr>
                <w:sz w:val="20"/>
                <w:szCs w:val="20"/>
                <w:color w:val="auto"/>
              </w:rPr>
            </w:pPr>
            <w:r>
              <w:rPr>
                <w:rFonts w:ascii="Arial" w:cs="Arial" w:eastAsia="Arial" w:hAnsi="Arial"/>
                <w:sz w:val="12"/>
                <w:szCs w:val="12"/>
                <w:color w:val="auto"/>
              </w:rPr>
              <w:t>(1,458)</w:t>
            </w:r>
          </w:p>
        </w:tc>
        <w:tc>
          <w:tcPr>
            <w:tcW w:w="1100" w:type="dxa"/>
            <w:vAlign w:val="bottom"/>
            <w:gridSpan w:val="4"/>
          </w:tcPr>
          <w:p>
            <w:pPr>
              <w:jc w:val="right"/>
              <w:ind w:right="240"/>
              <w:spacing w:after="0"/>
              <w:rPr>
                <w:sz w:val="20"/>
                <w:szCs w:val="20"/>
                <w:color w:val="auto"/>
              </w:rPr>
            </w:pPr>
            <w:r>
              <w:rPr>
                <w:rFonts w:ascii="Arial" w:cs="Arial" w:eastAsia="Arial" w:hAnsi="Arial"/>
                <w:sz w:val="12"/>
                <w:szCs w:val="12"/>
                <w:color w:val="auto"/>
              </w:rPr>
              <w:t>(609)</w:t>
            </w:r>
          </w:p>
        </w:tc>
        <w:tc>
          <w:tcPr>
            <w:tcW w:w="700" w:type="dxa"/>
            <w:vAlign w:val="bottom"/>
            <w:gridSpan w:val="4"/>
          </w:tcPr>
          <w:p>
            <w:pPr>
              <w:jc w:val="right"/>
              <w:ind w:right="80"/>
              <w:spacing w:after="0"/>
              <w:rPr>
                <w:sz w:val="20"/>
                <w:szCs w:val="20"/>
                <w:color w:val="auto"/>
              </w:rPr>
            </w:pPr>
            <w:r>
              <w:rPr>
                <w:rFonts w:ascii="Arial" w:cs="Arial" w:eastAsia="Arial" w:hAnsi="Arial"/>
                <w:sz w:val="12"/>
                <w:szCs w:val="12"/>
                <w:color w:val="auto"/>
              </w:rPr>
              <w:t>(363)</w:t>
            </w:r>
          </w:p>
        </w:tc>
        <w:tc>
          <w:tcPr>
            <w:tcW w:w="980" w:type="dxa"/>
            <w:vAlign w:val="bottom"/>
            <w:gridSpan w:val="4"/>
          </w:tcPr>
          <w:p>
            <w:pPr>
              <w:jc w:val="right"/>
              <w:spacing w:after="0"/>
              <w:rPr>
                <w:sz w:val="20"/>
                <w:szCs w:val="20"/>
                <w:color w:val="auto"/>
              </w:rPr>
            </w:pPr>
            <w:r>
              <w:rPr>
                <w:rFonts w:ascii="Arial" w:cs="Arial" w:eastAsia="Arial" w:hAnsi="Arial"/>
                <w:sz w:val="12"/>
                <w:szCs w:val="12"/>
                <w:color w:val="auto"/>
              </w:rPr>
              <w:t>6,043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6"/>
          </w:tcPr>
          <w:p>
            <w:pPr>
              <w:jc w:val="right"/>
              <w:spacing w:after="0"/>
              <w:rPr>
                <w:sz w:val="20"/>
                <w:szCs w:val="20"/>
                <w:color w:val="auto"/>
              </w:rPr>
            </w:pPr>
            <w:r>
              <w:rPr>
                <w:rFonts w:ascii="Arial" w:cs="Arial" w:eastAsia="Arial" w:hAnsi="Arial"/>
                <w:sz w:val="12"/>
                <w:szCs w:val="12"/>
                <w:color w:val="auto"/>
              </w:rPr>
              <w:t>(3,090)</w:t>
            </w:r>
          </w:p>
        </w:tc>
        <w:tc>
          <w:tcPr>
            <w:tcW w:w="1100" w:type="dxa"/>
            <w:vAlign w:val="bottom"/>
            <w:gridSpan w:val="6"/>
          </w:tcPr>
          <w:p>
            <w:pPr>
              <w:jc w:val="right"/>
              <w:spacing w:after="0"/>
              <w:rPr>
                <w:sz w:val="20"/>
                <w:szCs w:val="20"/>
                <w:color w:val="auto"/>
              </w:rPr>
            </w:pPr>
            <w:r>
              <w:rPr>
                <w:rFonts w:ascii="Arial" w:cs="Arial" w:eastAsia="Arial" w:hAnsi="Arial"/>
                <w:sz w:val="12"/>
                <w:szCs w:val="12"/>
                <w:color w:val="auto"/>
              </w:rPr>
              <w:t>(8,008)</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Supplemental Condensed Consolidating Statement of Operations</w:t>
      </w:r>
    </w:p>
    <w:p>
      <w:pPr>
        <w:spacing w:after="0" w:line="62"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For the six months ended January 31, 2002</w:t>
      </w:r>
    </w:p>
    <w:p>
      <w:pPr>
        <w:spacing w:after="0" w:line="62"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As Restated</w:t>
      </w:r>
    </w:p>
    <w:p>
      <w:pPr>
        <w:spacing w:after="0" w:line="6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(in thousands of dollars)</w:t>
      </w:r>
    </w:p>
    <w:p>
      <w:pPr>
        <w:sectPr>
          <w:pgSz w:w="11900" w:h="16970" w:orient="portrait"/>
          <w:cols w:equalWidth="0" w:num="1">
            <w:col w:w="11480"/>
          </w:cols>
          <w:pgMar w:left="260" w:top="311" w:right="159" w:bottom="0" w:gutter="0" w:footer="0" w:header="0"/>
        </w:sectPr>
      </w:pPr>
    </w:p>
    <w:bookmarkStart w:id="11" w:name="page12"/>
    <w:bookmarkEnd w:id="11"/>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8"/>
            <w:vMerge w:val="restart"/>
          </w:tcPr>
          <w:p>
            <w:pPr>
              <w:jc w:val="right"/>
              <w:ind w:right="79"/>
              <w:spacing w:after="0"/>
              <w:rPr>
                <w:sz w:val="20"/>
                <w:szCs w:val="20"/>
                <w:color w:val="auto"/>
              </w:rPr>
            </w:pPr>
            <w:r>
              <w:rPr>
                <w:rFonts w:ascii="Arial" w:cs="Arial" w:eastAsia="Arial" w:hAnsi="Arial"/>
                <w:sz w:val="12"/>
                <w:szCs w:val="12"/>
                <w:b w:val="1"/>
                <w:bCs w:val="1"/>
                <w:color w:val="auto"/>
                <w:w w:val="85"/>
              </w:rPr>
              <w:t>Parent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9"/>
          </w:tcPr>
          <w:p>
            <w:pPr>
              <w:jc w:val="center"/>
              <w:ind w:right="80"/>
              <w:spacing w:after="0"/>
              <w:rPr>
                <w:sz w:val="20"/>
                <w:szCs w:val="20"/>
                <w:color w:val="auto"/>
              </w:rPr>
            </w:pPr>
            <w:r>
              <w:rPr>
                <w:rFonts w:ascii="Arial" w:cs="Arial" w:eastAsia="Arial" w:hAnsi="Arial"/>
                <w:sz w:val="12"/>
                <w:szCs w:val="12"/>
                <w:b w:val="1"/>
                <w:bCs w:val="1"/>
                <w:color w:val="auto"/>
                <w:w w:val="94"/>
              </w:rPr>
              <w:t>100% Owned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6"/>
            <w:vMerge w:val="restart"/>
          </w:tcPr>
          <w:p>
            <w:pPr>
              <w:jc w:val="right"/>
              <w:ind w:right="100"/>
              <w:spacing w:after="0"/>
              <w:rPr>
                <w:sz w:val="20"/>
                <w:szCs w:val="20"/>
                <w:color w:val="auto"/>
              </w:rPr>
            </w:pPr>
            <w:r>
              <w:rPr>
                <w:rFonts w:ascii="Arial" w:cs="Arial" w:eastAsia="Arial" w:hAnsi="Arial"/>
                <w:sz w:val="12"/>
                <w:szCs w:val="12"/>
                <w:b w:val="1"/>
                <w:bCs w:val="1"/>
                <w:color w:val="auto"/>
              </w:rPr>
              <w:t>Eliminating</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8"/>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6"/>
          </w:tcPr>
          <w:p>
            <w:pPr>
              <w:jc w:val="center"/>
              <w:ind w:right="60"/>
              <w:spacing w:after="0" w:line="115" w:lineRule="exact"/>
              <w:rPr>
                <w:sz w:val="20"/>
                <w:szCs w:val="20"/>
                <w:color w:val="auto"/>
              </w:rPr>
            </w:pPr>
            <w:r>
              <w:rPr>
                <w:rFonts w:ascii="Arial" w:cs="Arial" w:eastAsia="Arial" w:hAnsi="Arial"/>
                <w:sz w:val="12"/>
                <w:szCs w:val="12"/>
                <w:b w:val="1"/>
                <w:bCs w:val="1"/>
                <w:color w:val="auto"/>
                <w:w w:val="82"/>
              </w:rPr>
              <w:t>Guarantor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5"/>
            <w:vMerge w:val="restart"/>
          </w:tcPr>
          <w:p>
            <w:pPr>
              <w:spacing w:after="0"/>
              <w:rPr>
                <w:sz w:val="20"/>
                <w:szCs w:val="20"/>
                <w:color w:val="auto"/>
              </w:rPr>
            </w:pPr>
            <w:r>
              <w:rPr>
                <w:rFonts w:ascii="Arial" w:cs="Arial" w:eastAsia="Arial" w:hAnsi="Arial"/>
                <w:sz w:val="12"/>
                <w:szCs w:val="12"/>
                <w:b w:val="1"/>
                <w:bCs w:val="1"/>
                <w:color w:val="auto"/>
              </w:rPr>
              <w:t>JHL&amp;S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7"/>
            <w:vMerge w:val="restart"/>
          </w:tcPr>
          <w:p>
            <w:pPr>
              <w:jc w:val="right"/>
              <w:ind w:right="420"/>
              <w:spacing w:after="0"/>
              <w:rPr>
                <w:sz w:val="20"/>
                <w:szCs w:val="20"/>
                <w:color w:val="auto"/>
              </w:rPr>
            </w:pPr>
            <w:r>
              <w:rPr>
                <w:rFonts w:ascii="Arial" w:cs="Arial" w:eastAsia="Arial" w:hAnsi="Arial"/>
                <w:sz w:val="12"/>
                <w:szCs w:val="12"/>
                <w:b w:val="1"/>
                <w:bCs w:val="1"/>
                <w:color w:val="auto"/>
                <w:w w:val="89"/>
              </w:rPr>
              <w:t>RockResorts</w:t>
            </w:r>
          </w:p>
        </w:tc>
        <w:tc>
          <w:tcPr>
            <w:tcW w:w="5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Larkspur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9"/>
            <w:vMerge w:val="restart"/>
          </w:tcPr>
          <w:p>
            <w:pPr>
              <w:ind w:left="80"/>
              <w:spacing w:after="0"/>
              <w:rPr>
                <w:sz w:val="20"/>
                <w:szCs w:val="20"/>
                <w:color w:val="auto"/>
              </w:rPr>
            </w:pPr>
            <w:r>
              <w:rPr>
                <w:rFonts w:ascii="Arial" w:cs="Arial" w:eastAsia="Arial" w:hAnsi="Arial"/>
                <w:sz w:val="12"/>
                <w:szCs w:val="12"/>
                <w:b w:val="1"/>
                <w:bCs w:val="1"/>
                <w:color w:val="auto"/>
                <w:w w:val="97"/>
              </w:rPr>
              <w:t>Other Subsidiaries</w:t>
            </w:r>
          </w:p>
        </w:tc>
        <w:tc>
          <w:tcPr>
            <w:tcW w:w="900" w:type="dxa"/>
            <w:vAlign w:val="bottom"/>
            <w:gridSpan w:val="6"/>
            <w:vMerge w:val="continue"/>
          </w:tcPr>
          <w:p>
            <w:pPr>
              <w:spacing w:after="0"/>
              <w:rPr>
                <w:sz w:val="10"/>
                <w:szCs w:val="10"/>
                <w:color w:val="auto"/>
              </w:rPr>
            </w:pPr>
          </w:p>
        </w:tc>
        <w:tc>
          <w:tcPr>
            <w:tcW w:w="1100" w:type="dxa"/>
            <w:vAlign w:val="bottom"/>
            <w:gridSpan w:val="5"/>
            <w:vMerge w:val="restart"/>
          </w:tcPr>
          <w:p>
            <w:pPr>
              <w:jc w:val="right"/>
              <w:ind w:right="140"/>
              <w:spacing w:after="0"/>
              <w:rPr>
                <w:sz w:val="20"/>
                <w:szCs w:val="20"/>
                <w:color w:val="auto"/>
              </w:rPr>
            </w:pPr>
            <w:r>
              <w:rPr>
                <w:rFonts w:ascii="Arial" w:cs="Arial" w:eastAsia="Arial" w:hAnsi="Arial"/>
                <w:sz w:val="12"/>
                <w:szCs w:val="12"/>
                <w:b w:val="1"/>
                <w:bCs w:val="1"/>
                <w:color w:val="auto"/>
              </w:rPr>
              <w:t>Consolidated</w:t>
            </w: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Borders>
              <w:top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70"/>
              </w:rPr>
              <w:t>Company</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Borders>
              <w:top w:val="single" w:sz="8" w:color="auto"/>
            </w:tcBorders>
            <w:gridSpan w:val="4"/>
          </w:tcPr>
          <w:p>
            <w:pPr>
              <w:jc w:val="center"/>
              <w:spacing w:after="0" w:line="115" w:lineRule="exact"/>
              <w:rPr>
                <w:sz w:val="20"/>
                <w:szCs w:val="20"/>
                <w:color w:val="auto"/>
              </w:rPr>
            </w:pPr>
            <w:r>
              <w:rPr>
                <w:rFonts w:ascii="Arial" w:cs="Arial" w:eastAsia="Arial" w:hAnsi="Arial"/>
                <w:sz w:val="11"/>
                <w:szCs w:val="11"/>
                <w:b w:val="1"/>
                <w:bCs w:val="1"/>
                <w:color w:val="auto"/>
                <w:w w:val="73"/>
              </w:rPr>
              <w:t>Subsidiaries</w:t>
            </w:r>
          </w:p>
        </w:tc>
        <w:tc>
          <w:tcPr>
            <w:tcW w:w="4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7"/>
            <w:vMerge w:val="continue"/>
          </w:tcPr>
          <w:p>
            <w:pPr>
              <w:spacing w:after="0"/>
              <w:rPr>
                <w:sz w:val="10"/>
                <w:szCs w:val="10"/>
                <w:color w:val="auto"/>
              </w:rPr>
            </w:pPr>
          </w:p>
        </w:tc>
        <w:tc>
          <w:tcPr>
            <w:tcW w:w="5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9"/>
            <w:vMerge w:val="continue"/>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3"/>
          </w:tcPr>
          <w:p>
            <w:pPr>
              <w:jc w:val="right"/>
              <w:ind w:right="120"/>
              <w:spacing w:after="0" w:line="115" w:lineRule="exact"/>
              <w:rPr>
                <w:sz w:val="20"/>
                <w:szCs w:val="20"/>
                <w:color w:val="auto"/>
              </w:rPr>
            </w:pPr>
            <w:r>
              <w:rPr>
                <w:rFonts w:ascii="Arial" w:cs="Arial" w:eastAsia="Arial" w:hAnsi="Arial"/>
                <w:sz w:val="12"/>
                <w:szCs w:val="12"/>
                <w:b w:val="1"/>
                <w:bCs w:val="1"/>
                <w:color w:val="auto"/>
                <w:w w:val="78"/>
              </w:rPr>
              <w:t>Entries</w:t>
            </w:r>
          </w:p>
        </w:tc>
        <w:tc>
          <w:tcPr>
            <w:tcW w:w="100" w:type="dxa"/>
            <w:vAlign w:val="bottom"/>
          </w:tcPr>
          <w:p>
            <w:pPr>
              <w:spacing w:after="0"/>
              <w:rPr>
                <w:sz w:val="10"/>
                <w:szCs w:val="10"/>
                <w:color w:val="auto"/>
              </w:rPr>
            </w:pPr>
          </w:p>
        </w:tc>
        <w:tc>
          <w:tcPr>
            <w:tcW w:w="110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00" w:type="dxa"/>
            <w:vAlign w:val="bottom"/>
            <w:tcBorders>
              <w:right w:val="single" w:sz="8" w:color="auto"/>
            </w:tcBorders>
            <w:gridSpan w:val="2"/>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660" w:type="dxa"/>
            <w:vAlign w:val="bottom"/>
            <w:tcBorders>
              <w:right w:val="single" w:sz="8" w:color="auto"/>
            </w:tcBorders>
            <w:gridSpan w:val="9"/>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520" w:type="dxa"/>
            <w:vAlign w:val="bottom"/>
            <w:tcBorders>
              <w:right w:val="single" w:sz="8" w:color="auto"/>
            </w:tcBorders>
            <w:gridSpan w:val="5"/>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1980" w:type="dxa"/>
            <w:vAlign w:val="bottom"/>
            <w:tcBorders>
              <w:right w:val="single" w:sz="8" w:color="auto"/>
            </w:tcBorders>
            <w:gridSpan w:val="13"/>
          </w:tcPr>
          <w:p>
            <w:pPr>
              <w:spacing w:after="0" w:line="20" w:lineRule="exact"/>
              <w:rPr>
                <w:sz w:val="1"/>
                <w:szCs w:val="1"/>
                <w:color w:val="auto"/>
              </w:rPr>
            </w:pPr>
          </w:p>
        </w:tc>
        <w:tc>
          <w:tcPr>
            <w:tcW w:w="460" w:type="dxa"/>
            <w:vAlign w:val="bottom"/>
            <w:tcBorders>
              <w:right w:val="single" w:sz="8" w:color="auto"/>
            </w:tcBorders>
            <w:gridSpan w:val="5"/>
            <w:shd w:val="clear" w:color="auto" w:fill="000000"/>
          </w:tcPr>
          <w:p>
            <w:pPr>
              <w:spacing w:after="0" w:line="20" w:lineRule="exact"/>
              <w:rPr>
                <w:sz w:val="1"/>
                <w:szCs w:val="1"/>
                <w:color w:val="auto"/>
              </w:rPr>
            </w:pPr>
          </w:p>
        </w:tc>
        <w:tc>
          <w:tcPr>
            <w:tcW w:w="640" w:type="dxa"/>
            <w:vAlign w:val="bottom"/>
            <w:tcBorders>
              <w:left w:val="single" w:sz="8" w:color="auto"/>
              <w:right w:val="single" w:sz="8" w:color="auto"/>
            </w:tcBorders>
            <w:gridSpan w:val="4"/>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480" w:type="dxa"/>
            <w:vAlign w:val="bottom"/>
            <w:tcBorders>
              <w:left w:val="single" w:sz="8" w:color="auto"/>
              <w:right w:val="single" w:sz="8" w:color="auto"/>
            </w:tcBorders>
            <w:gridSpan w:val="3"/>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960" w:type="dxa"/>
            <w:vAlign w:val="bottom"/>
            <w:tcBorders>
              <w:right w:val="single" w:sz="8" w:color="auto"/>
            </w:tcBorders>
            <w:gridSpan w:val="4"/>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920" w:type="dxa"/>
            <w:vAlign w:val="bottom"/>
          </w:tcPr>
          <w:p>
            <w:pPr>
              <w:spacing w:after="0"/>
              <w:rPr>
                <w:sz w:val="20"/>
                <w:szCs w:val="20"/>
                <w:color w:val="auto"/>
              </w:rPr>
            </w:pPr>
            <w:r>
              <w:rPr>
                <w:rFonts w:ascii="Arial" w:cs="Arial" w:eastAsia="Arial" w:hAnsi="Arial"/>
                <w:sz w:val="12"/>
                <w:szCs w:val="12"/>
                <w:color w:val="auto"/>
              </w:rPr>
              <w:t>Total revenues</w:t>
            </w:r>
          </w:p>
        </w:tc>
        <w:tc>
          <w:tcPr>
            <w:tcW w:w="80" w:type="dxa"/>
            <w:vAlign w:val="bottom"/>
          </w:tcPr>
          <w:p>
            <w:pPr>
              <w:spacing w:after="0"/>
              <w:rPr>
                <w:sz w:val="24"/>
                <w:szCs w:val="24"/>
                <w:color w:val="auto"/>
              </w:rPr>
            </w:pPr>
          </w:p>
        </w:tc>
        <w:tc>
          <w:tcPr>
            <w:tcW w:w="480" w:type="dxa"/>
            <w:vAlign w:val="bottom"/>
            <w:gridSpan w:val="8"/>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480" w:type="dxa"/>
            <w:vAlign w:val="bottom"/>
            <w:gridSpan w:val="4"/>
          </w:tcPr>
          <w:p>
            <w:pPr>
              <w:spacing w:after="0"/>
              <w:rPr>
                <w:sz w:val="24"/>
                <w:szCs w:val="24"/>
                <w:color w:val="auto"/>
              </w:rPr>
            </w:pPr>
          </w:p>
        </w:tc>
        <w:tc>
          <w:tcPr>
            <w:tcW w:w="600" w:type="dxa"/>
            <w:vAlign w:val="bottom"/>
            <w:gridSpan w:val="7"/>
          </w:tcPr>
          <w:p>
            <w:pPr>
              <w:jc w:val="right"/>
              <w:spacing w:after="0"/>
              <w:rPr>
                <w:sz w:val="20"/>
                <w:szCs w:val="20"/>
                <w:color w:val="auto"/>
              </w:rPr>
            </w:pPr>
            <w:r>
              <w:rPr>
                <w:rFonts w:ascii="Arial" w:cs="Arial" w:eastAsia="Arial" w:hAnsi="Arial"/>
                <w:sz w:val="12"/>
                <w:szCs w:val="12"/>
                <w:color w:val="auto"/>
              </w:rPr>
              <w:t>229,754</w:t>
            </w:r>
          </w:p>
        </w:tc>
        <w:tc>
          <w:tcPr>
            <w:tcW w:w="20" w:type="dxa"/>
            <w:vAlign w:val="bottom"/>
          </w:tcPr>
          <w:p>
            <w:pPr>
              <w:spacing w:after="0"/>
              <w:rPr>
                <w:sz w:val="24"/>
                <w:szCs w:val="24"/>
                <w:color w:val="auto"/>
              </w:rPr>
            </w:pPr>
          </w:p>
        </w:tc>
        <w:tc>
          <w:tcPr>
            <w:tcW w:w="1200" w:type="dxa"/>
            <w:vAlign w:val="bottom"/>
            <w:gridSpan w:val="9"/>
          </w:tcPr>
          <w:p>
            <w:pPr>
              <w:jc w:val="right"/>
              <w:ind w:right="340"/>
              <w:spacing w:after="0"/>
              <w:rPr>
                <w:sz w:val="20"/>
                <w:szCs w:val="20"/>
                <w:color w:val="auto"/>
              </w:rPr>
            </w:pPr>
            <w:r>
              <w:rPr>
                <w:rFonts w:ascii="Arial" w:cs="Arial" w:eastAsia="Arial" w:hAnsi="Arial"/>
                <w:sz w:val="12"/>
                <w:szCs w:val="12"/>
                <w:color w:val="auto"/>
              </w:rPr>
              <w:t>947</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348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2"/>
                <w:szCs w:val="12"/>
                <w:color w:val="auto"/>
              </w:rPr>
              <w:t>1,169</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54,458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(143)</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286,533</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440" w:type="dxa"/>
            <w:vAlign w:val="bottom"/>
            <w:gridSpan w:val="5"/>
          </w:tcPr>
          <w:p>
            <w:pPr>
              <w:spacing w:after="0"/>
              <w:rPr>
                <w:sz w:val="19"/>
                <w:szCs w:val="19"/>
                <w:color w:val="auto"/>
              </w:rPr>
            </w:pPr>
          </w:p>
        </w:tc>
        <w:tc>
          <w:tcPr>
            <w:tcW w:w="180" w:type="dxa"/>
            <w:vAlign w:val="bottom"/>
            <w:gridSpan w:val="5"/>
          </w:tcPr>
          <w:p>
            <w:pPr>
              <w:jc w:val="right"/>
              <w:spacing w:after="0"/>
              <w:rPr>
                <w:sz w:val="20"/>
                <w:szCs w:val="20"/>
                <w:color w:val="auto"/>
              </w:rPr>
            </w:pPr>
            <w:r>
              <w:rPr>
                <w:rFonts w:ascii="Arial" w:cs="Arial" w:eastAsia="Arial" w:hAnsi="Arial"/>
                <w:sz w:val="12"/>
                <w:szCs w:val="12"/>
                <w:color w:val="auto"/>
                <w:w w:val="79"/>
              </w:rPr>
              <w:t>539</w:t>
            </w:r>
          </w:p>
        </w:tc>
        <w:tc>
          <w:tcPr>
            <w:tcW w:w="780" w:type="dxa"/>
            <w:vAlign w:val="bottom"/>
            <w:gridSpan w:val="5"/>
          </w:tcPr>
          <w:p>
            <w:pPr>
              <w:spacing w:after="0"/>
              <w:rPr>
                <w:sz w:val="19"/>
                <w:szCs w:val="19"/>
                <w:color w:val="auto"/>
              </w:rPr>
            </w:pPr>
          </w:p>
        </w:tc>
        <w:tc>
          <w:tcPr>
            <w:tcW w:w="300" w:type="dxa"/>
            <w:vAlign w:val="bottom"/>
            <w:gridSpan w:val="6"/>
          </w:tcPr>
          <w:p>
            <w:pPr>
              <w:jc w:val="right"/>
              <w:spacing w:after="0"/>
              <w:rPr>
                <w:sz w:val="20"/>
                <w:szCs w:val="20"/>
                <w:color w:val="auto"/>
              </w:rPr>
            </w:pPr>
            <w:r>
              <w:rPr>
                <w:rFonts w:ascii="Arial" w:cs="Arial" w:eastAsia="Arial" w:hAnsi="Arial"/>
                <w:sz w:val="11"/>
                <w:szCs w:val="11"/>
                <w:color w:val="auto"/>
                <w:w w:val="70"/>
              </w:rPr>
              <w:t>220,327</w:t>
            </w:r>
          </w:p>
        </w:tc>
        <w:tc>
          <w:tcPr>
            <w:tcW w:w="20" w:type="dxa"/>
            <w:vAlign w:val="bottom"/>
          </w:tcPr>
          <w:p>
            <w:pPr>
              <w:spacing w:after="0"/>
              <w:rPr>
                <w:sz w:val="19"/>
                <w:szCs w:val="19"/>
                <w:color w:val="auto"/>
              </w:rPr>
            </w:pPr>
          </w:p>
        </w:tc>
        <w:tc>
          <w:tcPr>
            <w:tcW w:w="580" w:type="dxa"/>
            <w:vAlign w:val="bottom"/>
            <w:gridSpan w:val="4"/>
          </w:tcPr>
          <w:p>
            <w:pPr>
              <w:spacing w:after="0"/>
              <w:rPr>
                <w:sz w:val="19"/>
                <w:szCs w:val="19"/>
                <w:color w:val="auto"/>
              </w:rPr>
            </w:pPr>
          </w:p>
        </w:tc>
        <w:tc>
          <w:tcPr>
            <w:tcW w:w="280" w:type="dxa"/>
            <w:vAlign w:val="bottom"/>
            <w:gridSpan w:val="4"/>
          </w:tcPr>
          <w:p>
            <w:pPr>
              <w:jc w:val="right"/>
              <w:spacing w:after="0"/>
              <w:rPr>
                <w:sz w:val="20"/>
                <w:szCs w:val="20"/>
                <w:color w:val="auto"/>
              </w:rPr>
            </w:pPr>
            <w:r>
              <w:rPr>
                <w:rFonts w:ascii="Arial" w:cs="Arial" w:eastAsia="Arial" w:hAnsi="Arial"/>
                <w:sz w:val="12"/>
                <w:szCs w:val="12"/>
                <w:color w:val="auto"/>
                <w:w w:val="86"/>
              </w:rPr>
              <w:t>2,833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5"/>
          </w:tcPr>
          <w:p>
            <w:pPr>
              <w:jc w:val="right"/>
              <w:spacing w:after="0"/>
              <w:rPr>
                <w:sz w:val="20"/>
                <w:szCs w:val="20"/>
                <w:color w:val="auto"/>
              </w:rPr>
            </w:pPr>
            <w:r>
              <w:rPr>
                <w:rFonts w:ascii="Arial" w:cs="Arial" w:eastAsia="Arial" w:hAnsi="Arial"/>
                <w:sz w:val="12"/>
                <w:szCs w:val="12"/>
                <w:color w:val="auto"/>
              </w:rPr>
              <w:t>1,456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51,987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(143)</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277,156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74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12"/>
                <w:szCs w:val="12"/>
                <w:color w:val="auto"/>
              </w:rPr>
              <w:t>Income (loss) from operations</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(539)</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9,427</w:t>
            </w:r>
          </w:p>
        </w:tc>
        <w:tc>
          <w:tcPr>
            <w:tcW w:w="20" w:type="dxa"/>
            <w:vAlign w:val="bottom"/>
          </w:tcPr>
          <w:p>
            <w:pPr>
              <w:spacing w:after="0"/>
              <w:rPr>
                <w:sz w:val="21"/>
                <w:szCs w:val="21"/>
                <w:color w:val="auto"/>
              </w:rPr>
            </w:pPr>
          </w:p>
        </w:tc>
        <w:tc>
          <w:tcPr>
            <w:tcW w:w="1200" w:type="dxa"/>
            <w:vAlign w:val="bottom"/>
            <w:gridSpan w:val="9"/>
          </w:tcPr>
          <w:p>
            <w:pPr>
              <w:jc w:val="right"/>
              <w:ind w:right="340"/>
              <w:spacing w:after="0"/>
              <w:rPr>
                <w:sz w:val="20"/>
                <w:szCs w:val="20"/>
                <w:color w:val="auto"/>
              </w:rPr>
            </w:pPr>
            <w:r>
              <w:rPr>
                <w:rFonts w:ascii="Arial" w:cs="Arial" w:eastAsia="Arial" w:hAnsi="Arial"/>
                <w:sz w:val="12"/>
                <w:szCs w:val="12"/>
                <w:color w:val="auto"/>
              </w:rPr>
              <w:t>(1,886)</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2"/>
                <w:szCs w:val="12"/>
                <w:color w:val="auto"/>
              </w:rPr>
              <w:t>(287)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2,471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9,377</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Other income (expense)</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(4,558)</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(12,309)</w:t>
            </w:r>
          </w:p>
        </w:tc>
        <w:tc>
          <w:tcPr>
            <w:tcW w:w="20" w:type="dxa"/>
            <w:vAlign w:val="bottom"/>
          </w:tcPr>
          <w:p>
            <w:pPr>
              <w:spacing w:after="0"/>
              <w:rPr>
                <w:sz w:val="21"/>
                <w:szCs w:val="21"/>
                <w:color w:val="auto"/>
              </w:rPr>
            </w:pPr>
          </w:p>
        </w:tc>
        <w:tc>
          <w:tcPr>
            <w:tcW w:w="1200" w:type="dxa"/>
            <w:vAlign w:val="bottom"/>
            <w:gridSpan w:val="9"/>
          </w:tcPr>
          <w:p>
            <w:pPr>
              <w:jc w:val="right"/>
              <w:ind w:right="340"/>
              <w:spacing w:after="0"/>
              <w:rPr>
                <w:sz w:val="20"/>
                <w:szCs w:val="20"/>
                <w:color w:val="auto"/>
              </w:rPr>
            </w:pPr>
            <w:r>
              <w:rPr>
                <w:rFonts w:ascii="Arial" w:cs="Arial" w:eastAsia="Arial" w:hAnsi="Arial"/>
                <w:sz w:val="12"/>
                <w:szCs w:val="12"/>
                <w:color w:val="auto"/>
              </w:rPr>
              <w:t>(124)</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2"/>
                <w:szCs w:val="12"/>
                <w:color w:val="auto"/>
              </w:rPr>
              <w:t>(11)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(446)</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(17,448)</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Equity investment income</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3,678</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3,678</w:t>
            </w:r>
          </w:p>
        </w:tc>
        <w:tc>
          <w:tcPr>
            <w:tcW w:w="0" w:type="dxa"/>
            <w:vAlign w:val="bottom"/>
          </w:tcPr>
          <w:p>
            <w:pPr>
              <w:spacing w:after="0"/>
              <w:rPr>
                <w:sz w:val="1"/>
                <w:szCs w:val="1"/>
                <w:color w:val="auto"/>
              </w:rPr>
            </w:pPr>
          </w:p>
        </w:tc>
      </w:tr>
      <w:tr>
        <w:trPr>
          <w:trHeight w:val="164"/>
        </w:trPr>
        <w:tc>
          <w:tcPr>
            <w:tcW w:w="10780" w:type="dxa"/>
            <w:vAlign w:val="bottom"/>
            <w:gridSpan w:val="65"/>
          </w:tcPr>
          <w:p>
            <w:pPr>
              <w:spacing w:after="0"/>
              <w:rPr>
                <w:sz w:val="20"/>
                <w:szCs w:val="20"/>
                <w:color w:val="auto"/>
              </w:rPr>
            </w:pPr>
            <w:r>
              <w:rPr>
                <w:rFonts w:ascii="Arial" w:cs="Arial" w:eastAsia="Arial" w:hAnsi="Arial"/>
                <w:sz w:val="12"/>
                <w:szCs w:val="12"/>
                <w:color w:val="auto"/>
              </w:rPr>
              <w:t>Minority interest in net income of consolidated joint</w:t>
            </w:r>
          </w:p>
        </w:tc>
        <w:tc>
          <w:tcPr>
            <w:tcW w:w="0" w:type="dxa"/>
            <w:vAlign w:val="bottom"/>
          </w:tcPr>
          <w:p>
            <w:pPr>
              <w:spacing w:after="0"/>
              <w:rPr>
                <w:sz w:val="1"/>
                <w:szCs w:val="1"/>
                <w:color w:val="auto"/>
              </w:rPr>
            </w:pPr>
          </w:p>
        </w:tc>
      </w:tr>
      <w:tr>
        <w:trPr>
          <w:trHeight w:val="132"/>
        </w:trPr>
        <w:tc>
          <w:tcPr>
            <w:tcW w:w="2920" w:type="dxa"/>
            <w:vAlign w:val="bottom"/>
          </w:tcPr>
          <w:p>
            <w:pPr>
              <w:spacing w:after="0" w:line="132" w:lineRule="exact"/>
              <w:rPr>
                <w:sz w:val="20"/>
                <w:szCs w:val="20"/>
                <w:color w:val="auto"/>
              </w:rPr>
            </w:pPr>
            <w:r>
              <w:rPr>
                <w:rFonts w:ascii="Arial" w:cs="Arial" w:eastAsia="Arial" w:hAnsi="Arial"/>
                <w:sz w:val="12"/>
                <w:szCs w:val="12"/>
                <w:color w:val="auto"/>
              </w:rPr>
              <w:t>venture</w:t>
            </w:r>
          </w:p>
        </w:tc>
        <w:tc>
          <w:tcPr>
            <w:tcW w:w="620" w:type="dxa"/>
            <w:vAlign w:val="bottom"/>
            <w:gridSpan w:val="10"/>
          </w:tcPr>
          <w:p>
            <w:pPr>
              <w:jc w:val="right"/>
              <w:spacing w:after="0" w:line="132" w:lineRule="exact"/>
              <w:rPr>
                <w:sz w:val="20"/>
                <w:szCs w:val="20"/>
                <w:color w:val="auto"/>
              </w:rPr>
            </w:pPr>
            <w:r>
              <w:rPr>
                <w:rFonts w:ascii="Arial" w:cs="Arial" w:eastAsia="Arial" w:hAnsi="Arial"/>
                <w:sz w:val="12"/>
                <w:szCs w:val="12"/>
                <w:u w:val="single" w:color="auto"/>
                <w:color w:val="auto"/>
              </w:rPr>
              <w:t>-</w:t>
            </w:r>
          </w:p>
        </w:tc>
        <w:tc>
          <w:tcPr>
            <w:tcW w:w="1080" w:type="dxa"/>
            <w:vAlign w:val="bottom"/>
            <w:gridSpan w:val="11"/>
          </w:tcPr>
          <w:p>
            <w:pPr>
              <w:jc w:val="right"/>
              <w:spacing w:after="0" w:line="132" w:lineRule="exact"/>
              <w:rPr>
                <w:sz w:val="20"/>
                <w:szCs w:val="20"/>
                <w:color w:val="auto"/>
              </w:rPr>
            </w:pPr>
            <w:r>
              <w:rPr>
                <w:rFonts w:ascii="Arial" w:cs="Arial" w:eastAsia="Arial" w:hAnsi="Arial"/>
                <w:sz w:val="12"/>
                <w:szCs w:val="12"/>
                <w:color w:val="auto"/>
              </w:rPr>
              <w:t>39</w:t>
            </w:r>
          </w:p>
        </w:tc>
        <w:tc>
          <w:tcPr>
            <w:tcW w:w="20" w:type="dxa"/>
            <w:vAlign w:val="bottom"/>
          </w:tcPr>
          <w:p>
            <w:pPr>
              <w:spacing w:after="0"/>
              <w:rPr>
                <w:sz w:val="11"/>
                <w:szCs w:val="11"/>
                <w:color w:val="auto"/>
              </w:rPr>
            </w:pPr>
          </w:p>
        </w:tc>
        <w:tc>
          <w:tcPr>
            <w:tcW w:w="1200" w:type="dxa"/>
            <w:vAlign w:val="bottom"/>
            <w:gridSpan w:val="9"/>
          </w:tcPr>
          <w:p>
            <w:pPr>
              <w:jc w:val="right"/>
              <w:ind w:right="340"/>
              <w:spacing w:after="0" w:line="132" w:lineRule="exact"/>
              <w:rPr>
                <w:sz w:val="20"/>
                <w:szCs w:val="20"/>
                <w:color w:val="auto"/>
              </w:rPr>
            </w:pPr>
            <w:r>
              <w:rPr>
                <w:rFonts w:ascii="Arial" w:cs="Arial" w:eastAsia="Arial" w:hAnsi="Arial"/>
                <w:sz w:val="12"/>
                <w:szCs w:val="12"/>
                <w:color w:val="auto"/>
              </w:rPr>
              <w:t>985</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3"/>
          </w:tcPr>
          <w:p>
            <w:pPr>
              <w:jc w:val="right"/>
              <w:ind w:right="120"/>
              <w:spacing w:after="0" w:line="132" w:lineRule="exact"/>
              <w:rPr>
                <w:sz w:val="20"/>
                <w:szCs w:val="20"/>
                <w:color w:val="auto"/>
              </w:rPr>
            </w:pPr>
            <w:r>
              <w:rPr>
                <w:rFonts w:ascii="Arial" w:cs="Arial" w:eastAsia="Arial" w:hAnsi="Arial"/>
                <w:sz w:val="12"/>
                <w:szCs w:val="12"/>
                <w:u w:val="single" w:color="auto"/>
                <w:color w:val="auto"/>
              </w:rPr>
              <w: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line="132" w:lineRule="exact"/>
              <w:rPr>
                <w:sz w:val="20"/>
                <w:szCs w:val="20"/>
                <w:color w:val="auto"/>
              </w:rPr>
            </w:pPr>
            <w:r>
              <w:rPr>
                <w:rFonts w:ascii="Arial" w:cs="Arial" w:eastAsia="Arial" w:hAnsi="Arial"/>
                <w:sz w:val="12"/>
                <w:szCs w:val="12"/>
                <w:u w:val="single" w:color="auto"/>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5"/>
          </w:tcPr>
          <w:p>
            <w:pPr>
              <w:jc w:val="right"/>
              <w:spacing w:after="0" w:line="132" w:lineRule="exact"/>
              <w:rPr>
                <w:sz w:val="20"/>
                <w:szCs w:val="20"/>
                <w:color w:val="auto"/>
              </w:rPr>
            </w:pPr>
            <w:r>
              <w:rPr>
                <w:rFonts w:ascii="Arial" w:cs="Arial" w:eastAsia="Arial" w:hAnsi="Arial"/>
                <w:sz w:val="12"/>
                <w:szCs w:val="12"/>
                <w:color w:val="auto"/>
              </w:rPr>
              <w:t>(981)</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6"/>
          </w:tcPr>
          <w:p>
            <w:pPr>
              <w:jc w:val="right"/>
              <w:spacing w:after="0" w:line="132" w:lineRule="exact"/>
              <w:rPr>
                <w:sz w:val="20"/>
                <w:szCs w:val="20"/>
                <w:color w:val="auto"/>
              </w:rPr>
            </w:pPr>
            <w:r>
              <w:rPr>
                <w:rFonts w:ascii="Arial" w:cs="Arial" w:eastAsia="Arial" w:hAnsi="Arial"/>
                <w:sz w:val="12"/>
                <w:szCs w:val="12"/>
                <w:u w:val="single" w:color="auto"/>
                <w:color w:val="auto"/>
              </w:rPr>
              <w:t>-</w:t>
            </w:r>
          </w:p>
        </w:tc>
        <w:tc>
          <w:tcPr>
            <w:tcW w:w="1100" w:type="dxa"/>
            <w:vAlign w:val="bottom"/>
            <w:gridSpan w:val="5"/>
          </w:tcPr>
          <w:p>
            <w:pPr>
              <w:jc w:val="right"/>
              <w:spacing w:after="0" w:line="132" w:lineRule="exact"/>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12"/>
                <w:szCs w:val="12"/>
                <w:color w:val="auto"/>
              </w:rPr>
              <w:t>Income (loss) before income taxes</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(5,097)</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835</w:t>
            </w:r>
          </w:p>
        </w:tc>
        <w:tc>
          <w:tcPr>
            <w:tcW w:w="20" w:type="dxa"/>
            <w:vAlign w:val="bottom"/>
          </w:tcPr>
          <w:p>
            <w:pPr>
              <w:spacing w:after="0"/>
              <w:rPr>
                <w:sz w:val="21"/>
                <w:szCs w:val="21"/>
                <w:color w:val="auto"/>
              </w:rPr>
            </w:pPr>
          </w:p>
        </w:tc>
        <w:tc>
          <w:tcPr>
            <w:tcW w:w="1200" w:type="dxa"/>
            <w:vAlign w:val="bottom"/>
            <w:gridSpan w:val="9"/>
          </w:tcPr>
          <w:p>
            <w:pPr>
              <w:jc w:val="right"/>
              <w:ind w:right="340"/>
              <w:spacing w:after="0"/>
              <w:rPr>
                <w:sz w:val="20"/>
                <w:szCs w:val="20"/>
                <w:color w:val="auto"/>
              </w:rPr>
            </w:pPr>
            <w:r>
              <w:rPr>
                <w:rFonts w:ascii="Arial" w:cs="Arial" w:eastAsia="Arial" w:hAnsi="Arial"/>
                <w:sz w:val="12"/>
                <w:szCs w:val="12"/>
                <w:color w:val="auto"/>
              </w:rPr>
              <w:t>(1,025)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2"/>
                <w:szCs w:val="12"/>
                <w:color w:val="auto"/>
              </w:rPr>
              <w:t>(298)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1,044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(4,350)</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2"/>
                <w:szCs w:val="12"/>
                <w:color w:val="auto"/>
              </w:rPr>
              <w:t>Benefit (provision) for income taxes</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1,860</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(176)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ind w:right="340"/>
              <w:spacing w:after="0"/>
              <w:rPr>
                <w:sz w:val="20"/>
                <w:szCs w:val="20"/>
                <w:color w:val="auto"/>
              </w:rPr>
            </w:pPr>
            <w:r>
              <w:rPr>
                <w:rFonts w:ascii="Arial" w:cs="Arial" w:eastAsia="Arial" w:hAnsi="Arial"/>
                <w:sz w:val="12"/>
                <w:szCs w:val="12"/>
                <w:u w:val="single" w:color="auto"/>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u w:val="single" w:color="auto"/>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1,654</w:t>
            </w:r>
          </w:p>
        </w:tc>
        <w:tc>
          <w:tcPr>
            <w:tcW w:w="0" w:type="dxa"/>
            <w:vAlign w:val="bottom"/>
          </w:tcPr>
          <w:p>
            <w:pPr>
              <w:spacing w:after="0"/>
              <w:rPr>
                <w:sz w:val="1"/>
                <w:szCs w:val="1"/>
                <w:color w:val="auto"/>
              </w:rPr>
            </w:pPr>
          </w:p>
        </w:tc>
      </w:tr>
      <w:tr>
        <w:trPr>
          <w:trHeight w:val="180"/>
        </w:trPr>
        <w:tc>
          <w:tcPr>
            <w:tcW w:w="3260" w:type="dxa"/>
            <w:vAlign w:val="bottom"/>
            <w:gridSpan w:val="5"/>
          </w:tcPr>
          <w:p>
            <w:pPr>
              <w:spacing w:after="0"/>
              <w:rPr>
                <w:sz w:val="20"/>
                <w:szCs w:val="20"/>
                <w:color w:val="auto"/>
              </w:rPr>
            </w:pPr>
            <w:r>
              <w:rPr>
                <w:rFonts w:ascii="Arial" w:cs="Arial" w:eastAsia="Arial" w:hAnsi="Arial"/>
                <w:sz w:val="12"/>
                <w:szCs w:val="12"/>
                <w:color w:val="auto"/>
              </w:rPr>
              <w:t>Net income (loss) before equity in income of</w:t>
            </w:r>
          </w:p>
        </w:tc>
        <w:tc>
          <w:tcPr>
            <w:tcW w:w="280" w:type="dxa"/>
            <w:vAlign w:val="bottom"/>
            <w:tcBorders>
              <w:top w:val="single" w:sz="8" w:color="auto"/>
            </w:tcBorders>
            <w:gridSpan w:val="6"/>
          </w:tcPr>
          <w:p>
            <w:pPr>
              <w:spacing w:after="0"/>
              <w:rPr>
                <w:sz w:val="15"/>
                <w:szCs w:val="15"/>
                <w:color w:val="auto"/>
              </w:rPr>
            </w:pPr>
          </w:p>
        </w:tc>
        <w:tc>
          <w:tcPr>
            <w:tcW w:w="800" w:type="dxa"/>
            <w:vAlign w:val="bottom"/>
            <w:gridSpan w:val="6"/>
          </w:tcPr>
          <w:p>
            <w:pPr>
              <w:spacing w:after="0"/>
              <w:rPr>
                <w:sz w:val="15"/>
                <w:szCs w:val="15"/>
                <w:color w:val="auto"/>
              </w:rPr>
            </w:pPr>
          </w:p>
        </w:tc>
        <w:tc>
          <w:tcPr>
            <w:tcW w:w="280" w:type="dxa"/>
            <w:vAlign w:val="bottom"/>
            <w:tcBorders>
              <w:top w:val="single" w:sz="8" w:color="auto"/>
            </w:tcBorders>
            <w:gridSpan w:val="5"/>
          </w:tcPr>
          <w:p>
            <w:pPr>
              <w:spacing w:after="0"/>
              <w:rPr>
                <w:sz w:val="15"/>
                <w:szCs w:val="15"/>
                <w:color w:val="auto"/>
              </w:rPr>
            </w:pPr>
          </w:p>
        </w:tc>
        <w:tc>
          <w:tcPr>
            <w:tcW w:w="3800" w:type="dxa"/>
            <w:vAlign w:val="bottom"/>
            <w:gridSpan w:val="28"/>
          </w:tcPr>
          <w:p>
            <w:pPr>
              <w:spacing w:after="0"/>
              <w:rPr>
                <w:sz w:val="15"/>
                <w:szCs w:val="15"/>
                <w:color w:val="auto"/>
              </w:rPr>
            </w:pPr>
          </w:p>
        </w:tc>
        <w:tc>
          <w:tcPr>
            <w:tcW w:w="200" w:type="dxa"/>
            <w:vAlign w:val="bottom"/>
            <w:tcBorders>
              <w:top w:val="single" w:sz="8" w:color="auto"/>
            </w:tcBorders>
            <w:gridSpan w:val="2"/>
          </w:tcPr>
          <w:p>
            <w:pPr>
              <w:spacing w:after="0"/>
              <w:rPr>
                <w:sz w:val="15"/>
                <w:szCs w:val="15"/>
                <w:color w:val="auto"/>
              </w:rPr>
            </w:pPr>
          </w:p>
        </w:tc>
        <w:tc>
          <w:tcPr>
            <w:tcW w:w="1880" w:type="dxa"/>
            <w:vAlign w:val="bottom"/>
            <w:gridSpan w:val="11"/>
          </w:tcPr>
          <w:p>
            <w:pPr>
              <w:spacing w:after="0"/>
              <w:rPr>
                <w:sz w:val="15"/>
                <w:szCs w:val="15"/>
                <w:color w:val="auto"/>
              </w:rPr>
            </w:pPr>
          </w:p>
        </w:tc>
        <w:tc>
          <w:tcPr>
            <w:tcW w:w="28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consolidated subsidiaries</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(3,237)</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659</w:t>
            </w:r>
          </w:p>
        </w:tc>
        <w:tc>
          <w:tcPr>
            <w:tcW w:w="20" w:type="dxa"/>
            <w:vAlign w:val="bottom"/>
          </w:tcPr>
          <w:p>
            <w:pPr>
              <w:spacing w:after="0"/>
              <w:rPr>
                <w:sz w:val="13"/>
                <w:szCs w:val="13"/>
                <w:color w:val="auto"/>
              </w:rPr>
            </w:pPr>
          </w:p>
        </w:tc>
        <w:tc>
          <w:tcPr>
            <w:tcW w:w="1200" w:type="dxa"/>
            <w:vAlign w:val="bottom"/>
            <w:gridSpan w:val="9"/>
          </w:tcPr>
          <w:p>
            <w:pPr>
              <w:jc w:val="right"/>
              <w:ind w:right="340"/>
              <w:spacing w:after="0"/>
              <w:rPr>
                <w:sz w:val="20"/>
                <w:szCs w:val="20"/>
                <w:color w:val="auto"/>
              </w:rPr>
            </w:pPr>
            <w:r>
              <w:rPr>
                <w:rFonts w:ascii="Arial" w:cs="Arial" w:eastAsia="Arial" w:hAnsi="Arial"/>
                <w:sz w:val="12"/>
                <w:szCs w:val="12"/>
                <w:color w:val="auto"/>
              </w:rPr>
              <w:t>(1,025)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2"/>
                <w:szCs w:val="12"/>
                <w:color w:val="auto"/>
              </w:rPr>
              <w:t>(298)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1,014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(2,696)</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2"/>
                <w:szCs w:val="12"/>
                <w:color w:val="auto"/>
              </w:rPr>
              <w:t>Equity in income of consolidated subsidiaries</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(1,167)</w:t>
            </w:r>
          </w:p>
        </w:tc>
        <w:tc>
          <w:tcPr>
            <w:tcW w:w="1100" w:type="dxa"/>
            <w:vAlign w:val="bottom"/>
            <w:gridSpan w:val="12"/>
          </w:tcPr>
          <w:p>
            <w:pPr>
              <w:jc w:val="right"/>
              <w:ind w:right="20"/>
              <w:spacing w:after="0"/>
              <w:rPr>
                <w:sz w:val="20"/>
                <w:szCs w:val="20"/>
                <w:color w:val="auto"/>
              </w:rPr>
            </w:pPr>
            <w:r>
              <w:rPr>
                <w:rFonts w:ascii="Arial" w:cs="Arial" w:eastAsia="Arial" w:hAnsi="Arial"/>
                <w:sz w:val="12"/>
                <w:szCs w:val="12"/>
                <w:color w:val="auto"/>
              </w:rPr>
              <w:t>(118)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3"/>
          </w:tcPr>
          <w:p>
            <w:pPr>
              <w:jc w:val="right"/>
              <w:ind w:right="340"/>
              <w:spacing w:after="0"/>
              <w:rPr>
                <w:sz w:val="20"/>
                <w:szCs w:val="20"/>
                <w:color w:val="auto"/>
              </w:rPr>
            </w:pPr>
            <w:r>
              <w:rPr>
                <w:rFonts w:ascii="Arial" w:cs="Arial" w:eastAsia="Arial" w:hAnsi="Arial"/>
                <w:sz w:val="12"/>
                <w:szCs w:val="12"/>
                <w:u w:val="single" w:color="auto"/>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u w:val="single" w:color="auto"/>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u w:val="single" w:color="auto"/>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u w:val="single" w:color="auto"/>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1,285</w:t>
            </w:r>
          </w:p>
        </w:tc>
        <w:tc>
          <w:tcPr>
            <w:tcW w:w="1100" w:type="dxa"/>
            <w:vAlign w:val="bottom"/>
            <w:gridSpan w:val="5"/>
          </w:tcPr>
          <w:p>
            <w:pPr>
              <w:jc w:val="right"/>
              <w:spacing w:after="0"/>
              <w:rPr>
                <w:sz w:val="20"/>
                <w:szCs w:val="20"/>
                <w:color w:val="auto"/>
              </w:rPr>
            </w:pPr>
            <w:r>
              <w:rPr>
                <w:rFonts w:ascii="Arial" w:cs="Arial" w:eastAsia="Arial" w:hAnsi="Arial"/>
                <w:sz w:val="12"/>
                <w:szCs w:val="12"/>
                <w:u w:val="single" w:color="auto"/>
                <w:color w:val="auto"/>
              </w:rPr>
              <w:t>-</w:t>
            </w:r>
          </w:p>
        </w:tc>
        <w:tc>
          <w:tcPr>
            <w:tcW w:w="0" w:type="dxa"/>
            <w:vAlign w:val="bottom"/>
          </w:tcPr>
          <w:p>
            <w:pPr>
              <w:spacing w:after="0"/>
              <w:rPr>
                <w:sz w:val="1"/>
                <w:szCs w:val="1"/>
                <w:color w:val="auto"/>
              </w:rPr>
            </w:pPr>
          </w:p>
        </w:tc>
      </w:tr>
      <w:tr>
        <w:trPr>
          <w:trHeight w:val="168"/>
        </w:trPr>
        <w:tc>
          <w:tcPr>
            <w:tcW w:w="3180" w:type="dxa"/>
            <w:vAlign w:val="bottom"/>
            <w:gridSpan w:val="4"/>
          </w:tcPr>
          <w:p>
            <w:pPr>
              <w:spacing w:after="0"/>
              <w:rPr>
                <w:sz w:val="20"/>
                <w:szCs w:val="20"/>
                <w:color w:val="auto"/>
              </w:rPr>
            </w:pPr>
            <w:r>
              <w:rPr>
                <w:rFonts w:ascii="Arial" w:cs="Arial" w:eastAsia="Arial" w:hAnsi="Arial"/>
                <w:sz w:val="12"/>
                <w:szCs w:val="12"/>
                <w:color w:val="auto"/>
                <w:w w:val="99"/>
              </w:rPr>
              <w:t>Net income (loss) before cumulative effect of change in</w:t>
            </w:r>
          </w:p>
        </w:tc>
        <w:tc>
          <w:tcPr>
            <w:tcW w:w="360" w:type="dxa"/>
            <w:vAlign w:val="bottom"/>
            <w:tcBorders>
              <w:top w:val="single" w:sz="8" w:color="auto"/>
            </w:tcBorders>
            <w:gridSpan w:val="7"/>
          </w:tcPr>
          <w:p>
            <w:pPr>
              <w:spacing w:after="0"/>
              <w:rPr>
                <w:sz w:val="14"/>
                <w:szCs w:val="14"/>
                <w:color w:val="auto"/>
              </w:rPr>
            </w:pPr>
          </w:p>
        </w:tc>
        <w:tc>
          <w:tcPr>
            <w:tcW w:w="800" w:type="dxa"/>
            <w:vAlign w:val="bottom"/>
            <w:gridSpan w:val="6"/>
          </w:tcPr>
          <w:p>
            <w:pPr>
              <w:spacing w:after="0"/>
              <w:rPr>
                <w:sz w:val="14"/>
                <w:szCs w:val="14"/>
                <w:color w:val="auto"/>
              </w:rPr>
            </w:pPr>
          </w:p>
        </w:tc>
        <w:tc>
          <w:tcPr>
            <w:tcW w:w="280" w:type="dxa"/>
            <w:vAlign w:val="bottom"/>
            <w:tcBorders>
              <w:top w:val="single" w:sz="8" w:color="auto"/>
            </w:tcBorders>
            <w:gridSpan w:val="5"/>
          </w:tcPr>
          <w:p>
            <w:pPr>
              <w:spacing w:after="0"/>
              <w:rPr>
                <w:sz w:val="14"/>
                <w:szCs w:val="14"/>
                <w:color w:val="auto"/>
              </w:rPr>
            </w:pPr>
          </w:p>
        </w:tc>
        <w:tc>
          <w:tcPr>
            <w:tcW w:w="4840" w:type="dxa"/>
            <w:vAlign w:val="bottom"/>
            <w:gridSpan w:val="36"/>
          </w:tcPr>
          <w:p>
            <w:pPr>
              <w:spacing w:after="0"/>
              <w:rPr>
                <w:sz w:val="14"/>
                <w:szCs w:val="14"/>
                <w:color w:val="auto"/>
              </w:rPr>
            </w:pPr>
          </w:p>
        </w:tc>
        <w:tc>
          <w:tcPr>
            <w:tcW w:w="220" w:type="dxa"/>
            <w:vAlign w:val="bottom"/>
            <w:tcBorders>
              <w:top w:val="single" w:sz="8" w:color="auto"/>
            </w:tcBorders>
            <w:gridSpan w:val="2"/>
          </w:tcPr>
          <w:p>
            <w:pPr>
              <w:spacing w:after="0"/>
              <w:rPr>
                <w:sz w:val="14"/>
                <w:szCs w:val="14"/>
                <w:color w:val="auto"/>
              </w:rPr>
            </w:pPr>
          </w:p>
        </w:tc>
        <w:tc>
          <w:tcPr>
            <w:tcW w:w="1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accounting principle</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(4,404)</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541</w:t>
            </w:r>
          </w:p>
        </w:tc>
        <w:tc>
          <w:tcPr>
            <w:tcW w:w="20" w:type="dxa"/>
            <w:vAlign w:val="bottom"/>
          </w:tcPr>
          <w:p>
            <w:pPr>
              <w:spacing w:after="0"/>
              <w:rPr>
                <w:sz w:val="13"/>
                <w:szCs w:val="13"/>
                <w:color w:val="auto"/>
              </w:rPr>
            </w:pPr>
          </w:p>
        </w:tc>
        <w:tc>
          <w:tcPr>
            <w:tcW w:w="1200" w:type="dxa"/>
            <w:vAlign w:val="bottom"/>
            <w:gridSpan w:val="9"/>
          </w:tcPr>
          <w:p>
            <w:pPr>
              <w:jc w:val="right"/>
              <w:ind w:right="340"/>
              <w:spacing w:after="0"/>
              <w:rPr>
                <w:sz w:val="20"/>
                <w:szCs w:val="20"/>
                <w:color w:val="auto"/>
              </w:rPr>
            </w:pPr>
            <w:r>
              <w:rPr>
                <w:rFonts w:ascii="Arial" w:cs="Arial" w:eastAsia="Arial" w:hAnsi="Arial"/>
                <w:sz w:val="12"/>
                <w:szCs w:val="12"/>
                <w:color w:val="auto"/>
              </w:rPr>
              <w:t>(1,025)</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2"/>
                <w:szCs w:val="12"/>
                <w:color w:val="auto"/>
              </w:rPr>
              <w:t>(298)</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1,014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1,285</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(2,696)</w:t>
            </w:r>
          </w:p>
        </w:tc>
        <w:tc>
          <w:tcPr>
            <w:tcW w:w="0" w:type="dxa"/>
            <w:vAlign w:val="bottom"/>
          </w:tcPr>
          <w:p>
            <w:pPr>
              <w:spacing w:after="0"/>
              <w:rPr>
                <w:sz w:val="1"/>
                <w:szCs w:val="1"/>
                <w:color w:val="auto"/>
              </w:rPr>
            </w:pPr>
          </w:p>
        </w:tc>
      </w:tr>
      <w:tr>
        <w:trPr>
          <w:trHeight w:val="164"/>
        </w:trPr>
        <w:tc>
          <w:tcPr>
            <w:tcW w:w="10780" w:type="dxa"/>
            <w:vAlign w:val="bottom"/>
            <w:gridSpan w:val="65"/>
          </w:tcPr>
          <w:p>
            <w:pPr>
              <w:spacing w:after="0"/>
              <w:rPr>
                <w:sz w:val="20"/>
                <w:szCs w:val="20"/>
                <w:color w:val="auto"/>
              </w:rPr>
            </w:pPr>
            <w:r>
              <w:rPr>
                <w:rFonts w:ascii="Arial" w:cs="Arial" w:eastAsia="Arial" w:hAnsi="Arial"/>
                <w:sz w:val="12"/>
                <w:szCs w:val="12"/>
                <w:color w:val="auto"/>
              </w:rPr>
              <w:t>Cumulative effect of change in accounting principle,</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Arial" w:cs="Arial" w:eastAsia="Arial" w:hAnsi="Arial"/>
                <w:sz w:val="12"/>
                <w:szCs w:val="12"/>
                <w:color w:val="auto"/>
              </w:rPr>
              <w:t>net of income taxes</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(1,708)</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(1,708)</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2"/>
                <w:szCs w:val="12"/>
                <w:color w:val="auto"/>
              </w:rPr>
              <w:t>Net income (loss)</w:t>
            </w:r>
          </w:p>
        </w:tc>
        <w:tc>
          <w:tcPr>
            <w:tcW w:w="620" w:type="dxa"/>
            <w:vAlign w:val="bottom"/>
            <w:gridSpan w:val="10"/>
          </w:tcPr>
          <w:p>
            <w:pPr>
              <w:jc w:val="right"/>
              <w:spacing w:after="0"/>
              <w:rPr>
                <w:sz w:val="20"/>
                <w:szCs w:val="20"/>
                <w:color w:val="auto"/>
              </w:rPr>
            </w:pPr>
            <w:r>
              <w:rPr>
                <w:rFonts w:ascii="Arial" w:cs="Arial" w:eastAsia="Arial" w:hAnsi="Arial"/>
                <w:sz w:val="12"/>
                <w:szCs w:val="12"/>
                <w:color w:val="auto"/>
              </w:rPr>
              <w:t>(4,404)</w:t>
            </w:r>
          </w:p>
        </w:tc>
        <w:tc>
          <w:tcPr>
            <w:tcW w:w="1080" w:type="dxa"/>
            <w:vAlign w:val="bottom"/>
            <w:gridSpan w:val="11"/>
          </w:tcPr>
          <w:p>
            <w:pPr>
              <w:jc w:val="right"/>
              <w:spacing w:after="0"/>
              <w:rPr>
                <w:sz w:val="20"/>
                <w:szCs w:val="20"/>
                <w:color w:val="auto"/>
              </w:rPr>
            </w:pPr>
            <w:r>
              <w:rPr>
                <w:rFonts w:ascii="Arial" w:cs="Arial" w:eastAsia="Arial" w:hAnsi="Arial"/>
                <w:sz w:val="12"/>
                <w:szCs w:val="12"/>
                <w:color w:val="auto"/>
              </w:rPr>
              <w:t>(1,167)</w:t>
            </w:r>
          </w:p>
        </w:tc>
        <w:tc>
          <w:tcPr>
            <w:tcW w:w="20" w:type="dxa"/>
            <w:vAlign w:val="bottom"/>
          </w:tcPr>
          <w:p>
            <w:pPr>
              <w:spacing w:after="0"/>
              <w:rPr>
                <w:sz w:val="19"/>
                <w:szCs w:val="19"/>
                <w:color w:val="auto"/>
              </w:rPr>
            </w:pPr>
          </w:p>
        </w:tc>
        <w:tc>
          <w:tcPr>
            <w:tcW w:w="1200" w:type="dxa"/>
            <w:vAlign w:val="bottom"/>
            <w:gridSpan w:val="9"/>
          </w:tcPr>
          <w:p>
            <w:pPr>
              <w:jc w:val="right"/>
              <w:ind w:right="340"/>
              <w:spacing w:after="0"/>
              <w:rPr>
                <w:sz w:val="20"/>
                <w:szCs w:val="20"/>
                <w:color w:val="auto"/>
              </w:rPr>
            </w:pPr>
            <w:r>
              <w:rPr>
                <w:rFonts w:ascii="Arial" w:cs="Arial" w:eastAsia="Arial" w:hAnsi="Arial"/>
                <w:sz w:val="12"/>
                <w:szCs w:val="12"/>
                <w:color w:val="auto"/>
              </w:rPr>
              <w:t>(1,025)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2"/>
                <w:szCs w:val="12"/>
                <w:color w:val="auto"/>
              </w:rPr>
              <w:t>191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6"/>
          </w:tcPr>
          <w:p>
            <w:pPr>
              <w:jc w:val="right"/>
              <w:ind w:right="80"/>
              <w:spacing w:after="0"/>
              <w:rPr>
                <w:sz w:val="20"/>
                <w:szCs w:val="20"/>
                <w:color w:val="auto"/>
              </w:rPr>
            </w:pPr>
            <w:r>
              <w:rPr>
                <w:rFonts w:ascii="Arial" w:cs="Arial" w:eastAsia="Arial" w:hAnsi="Arial"/>
                <w:sz w:val="12"/>
                <w:szCs w:val="12"/>
                <w:color w:val="auto"/>
              </w:rPr>
              <w:t>(298)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5"/>
          </w:tcPr>
          <w:p>
            <w:pPr>
              <w:jc w:val="right"/>
              <w:spacing w:after="0"/>
              <w:rPr>
                <w:sz w:val="20"/>
                <w:szCs w:val="20"/>
                <w:color w:val="auto"/>
              </w:rPr>
            </w:pPr>
            <w:r>
              <w:rPr>
                <w:rFonts w:ascii="Arial" w:cs="Arial" w:eastAsia="Arial" w:hAnsi="Arial"/>
                <w:sz w:val="12"/>
                <w:szCs w:val="12"/>
                <w:color w:val="auto"/>
              </w:rPr>
              <w:t>1,014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6"/>
          </w:tcPr>
          <w:p>
            <w:pPr>
              <w:jc w:val="right"/>
              <w:spacing w:after="0"/>
              <w:rPr>
                <w:sz w:val="20"/>
                <w:szCs w:val="20"/>
                <w:color w:val="auto"/>
              </w:rPr>
            </w:pPr>
            <w:r>
              <w:rPr>
                <w:rFonts w:ascii="Arial" w:cs="Arial" w:eastAsia="Arial" w:hAnsi="Arial"/>
                <w:sz w:val="12"/>
                <w:szCs w:val="12"/>
                <w:color w:val="auto"/>
              </w:rPr>
              <w:t>1,285</w:t>
            </w:r>
          </w:p>
        </w:tc>
        <w:tc>
          <w:tcPr>
            <w:tcW w:w="1100" w:type="dxa"/>
            <w:vAlign w:val="bottom"/>
            <w:gridSpan w:val="5"/>
          </w:tcPr>
          <w:p>
            <w:pPr>
              <w:jc w:val="right"/>
              <w:spacing w:after="0"/>
              <w:rPr>
                <w:sz w:val="20"/>
                <w:szCs w:val="20"/>
                <w:color w:val="auto"/>
              </w:rPr>
            </w:pPr>
            <w:r>
              <w:rPr>
                <w:rFonts w:ascii="Arial" w:cs="Arial" w:eastAsia="Arial" w:hAnsi="Arial"/>
                <w:sz w:val="12"/>
                <w:szCs w:val="12"/>
                <w:color w:val="auto"/>
              </w:rPr>
              <w:t>(4,404)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40" w:type="dxa"/>
            <w:vAlign w:val="bottom"/>
            <w:gridSpan w:val="37"/>
          </w:tcPr>
          <w:p>
            <w:pPr>
              <w:jc w:val="center"/>
              <w:ind w:right="480"/>
              <w:spacing w:after="0"/>
              <w:rPr>
                <w:sz w:val="20"/>
                <w:szCs w:val="20"/>
                <w:color w:val="auto"/>
              </w:rPr>
            </w:pPr>
            <w:r>
              <w:rPr>
                <w:rFonts w:ascii="Arial" w:cs="Arial" w:eastAsia="Arial" w:hAnsi="Arial"/>
                <w:sz w:val="12"/>
                <w:szCs w:val="12"/>
                <w:b w:val="1"/>
                <w:bCs w:val="1"/>
                <w:color w:val="auto"/>
                <w:w w:val="90"/>
              </w:rPr>
              <w:t>Supplemental Condensed Consolidating Statement of Cash Flows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gridSpan w:val="23"/>
          </w:tcPr>
          <w:p>
            <w:pPr>
              <w:jc w:val="center"/>
              <w:ind w:right="400"/>
              <w:spacing w:after="0"/>
              <w:rPr>
                <w:sz w:val="20"/>
                <w:szCs w:val="20"/>
                <w:color w:val="auto"/>
              </w:rPr>
            </w:pPr>
            <w:r>
              <w:rPr>
                <w:rFonts w:ascii="Arial" w:cs="Arial" w:eastAsia="Arial" w:hAnsi="Arial"/>
                <w:sz w:val="12"/>
                <w:szCs w:val="12"/>
                <w:b w:val="1"/>
                <w:bCs w:val="1"/>
                <w:color w:val="auto"/>
                <w:w w:val="92"/>
              </w:rPr>
              <w:t>For the six months ended January 31, 2003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14"/>
          </w:tcPr>
          <w:p>
            <w:pPr>
              <w:jc w:val="center"/>
              <w:spacing w:after="0"/>
              <w:rPr>
                <w:sz w:val="20"/>
                <w:szCs w:val="20"/>
                <w:color w:val="auto"/>
              </w:rPr>
            </w:pPr>
            <w:r>
              <w:rPr>
                <w:rFonts w:ascii="Arial" w:cs="Arial" w:eastAsia="Arial" w:hAnsi="Arial"/>
                <w:sz w:val="12"/>
                <w:szCs w:val="12"/>
                <w:b w:val="1"/>
                <w:bCs w:val="1"/>
                <w:color w:val="auto"/>
                <w:w w:val="91"/>
              </w:rPr>
              <w:t>(in thousands of dollars)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2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4"/>
            <w:vMerge w:val="restart"/>
          </w:tcPr>
          <w:p>
            <w:pPr>
              <w:spacing w:after="0"/>
              <w:rPr>
                <w:sz w:val="20"/>
                <w:szCs w:val="20"/>
                <w:color w:val="auto"/>
              </w:rPr>
            </w:pPr>
            <w:r>
              <w:rPr>
                <w:rFonts w:ascii="Arial" w:cs="Arial" w:eastAsia="Arial" w:hAnsi="Arial"/>
                <w:sz w:val="12"/>
                <w:szCs w:val="12"/>
                <w:b w:val="1"/>
                <w:bCs w:val="1"/>
                <w:color w:val="auto"/>
                <w:w w:val="85"/>
              </w:rPr>
              <w:t>Parent</w:t>
            </w:r>
          </w:p>
        </w:tc>
        <w:tc>
          <w:tcPr>
            <w:tcW w:w="180" w:type="dxa"/>
            <w:vAlign w:val="bottom"/>
            <w:gridSpan w:val="5"/>
            <w:vMerge w:val="restart"/>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11"/>
          </w:tcPr>
          <w:p>
            <w:pPr>
              <w:jc w:val="center"/>
              <w:ind w:right="240"/>
              <w:spacing w:after="0"/>
              <w:rPr>
                <w:sz w:val="20"/>
                <w:szCs w:val="20"/>
                <w:color w:val="auto"/>
              </w:rPr>
            </w:pPr>
            <w:r>
              <w:rPr>
                <w:rFonts w:ascii="Arial" w:cs="Arial" w:eastAsia="Arial" w:hAnsi="Arial"/>
                <w:sz w:val="12"/>
                <w:szCs w:val="12"/>
                <w:b w:val="1"/>
                <w:bCs w:val="1"/>
                <w:color w:val="auto"/>
                <w:w w:val="97"/>
              </w:rPr>
              <w:t>100% Owned</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gridSpan w:val="4"/>
            <w:vMerge w:val="restart"/>
          </w:tcPr>
          <w:p>
            <w:pPr>
              <w:jc w:val="center"/>
              <w:spacing w:after="0"/>
              <w:rPr>
                <w:sz w:val="20"/>
                <w:szCs w:val="20"/>
                <w:color w:val="auto"/>
              </w:rPr>
            </w:pPr>
            <w:r>
              <w:rPr>
                <w:rFonts w:ascii="Arial" w:cs="Arial" w:eastAsia="Arial" w:hAnsi="Arial"/>
                <w:sz w:val="12"/>
                <w:szCs w:val="12"/>
                <w:b w:val="1"/>
                <w:bCs w:val="1"/>
                <w:color w:val="auto"/>
                <w:w w:val="99"/>
              </w:rPr>
              <w:t>Other</w:t>
            </w:r>
          </w:p>
        </w:tc>
        <w:tc>
          <w:tcPr>
            <w:tcW w:w="260" w:type="dxa"/>
            <w:vAlign w:val="bottom"/>
            <w:gridSpan w:val="2"/>
            <w:vMerge w:val="restart"/>
          </w:tcPr>
          <w:p>
            <w:pPr>
              <w:spacing w:after="0"/>
              <w:rPr>
                <w:sz w:val="24"/>
                <w:szCs w:val="24"/>
                <w:color w:val="auto"/>
              </w:rPr>
            </w:pPr>
          </w:p>
        </w:tc>
        <w:tc>
          <w:tcPr>
            <w:tcW w:w="880" w:type="dxa"/>
            <w:vAlign w:val="bottom"/>
            <w:gridSpan w:val="7"/>
            <w:vMerge w:val="restart"/>
          </w:tcPr>
          <w:p>
            <w:pPr>
              <w:jc w:val="right"/>
              <w:ind w:right="140"/>
              <w:spacing w:after="0"/>
              <w:rPr>
                <w:sz w:val="20"/>
                <w:szCs w:val="20"/>
                <w:color w:val="auto"/>
              </w:rPr>
            </w:pPr>
            <w:r>
              <w:rPr>
                <w:rFonts w:ascii="Arial" w:cs="Arial" w:eastAsia="Arial" w:hAnsi="Arial"/>
                <w:sz w:val="12"/>
                <w:szCs w:val="12"/>
                <w:b w:val="1"/>
                <w:bCs w:val="1"/>
                <w:color w:val="auto"/>
              </w:rPr>
              <w:t>Eliminating</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gridSpan w:val="4"/>
            <w:vMerge w:val="continue"/>
          </w:tcPr>
          <w:p>
            <w:pPr>
              <w:spacing w:after="0"/>
              <w:rPr>
                <w:sz w:val="10"/>
                <w:szCs w:val="10"/>
                <w:color w:val="auto"/>
              </w:rPr>
            </w:pPr>
          </w:p>
        </w:tc>
        <w:tc>
          <w:tcPr>
            <w:tcW w:w="18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3"/>
          </w:tcPr>
          <w:p>
            <w:pPr>
              <w:jc w:val="center"/>
              <w:spacing w:after="0" w:line="115" w:lineRule="exact"/>
              <w:rPr>
                <w:sz w:val="20"/>
                <w:szCs w:val="20"/>
                <w:color w:val="auto"/>
              </w:rPr>
            </w:pPr>
            <w:r>
              <w:rPr>
                <w:rFonts w:ascii="Arial" w:cs="Arial" w:eastAsia="Arial" w:hAnsi="Arial"/>
                <w:sz w:val="12"/>
                <w:szCs w:val="12"/>
                <w:b w:val="1"/>
                <w:bCs w:val="1"/>
                <w:color w:val="auto"/>
                <w:w w:val="96"/>
              </w:rPr>
              <w:t>Guarantor</w:t>
            </w:r>
          </w:p>
        </w:tc>
        <w:tc>
          <w:tcPr>
            <w:tcW w:w="80" w:type="dxa"/>
            <w:vAlign w:val="bottom"/>
            <w:tcBorders>
              <w:top w:val="single" w:sz="8" w:color="auto"/>
            </w:tcBorders>
            <w:gridSpan w:val="2"/>
          </w:tcPr>
          <w:p>
            <w:pPr>
              <w:spacing w:after="0"/>
              <w:rPr>
                <w:sz w:val="10"/>
                <w:szCs w:val="10"/>
                <w:color w:val="auto"/>
              </w:rPr>
            </w:pPr>
          </w:p>
        </w:tc>
        <w:tc>
          <w:tcPr>
            <w:tcW w:w="240" w:type="dxa"/>
            <w:vAlign w:val="bottom"/>
            <w:gridSpan w:val="5"/>
          </w:tcPr>
          <w:p>
            <w:pPr>
              <w:spacing w:after="0"/>
              <w:rPr>
                <w:sz w:val="10"/>
                <w:szCs w:val="10"/>
                <w:color w:val="auto"/>
              </w:rPr>
            </w:pPr>
          </w:p>
        </w:tc>
        <w:tc>
          <w:tcPr>
            <w:tcW w:w="42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96"/>
              </w:rPr>
              <w:t>JHL&amp;S</w:t>
            </w:r>
          </w:p>
        </w:tc>
        <w:tc>
          <w:tcPr>
            <w:tcW w:w="340" w:type="dxa"/>
            <w:vAlign w:val="bottom"/>
            <w:gridSpan w:val="4"/>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RockResorts</w:t>
            </w:r>
          </w:p>
        </w:tc>
        <w:tc>
          <w:tcPr>
            <w:tcW w:w="620" w:type="dxa"/>
            <w:vAlign w:val="bottom"/>
            <w:gridSpan w:val="5"/>
            <w:vMerge w:val="restart"/>
          </w:tcPr>
          <w:p>
            <w:pPr>
              <w:jc w:val="right"/>
              <w:ind w:right="120"/>
              <w:spacing w:after="0"/>
              <w:rPr>
                <w:sz w:val="20"/>
                <w:szCs w:val="20"/>
                <w:color w:val="auto"/>
              </w:rPr>
            </w:pPr>
            <w:r>
              <w:rPr>
                <w:rFonts w:ascii="Arial" w:cs="Arial" w:eastAsia="Arial" w:hAnsi="Arial"/>
                <w:sz w:val="12"/>
                <w:szCs w:val="12"/>
                <w:b w:val="1"/>
                <w:bCs w:val="1"/>
                <w:color w:val="auto"/>
                <w:w w:val="93"/>
              </w:rPr>
              <w:t>Larkspur</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gridSpan w:val="4"/>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880" w:type="dxa"/>
            <w:vAlign w:val="bottom"/>
            <w:gridSpan w:val="7"/>
            <w:vMerge w:val="continue"/>
          </w:tcPr>
          <w:p>
            <w:pPr>
              <w:spacing w:after="0"/>
              <w:rPr>
                <w:sz w:val="10"/>
                <w:szCs w:val="10"/>
                <w:color w:val="auto"/>
              </w:rPr>
            </w:pPr>
          </w:p>
        </w:tc>
        <w:tc>
          <w:tcPr>
            <w:tcW w:w="900" w:type="dxa"/>
            <w:vAlign w:val="bottom"/>
            <w:gridSpan w:val="6"/>
            <w:vMerge w:val="restart"/>
          </w:tcPr>
          <w:p>
            <w:pPr>
              <w:jc w:val="right"/>
              <w:ind w:right="220"/>
              <w:spacing w:after="0"/>
              <w:rPr>
                <w:sz w:val="20"/>
                <w:szCs w:val="20"/>
                <w:color w:val="auto"/>
              </w:rPr>
            </w:pPr>
            <w:r>
              <w:rPr>
                <w:rFonts w:ascii="Arial" w:cs="Arial" w:eastAsia="Arial" w:hAnsi="Arial"/>
                <w:sz w:val="12"/>
                <w:szCs w:val="12"/>
                <w:b w:val="1"/>
                <w:bCs w:val="1"/>
                <w:color w:val="auto"/>
                <w:w w:val="86"/>
              </w:rPr>
              <w:t>Consolidated</w:t>
            </w: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tcBorders>
              <w:right w:val="single" w:sz="8" w:color="auto"/>
            </w:tcBorders>
            <w:gridSpan w:val="4"/>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6"/>
            <w:vMerge w:val="restart"/>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340" w:type="dxa"/>
            <w:vAlign w:val="bottom"/>
            <w:gridSpan w:val="4"/>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900" w:type="dxa"/>
            <w:vAlign w:val="bottom"/>
            <w:gridSpan w:val="4"/>
            <w:vMerge w:val="continue"/>
          </w:tcPr>
          <w:p>
            <w:pPr>
              <w:spacing w:after="0" w:line="20" w:lineRule="exact"/>
              <w:rPr>
                <w:sz w:val="1"/>
                <w:szCs w:val="1"/>
                <w:color w:val="auto"/>
              </w:rPr>
            </w:pPr>
          </w:p>
        </w:tc>
        <w:tc>
          <w:tcPr>
            <w:tcW w:w="620" w:type="dxa"/>
            <w:vAlign w:val="bottom"/>
            <w:gridSpan w:val="5"/>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gridSpan w:val="6"/>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60" w:type="dxa"/>
            <w:vAlign w:val="bottom"/>
            <w:gridSpan w:val="4"/>
          </w:tcPr>
          <w:p>
            <w:pPr>
              <w:spacing w:after="0"/>
              <w:rPr>
                <w:sz w:val="20"/>
                <w:szCs w:val="20"/>
                <w:color w:val="auto"/>
              </w:rPr>
            </w:pPr>
            <w:r>
              <w:rPr>
                <w:rFonts w:ascii="Arial" w:cs="Arial" w:eastAsia="Arial" w:hAnsi="Arial"/>
                <w:sz w:val="10"/>
                <w:szCs w:val="10"/>
                <w:b w:val="1"/>
                <w:bCs w:val="1"/>
                <w:color w:val="auto"/>
                <w:w w:val="70"/>
              </w:rPr>
              <w:t>Company</w:t>
            </w:r>
          </w:p>
        </w:tc>
        <w:tc>
          <w:tcPr>
            <w:tcW w:w="20" w:type="dxa"/>
            <w:vAlign w:val="bottom"/>
            <w:vMerge w:val="continue"/>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gridSpan w:val="3"/>
          </w:tcPr>
          <w:p>
            <w:pPr>
              <w:jc w:val="center"/>
              <w:spacing w:after="0" w:line="115" w:lineRule="exact"/>
              <w:rPr>
                <w:sz w:val="20"/>
                <w:szCs w:val="20"/>
                <w:color w:val="auto"/>
              </w:rPr>
            </w:pPr>
            <w:r>
              <w:rPr>
                <w:rFonts w:ascii="Arial" w:cs="Arial" w:eastAsia="Arial" w:hAnsi="Arial"/>
                <w:sz w:val="12"/>
                <w:szCs w:val="12"/>
                <w:b w:val="1"/>
                <w:bCs w:val="1"/>
                <w:color w:val="auto"/>
                <w:w w:val="78"/>
              </w:rPr>
              <w:t>Subsidiaries</w:t>
            </w:r>
          </w:p>
        </w:tc>
        <w:tc>
          <w:tcPr>
            <w:tcW w:w="20" w:type="dxa"/>
            <w:vAlign w:val="bottom"/>
            <w:vMerge w:val="continue"/>
          </w:tcPr>
          <w:p>
            <w:pPr>
              <w:spacing w:after="0"/>
              <w:rPr>
                <w:sz w:val="10"/>
                <w:szCs w:val="10"/>
                <w:color w:val="auto"/>
              </w:rPr>
            </w:pPr>
          </w:p>
        </w:tc>
        <w:tc>
          <w:tcPr>
            <w:tcW w:w="300" w:type="dxa"/>
            <w:vAlign w:val="bottom"/>
            <w:gridSpan w:val="6"/>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340" w:type="dxa"/>
            <w:vAlign w:val="bottom"/>
            <w:gridSpan w:val="4"/>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900" w:type="dxa"/>
            <w:vAlign w:val="bottom"/>
            <w:gridSpan w:val="4"/>
            <w:vMerge w:val="continue"/>
          </w:tcPr>
          <w:p>
            <w:pPr>
              <w:spacing w:after="0"/>
              <w:rPr>
                <w:sz w:val="10"/>
                <w:szCs w:val="10"/>
                <w:color w:val="auto"/>
              </w:rPr>
            </w:pPr>
          </w:p>
        </w:tc>
        <w:tc>
          <w:tcPr>
            <w:tcW w:w="62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7"/>
          </w:tcPr>
          <w:p>
            <w:pPr>
              <w:jc w:val="center"/>
              <w:ind w:right="100"/>
              <w:spacing w:after="0" w:line="115" w:lineRule="exact"/>
              <w:rPr>
                <w:sz w:val="20"/>
                <w:szCs w:val="20"/>
                <w:color w:val="auto"/>
              </w:rPr>
            </w:pPr>
            <w:r>
              <w:rPr>
                <w:rFonts w:ascii="Arial" w:cs="Arial" w:eastAsia="Arial" w:hAnsi="Arial"/>
                <w:sz w:val="12"/>
                <w:szCs w:val="12"/>
                <w:b w:val="1"/>
                <w:bCs w:val="1"/>
                <w:color w:val="auto"/>
                <w:w w:val="89"/>
              </w:rPr>
              <w:t>Subsidiaries</w:t>
            </w: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gridSpan w:val="4"/>
          </w:tcPr>
          <w:p>
            <w:pPr>
              <w:jc w:val="right"/>
              <w:ind w:right="120"/>
              <w:spacing w:after="0" w:line="115" w:lineRule="exact"/>
              <w:rPr>
                <w:sz w:val="20"/>
                <w:szCs w:val="20"/>
                <w:color w:val="auto"/>
              </w:rPr>
            </w:pPr>
            <w:r>
              <w:rPr>
                <w:rFonts w:ascii="Arial" w:cs="Arial" w:eastAsia="Arial" w:hAnsi="Arial"/>
                <w:sz w:val="12"/>
                <w:szCs w:val="12"/>
                <w:b w:val="1"/>
                <w:bCs w:val="1"/>
                <w:color w:val="auto"/>
                <w:w w:val="88"/>
              </w:rPr>
              <w:t>Entries</w:t>
            </w:r>
          </w:p>
        </w:tc>
        <w:tc>
          <w:tcPr>
            <w:tcW w:w="140" w:type="dxa"/>
            <w:vAlign w:val="bottom"/>
            <w:vMerge w:val="continue"/>
          </w:tcPr>
          <w:p>
            <w:pPr>
              <w:spacing w:after="0"/>
              <w:rPr>
                <w:sz w:val="10"/>
                <w:szCs w:val="10"/>
                <w:color w:val="auto"/>
              </w:rPr>
            </w:pPr>
          </w:p>
        </w:tc>
        <w:tc>
          <w:tcPr>
            <w:tcW w:w="900" w:type="dxa"/>
            <w:vAlign w:val="bottom"/>
            <w:gridSpan w:val="6"/>
            <w:vMerge w:val="continue"/>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60" w:type="dxa"/>
            <w:vAlign w:val="bottom"/>
            <w:gridSpan w:val="6"/>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gridSpan w:val="2"/>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(4,036)</w:t>
            </w:r>
          </w:p>
        </w:tc>
        <w:tc>
          <w:tcPr>
            <w:tcW w:w="6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127,028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(536)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(161)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w w:val="93"/>
              </w:rPr>
              <w:t>3,807</w:t>
            </w:r>
          </w:p>
        </w:tc>
        <w:tc>
          <w:tcPr>
            <w:tcW w:w="120" w:type="dxa"/>
            <w:vAlign w:val="bottom"/>
          </w:tcPr>
          <w:p>
            <w:pPr>
              <w:spacing w:after="0"/>
              <w:rPr>
                <w:sz w:val="21"/>
                <w:szCs w:val="21"/>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126,102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2"/>
        </w:trPr>
        <w:tc>
          <w:tcPr>
            <w:tcW w:w="10780" w:type="dxa"/>
            <w:vAlign w:val="bottom"/>
            <w:gridSpan w:val="65"/>
          </w:tcPr>
          <w:p>
            <w:pPr>
              <w:spacing w:after="0"/>
              <w:rPr>
                <w:sz w:val="20"/>
                <w:szCs w:val="20"/>
                <w:color w:val="auto"/>
              </w:rPr>
            </w:pPr>
            <w:r>
              <w:rPr>
                <w:rFonts w:ascii="Arial" w:cs="Arial" w:eastAsia="Arial" w:hAnsi="Arial"/>
                <w:sz w:val="12"/>
                <w:szCs w:val="12"/>
                <w:color w:val="auto"/>
              </w:rPr>
              <w:t>Cash flows from investing activities:</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Resort capital expenditures</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(59,946)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(646)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(20)</w:t>
            </w: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(5,761)</w:t>
            </w:r>
          </w:p>
        </w:tc>
        <w:tc>
          <w:tcPr>
            <w:tcW w:w="120" w:type="dxa"/>
            <w:vAlign w:val="bottom"/>
          </w:tcPr>
          <w:p>
            <w:pPr>
              <w:spacing w:after="0"/>
              <w:rPr>
                <w:sz w:val="21"/>
                <w:szCs w:val="21"/>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(66,373)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Investments in real estate</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(27,961)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(27,961)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2"/>
                <w:szCs w:val="12"/>
                <w:color w:val="auto"/>
              </w:rPr>
              <w:t>Other investing activities</w:t>
            </w:r>
          </w:p>
        </w:tc>
        <w:tc>
          <w:tcPr>
            <w:tcW w:w="560" w:type="dxa"/>
            <w:vAlign w:val="bottom"/>
            <w:gridSpan w:val="9"/>
          </w:tcPr>
          <w:p>
            <w:pPr>
              <w:jc w:val="right"/>
              <w:spacing w:after="0"/>
              <w:rPr>
                <w:sz w:val="20"/>
                <w:szCs w:val="20"/>
                <w:color w:val="auto"/>
              </w:rPr>
            </w:pPr>
            <w:r>
              <w:rPr>
                <w:rFonts w:ascii="Arial" w:cs="Arial" w:eastAsia="Arial" w:hAnsi="Arial"/>
                <w:sz w:val="12"/>
                <w:szCs w:val="12"/>
                <w:u w:val="single" w:color="auto"/>
                <w:color w:val="auto"/>
              </w:rPr>
              <w:t>-</w:t>
            </w:r>
          </w:p>
        </w:tc>
        <w:tc>
          <w:tcPr>
            <w:tcW w:w="60" w:type="dxa"/>
            <w:vAlign w:val="bottom"/>
          </w:tcPr>
          <w:p>
            <w:pPr>
              <w:spacing w:after="0"/>
              <w:rPr>
                <w:sz w:val="19"/>
                <w:szCs w:val="19"/>
                <w:color w:val="auto"/>
              </w:rPr>
            </w:pPr>
          </w:p>
        </w:tc>
        <w:tc>
          <w:tcPr>
            <w:tcW w:w="480" w:type="dxa"/>
            <w:vAlign w:val="bottom"/>
            <w:gridSpan w:val="4"/>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78"/>
              </w:rPr>
              <w:t>(1,934)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u w:val="single" w:color="auto"/>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240" w:type="dxa"/>
            <w:vAlign w:val="bottom"/>
          </w:tcPr>
          <w:p>
            <w:pPr>
              <w:spacing w:after="0"/>
              <w:rPr>
                <w:sz w:val="19"/>
                <w:szCs w:val="19"/>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u w:val="single" w:color="auto"/>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u w:val="single" w:color="auto"/>
                <w:color w:val="auto"/>
              </w:rPr>
              <w:t>-</w:t>
            </w:r>
          </w:p>
        </w:tc>
        <w:tc>
          <w:tcPr>
            <w:tcW w:w="120" w:type="dxa"/>
            <w:vAlign w:val="bottom"/>
          </w:tcPr>
          <w:p>
            <w:pPr>
              <w:spacing w:after="0"/>
              <w:rPr>
                <w:sz w:val="19"/>
                <w:szCs w:val="19"/>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4"/>
              </w:rPr>
              <w:t>(1,934)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12"/>
                <w:szCs w:val="12"/>
                <w:color w:val="auto"/>
              </w:rPr>
              <w:t>Net cash provided by (used in) investing activities</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(89,841)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(646)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(20)</w:t>
            </w:r>
          </w:p>
        </w:tc>
        <w:tc>
          <w:tcPr>
            <w:tcW w:w="840" w:type="dxa"/>
            <w:vAlign w:val="bottom"/>
            <w:gridSpan w:val="7"/>
          </w:tcPr>
          <w:p>
            <w:pPr>
              <w:jc w:val="right"/>
              <w:spacing w:after="0"/>
              <w:rPr>
                <w:sz w:val="20"/>
                <w:szCs w:val="20"/>
                <w:color w:val="auto"/>
              </w:rPr>
            </w:pPr>
            <w:r>
              <w:rPr>
                <w:rFonts w:ascii="Arial" w:cs="Arial" w:eastAsia="Arial" w:hAnsi="Arial"/>
                <w:sz w:val="12"/>
                <w:szCs w:val="12"/>
                <w:color w:val="auto"/>
              </w:rPr>
              <w:t>(5,761)</w:t>
            </w:r>
          </w:p>
        </w:tc>
        <w:tc>
          <w:tcPr>
            <w:tcW w:w="120" w:type="dxa"/>
            <w:vAlign w:val="bottom"/>
          </w:tcPr>
          <w:p>
            <w:pPr>
              <w:spacing w:after="0"/>
              <w:rPr>
                <w:sz w:val="21"/>
                <w:szCs w:val="21"/>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(96,268)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2"/>
        </w:trPr>
        <w:tc>
          <w:tcPr>
            <w:tcW w:w="10780" w:type="dxa"/>
            <w:vAlign w:val="bottom"/>
            <w:gridSpan w:val="65"/>
          </w:tcPr>
          <w:p>
            <w:pPr>
              <w:spacing w:after="0"/>
              <w:rPr>
                <w:sz w:val="20"/>
                <w:szCs w:val="20"/>
                <w:color w:val="auto"/>
              </w:rPr>
            </w:pPr>
            <w:r>
              <w:rPr>
                <w:rFonts w:ascii="Arial" w:cs="Arial" w:eastAsia="Arial" w:hAnsi="Arial"/>
                <w:sz w:val="12"/>
                <w:szCs w:val="12"/>
                <w:color w:val="auto"/>
              </w:rPr>
              <w:t>Cash flows from financing activities:</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Proceeds from borrowings under long-term debt</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366</w:t>
            </w:r>
          </w:p>
        </w:tc>
        <w:tc>
          <w:tcPr>
            <w:tcW w:w="6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149,034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w w:val="93"/>
              </w:rPr>
              <w:t>1,700</w:t>
            </w:r>
          </w:p>
        </w:tc>
        <w:tc>
          <w:tcPr>
            <w:tcW w:w="120" w:type="dxa"/>
            <w:vAlign w:val="bottom"/>
          </w:tcPr>
          <w:p>
            <w:pPr>
              <w:spacing w:after="0"/>
              <w:rPr>
                <w:sz w:val="21"/>
                <w:szCs w:val="21"/>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151,100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Payments on long-term debt</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(181,513)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w w:val="99"/>
              </w:rPr>
              <w:t>(500)</w:t>
            </w:r>
          </w:p>
        </w:tc>
        <w:tc>
          <w:tcPr>
            <w:tcW w:w="120" w:type="dxa"/>
            <w:vAlign w:val="bottom"/>
          </w:tcPr>
          <w:p>
            <w:pPr>
              <w:spacing w:after="0"/>
              <w:rPr>
                <w:sz w:val="21"/>
                <w:szCs w:val="21"/>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(182,013)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Advances to (from) affiliates</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3,649</w:t>
            </w:r>
          </w:p>
        </w:tc>
        <w:tc>
          <w:tcPr>
            <w:tcW w:w="6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(6,030)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1,933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208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rPr>
              <w:t>240</w:t>
            </w:r>
          </w:p>
        </w:tc>
        <w:tc>
          <w:tcPr>
            <w:tcW w:w="120" w:type="dxa"/>
            <w:vAlign w:val="bottom"/>
          </w:tcPr>
          <w:p>
            <w:pPr>
              <w:spacing w:after="0"/>
              <w:rPr>
                <w:sz w:val="21"/>
                <w:szCs w:val="21"/>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2"/>
                <w:szCs w:val="12"/>
                <w:color w:val="auto"/>
              </w:rPr>
              <w:t>Other financing activities</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21</w:t>
            </w:r>
          </w:p>
        </w:tc>
        <w:tc>
          <w:tcPr>
            <w:tcW w:w="60" w:type="dxa"/>
            <w:vAlign w:val="bottom"/>
          </w:tcPr>
          <w:p>
            <w:pPr>
              <w:spacing w:after="0"/>
              <w:rPr>
                <w:sz w:val="19"/>
                <w:szCs w:val="19"/>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u w:val="single" w:color="auto"/>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240" w:type="dxa"/>
            <w:vAlign w:val="bottom"/>
          </w:tcPr>
          <w:p>
            <w:pPr>
              <w:spacing w:after="0"/>
              <w:rPr>
                <w:sz w:val="19"/>
                <w:szCs w:val="19"/>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u w:val="single" w:color="auto"/>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w w:val="99"/>
              </w:rPr>
              <w:t>(217)</w:t>
            </w:r>
          </w:p>
        </w:tc>
        <w:tc>
          <w:tcPr>
            <w:tcW w:w="120" w:type="dxa"/>
            <w:vAlign w:val="bottom"/>
          </w:tcPr>
          <w:p>
            <w:pPr>
              <w:spacing w:after="0"/>
              <w:rPr>
                <w:sz w:val="19"/>
                <w:szCs w:val="19"/>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4,036</w:t>
            </w:r>
          </w:p>
        </w:tc>
        <w:tc>
          <w:tcPr>
            <w:tcW w:w="60" w:type="dxa"/>
            <w:vAlign w:val="bottom"/>
          </w:tcPr>
          <w:p>
            <w:pPr>
              <w:spacing w:after="0"/>
              <w:rPr>
                <w:sz w:val="21"/>
                <w:szCs w:val="21"/>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(38,509)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1,933</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208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w w:val="93"/>
              </w:rPr>
              <w:t>1,223</w:t>
            </w:r>
          </w:p>
        </w:tc>
        <w:tc>
          <w:tcPr>
            <w:tcW w:w="120" w:type="dxa"/>
            <w:vAlign w:val="bottom"/>
          </w:tcPr>
          <w:p>
            <w:pPr>
              <w:spacing w:after="0"/>
              <w:rPr>
                <w:sz w:val="21"/>
                <w:szCs w:val="21"/>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(31,109)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2"/>
        </w:trPr>
        <w:tc>
          <w:tcPr>
            <w:tcW w:w="2920" w:type="dxa"/>
            <w:vAlign w:val="bottom"/>
          </w:tcPr>
          <w:p>
            <w:pPr>
              <w:spacing w:after="0"/>
              <w:rPr>
                <w:sz w:val="20"/>
                <w:szCs w:val="20"/>
                <w:color w:val="auto"/>
              </w:rPr>
            </w:pPr>
            <w:r>
              <w:rPr>
                <w:rFonts w:ascii="Arial" w:cs="Arial" w:eastAsia="Arial" w:hAnsi="Arial"/>
                <w:sz w:val="12"/>
                <w:szCs w:val="12"/>
                <w:color w:val="auto"/>
              </w:rPr>
              <w:t>Net increase in cash and cash equivalents</w:t>
            </w:r>
          </w:p>
        </w:tc>
        <w:tc>
          <w:tcPr>
            <w:tcW w:w="560" w:type="dxa"/>
            <w:vAlign w:val="bottom"/>
            <w:gridSpan w:val="9"/>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24"/>
                <w:szCs w:val="24"/>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(1,322)</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751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4"/>
                <w:szCs w:val="24"/>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27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w w:val="99"/>
              </w:rPr>
              <w:t>(731)</w:t>
            </w:r>
          </w:p>
        </w:tc>
        <w:tc>
          <w:tcPr>
            <w:tcW w:w="120" w:type="dxa"/>
            <w:vAlign w:val="bottom"/>
          </w:tcPr>
          <w:p>
            <w:pPr>
              <w:spacing w:after="0"/>
              <w:rPr>
                <w:sz w:val="24"/>
                <w:szCs w:val="24"/>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4"/>
                <w:szCs w:val="24"/>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(1,275)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2"/>
        </w:trPr>
        <w:tc>
          <w:tcPr>
            <w:tcW w:w="10780" w:type="dxa"/>
            <w:vAlign w:val="bottom"/>
            <w:gridSpan w:val="65"/>
          </w:tcPr>
          <w:p>
            <w:pPr>
              <w:spacing w:after="0"/>
              <w:rPr>
                <w:sz w:val="20"/>
                <w:szCs w:val="20"/>
                <w:color w:val="auto"/>
              </w:rPr>
            </w:pPr>
            <w:r>
              <w:rPr>
                <w:rFonts w:ascii="Arial" w:cs="Arial" w:eastAsia="Arial" w:hAnsi="Arial"/>
                <w:sz w:val="12"/>
                <w:szCs w:val="12"/>
                <w:color w:val="auto"/>
              </w:rPr>
              <w:t>Cash and cash equivalents:</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2"/>
                <w:szCs w:val="12"/>
                <w:color w:val="auto"/>
              </w:rPr>
              <w:t>Beginning of period</w:t>
            </w:r>
          </w:p>
        </w:tc>
        <w:tc>
          <w:tcPr>
            <w:tcW w:w="560" w:type="dxa"/>
            <w:vAlign w:val="bottom"/>
            <w:gridSpan w:val="9"/>
          </w:tcPr>
          <w:p>
            <w:pPr>
              <w:jc w:val="right"/>
              <w:spacing w:after="0"/>
              <w:rPr>
                <w:sz w:val="20"/>
                <w:szCs w:val="20"/>
                <w:color w:val="auto"/>
              </w:rPr>
            </w:pPr>
            <w:r>
              <w:rPr>
                <w:rFonts w:ascii="Arial" w:cs="Arial" w:eastAsia="Arial" w:hAnsi="Arial"/>
                <w:sz w:val="12"/>
                <w:szCs w:val="12"/>
                <w:u w:val="single" w:color="auto"/>
                <w:color w:val="auto"/>
              </w:rPr>
              <w:t>-</w:t>
            </w:r>
          </w:p>
        </w:tc>
        <w:tc>
          <w:tcPr>
            <w:tcW w:w="60" w:type="dxa"/>
            <w:vAlign w:val="bottom"/>
          </w:tcPr>
          <w:p>
            <w:pPr>
              <w:spacing w:after="0"/>
              <w:rPr>
                <w:sz w:val="19"/>
                <w:szCs w:val="19"/>
                <w:color w:val="auto"/>
              </w:rPr>
            </w:pPr>
          </w:p>
        </w:tc>
        <w:tc>
          <w:tcPr>
            <w:tcW w:w="800" w:type="dxa"/>
            <w:vAlign w:val="bottom"/>
            <w:gridSpan w:val="6"/>
          </w:tcPr>
          <w:p>
            <w:pPr>
              <w:jc w:val="right"/>
              <w:spacing w:after="0"/>
              <w:rPr>
                <w:sz w:val="20"/>
                <w:szCs w:val="20"/>
                <w:color w:val="auto"/>
              </w:rPr>
            </w:pPr>
            <w:r>
              <w:rPr>
                <w:rFonts w:ascii="Arial" w:cs="Arial" w:eastAsia="Arial" w:hAnsi="Arial"/>
                <w:sz w:val="12"/>
                <w:szCs w:val="12"/>
                <w:color w:val="auto"/>
              </w:rPr>
              <w:t>23,111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124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240" w:type="dxa"/>
            <w:vAlign w:val="bottom"/>
          </w:tcPr>
          <w:p>
            <w:pPr>
              <w:spacing w:after="0"/>
              <w:rPr>
                <w:sz w:val="19"/>
                <w:szCs w:val="19"/>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w w:val="93"/>
              </w:rPr>
              <w:t>2,679</w:t>
            </w:r>
          </w:p>
        </w:tc>
        <w:tc>
          <w:tcPr>
            <w:tcW w:w="120" w:type="dxa"/>
            <w:vAlign w:val="bottom"/>
          </w:tcPr>
          <w:p>
            <w:pPr>
              <w:spacing w:after="0"/>
              <w:rPr>
                <w:sz w:val="19"/>
                <w:szCs w:val="19"/>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25,965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auto"/>
            </w:tcBorders>
            <w:gridSpan w:val="2"/>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right w:val="single" w:sz="8" w:color="auto"/>
            </w:tcBorders>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20" w:type="dxa"/>
            <w:vAlign w:val="bottom"/>
          </w:tcPr>
          <w:p>
            <w:pPr>
              <w:spacing w:after="0"/>
              <w:rPr>
                <w:sz w:val="20"/>
                <w:szCs w:val="20"/>
                <w:color w:val="auto"/>
              </w:rPr>
            </w:pPr>
            <w:r>
              <w:rPr>
                <w:rFonts w:ascii="Arial" w:cs="Arial" w:eastAsia="Arial" w:hAnsi="Arial"/>
                <w:sz w:val="12"/>
                <w:szCs w:val="12"/>
                <w:color w:val="auto"/>
              </w:rPr>
              <w:t>End of period</w:t>
            </w:r>
          </w:p>
        </w:tc>
        <w:tc>
          <w:tcPr>
            <w:tcW w:w="560" w:type="dxa"/>
            <w:vAlign w:val="bottom"/>
            <w:gridSpan w:val="9"/>
          </w:tcPr>
          <w:p>
            <w:pPr>
              <w:jc w:val="right"/>
              <w:spacing w:after="0"/>
              <w:rPr>
                <w:sz w:val="20"/>
                <w:szCs w:val="20"/>
                <w:color w:val="auto"/>
              </w:rPr>
            </w:pPr>
            <w:r>
              <w:rPr>
                <w:rFonts w:ascii="Arial" w:cs="Arial" w:eastAsia="Arial" w:hAnsi="Arial"/>
                <w:sz w:val="12"/>
                <w:szCs w:val="12"/>
                <w:u w:val="single" w:color="auto"/>
                <w:color w:val="auto"/>
              </w:rPr>
              <w:t>-</w:t>
            </w:r>
          </w:p>
        </w:tc>
        <w:tc>
          <w:tcPr>
            <w:tcW w:w="60" w:type="dxa"/>
            <w:vAlign w:val="bottom"/>
          </w:tcPr>
          <w:p>
            <w:pPr>
              <w:spacing w:after="0"/>
              <w:rPr>
                <w:sz w:val="19"/>
                <w:szCs w:val="19"/>
                <w:color w:val="auto"/>
              </w:rPr>
            </w:pPr>
          </w:p>
        </w:tc>
        <w:tc>
          <w:tcPr>
            <w:tcW w:w="480" w:type="dxa"/>
            <w:vAlign w:val="bottom"/>
            <w:gridSpan w:val="4"/>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2"/>
                <w:szCs w:val="12"/>
                <w:color w:val="auto"/>
                <w:w w:val="81"/>
              </w:rPr>
              <w:t>21,789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2"/>
                <w:szCs w:val="12"/>
                <w:color w:val="auto"/>
              </w:rPr>
              <w:t>875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240" w:type="dxa"/>
            <w:vAlign w:val="bottom"/>
          </w:tcPr>
          <w:p>
            <w:pPr>
              <w:spacing w:after="0"/>
              <w:rPr>
                <w:sz w:val="19"/>
                <w:szCs w:val="19"/>
                <w:color w:val="auto"/>
              </w:rPr>
            </w:pPr>
          </w:p>
        </w:tc>
        <w:tc>
          <w:tcPr>
            <w:tcW w:w="620" w:type="dxa"/>
            <w:vAlign w:val="bottom"/>
            <w:gridSpan w:val="5"/>
          </w:tcPr>
          <w:p>
            <w:pPr>
              <w:jc w:val="right"/>
              <w:ind w:right="20"/>
              <w:spacing w:after="0"/>
              <w:rPr>
                <w:sz w:val="20"/>
                <w:szCs w:val="20"/>
                <w:color w:val="auto"/>
              </w:rPr>
            </w:pPr>
            <w:r>
              <w:rPr>
                <w:rFonts w:ascii="Arial" w:cs="Arial" w:eastAsia="Arial" w:hAnsi="Arial"/>
                <w:sz w:val="12"/>
                <w:szCs w:val="12"/>
                <w:color w:val="auto"/>
              </w:rPr>
              <w:t>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3"/>
          </w:tcPr>
          <w:p>
            <w:pPr>
              <w:jc w:val="right"/>
              <w:spacing w:after="0"/>
              <w:rPr>
                <w:sz w:val="20"/>
                <w:szCs w:val="20"/>
                <w:color w:val="auto"/>
              </w:rPr>
            </w:pPr>
            <w:r>
              <w:rPr>
                <w:rFonts w:ascii="Arial" w:cs="Arial" w:eastAsia="Arial" w:hAnsi="Arial"/>
                <w:sz w:val="12"/>
                <w:szCs w:val="12"/>
                <w:color w:val="auto"/>
                <w:w w:val="93"/>
              </w:rPr>
              <w:t>1,948</w:t>
            </w:r>
          </w:p>
        </w:tc>
        <w:tc>
          <w:tcPr>
            <w:tcW w:w="120" w:type="dxa"/>
            <w:vAlign w:val="bottom"/>
          </w:tcPr>
          <w:p>
            <w:pPr>
              <w:spacing w:after="0"/>
              <w:rPr>
                <w:sz w:val="19"/>
                <w:szCs w:val="19"/>
                <w:color w:val="auto"/>
              </w:rPr>
            </w:pPr>
          </w:p>
        </w:tc>
        <w:tc>
          <w:tcPr>
            <w:tcW w:w="740" w:type="dxa"/>
            <w:vAlign w:val="bottom"/>
            <w:gridSpan w:val="6"/>
          </w:tcPr>
          <w:p>
            <w:pPr>
              <w:jc w:val="right"/>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2"/>
                <w:szCs w:val="12"/>
                <w:color w:val="auto"/>
              </w:rPr>
              <w:t>24,690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right w:val="single" w:sz="8" w:color="auto"/>
            </w:tcBorders>
            <w:gridSpan w:val="15"/>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gridSpan w:val="9"/>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620" w:type="dxa"/>
            <w:vAlign w:val="bottom"/>
            <w:tcBorders>
              <w:right w:val="single" w:sz="8" w:color="auto"/>
            </w:tcBorders>
            <w:gridSpan w:val="11"/>
          </w:tcPr>
          <w:p>
            <w:pPr>
              <w:spacing w:after="0" w:line="20" w:lineRule="exact"/>
              <w:rPr>
                <w:sz w:val="1"/>
                <w:szCs w:val="1"/>
                <w:color w:val="auto"/>
              </w:rPr>
            </w:pPr>
          </w:p>
        </w:tc>
        <w:tc>
          <w:tcPr>
            <w:tcW w:w="740" w:type="dxa"/>
            <w:vAlign w:val="bottom"/>
            <w:tcBorders>
              <w:right w:val="single" w:sz="8" w:color="auto"/>
            </w:tcBorders>
            <w:gridSpan w:val="7"/>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1680" w:type="dxa"/>
            <w:vAlign w:val="bottom"/>
            <w:tcBorders>
              <w:right w:val="single" w:sz="8" w:color="auto"/>
            </w:tcBorders>
            <w:gridSpan w:val="12"/>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00"/>
        <w:spacing w:after="0"/>
        <w:rPr>
          <w:sz w:val="20"/>
          <w:szCs w:val="20"/>
          <w:color w:val="auto"/>
        </w:rPr>
      </w:pPr>
      <w:r>
        <w:rPr>
          <w:rFonts w:ascii="Arial" w:cs="Arial" w:eastAsia="Arial" w:hAnsi="Arial"/>
          <w:sz w:val="12"/>
          <w:szCs w:val="12"/>
          <w:b w:val="1"/>
          <w:bCs w:val="1"/>
          <w:color w:val="auto"/>
        </w:rPr>
        <w:t>Supplemental Condensed Consolidating Statement of Cash Flows</w:t>
      </w:r>
    </w:p>
    <w:p>
      <w:pPr>
        <w:spacing w:after="0" w:line="46" w:lineRule="exact"/>
        <w:rPr>
          <w:sz w:val="20"/>
          <w:szCs w:val="20"/>
          <w:color w:val="auto"/>
        </w:rPr>
      </w:pPr>
    </w:p>
    <w:p>
      <w:pPr>
        <w:jc w:val="center"/>
        <w:ind w:right="1300"/>
        <w:spacing w:after="0"/>
        <w:rPr>
          <w:sz w:val="20"/>
          <w:szCs w:val="20"/>
          <w:color w:val="auto"/>
        </w:rPr>
      </w:pPr>
      <w:r>
        <w:rPr>
          <w:rFonts w:ascii="Arial" w:cs="Arial" w:eastAsia="Arial" w:hAnsi="Arial"/>
          <w:sz w:val="12"/>
          <w:szCs w:val="12"/>
          <w:b w:val="1"/>
          <w:bCs w:val="1"/>
          <w:color w:val="auto"/>
        </w:rPr>
        <w:t>For the six months ended January 31, 2002</w:t>
      </w:r>
    </w:p>
    <w:p>
      <w:pPr>
        <w:spacing w:after="0" w:line="46" w:lineRule="exact"/>
        <w:rPr>
          <w:sz w:val="20"/>
          <w:szCs w:val="20"/>
          <w:color w:val="auto"/>
        </w:rPr>
      </w:pPr>
    </w:p>
    <w:p>
      <w:pPr>
        <w:jc w:val="center"/>
        <w:ind w:right="1300"/>
        <w:spacing w:after="0"/>
        <w:rPr>
          <w:sz w:val="20"/>
          <w:szCs w:val="20"/>
          <w:color w:val="auto"/>
        </w:rPr>
      </w:pPr>
      <w:r>
        <w:rPr>
          <w:rFonts w:ascii="Arial" w:cs="Arial" w:eastAsia="Arial" w:hAnsi="Arial"/>
          <w:sz w:val="12"/>
          <w:szCs w:val="12"/>
          <w:b w:val="1"/>
          <w:bCs w:val="1"/>
          <w:color w:val="auto"/>
        </w:rPr>
        <w:t>As Restated</w:t>
      </w:r>
    </w:p>
    <w:p>
      <w:pPr>
        <w:spacing w:after="0" w:line="46" w:lineRule="exact"/>
        <w:rPr>
          <w:sz w:val="20"/>
          <w:szCs w:val="20"/>
          <w:color w:val="auto"/>
        </w:rPr>
      </w:pPr>
    </w:p>
    <w:p>
      <w:pPr>
        <w:jc w:val="center"/>
        <w:ind w:right="1300"/>
        <w:spacing w:after="0"/>
        <w:rPr>
          <w:sz w:val="20"/>
          <w:szCs w:val="20"/>
          <w:color w:val="auto"/>
        </w:rPr>
      </w:pPr>
      <w:r>
        <w:rPr>
          <w:rFonts w:ascii="Arial" w:cs="Arial" w:eastAsia="Arial" w:hAnsi="Arial"/>
          <w:sz w:val="12"/>
          <w:szCs w:val="12"/>
          <w:b w:val="1"/>
          <w:bCs w:val="1"/>
          <w:color w:val="auto"/>
        </w:rPr>
        <w:t>(in thousands of dollars)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Arial" w:cs="Arial" w:eastAsia="Arial" w:hAnsi="Arial"/>
                <w:sz w:val="12"/>
                <w:szCs w:val="12"/>
                <w:b w:val="1"/>
                <w:bCs w:val="1"/>
                <w:color w:val="auto"/>
                <w:w w:val="90"/>
              </w:rPr>
              <w:t>Parent</w:t>
            </w:r>
          </w:p>
        </w:tc>
        <w:tc>
          <w:tcPr>
            <w:tcW w:w="320" w:type="dxa"/>
            <w:vAlign w:val="bottom"/>
            <w:gridSpan w:val="2"/>
            <w:vMerge w:val="restart"/>
          </w:tcPr>
          <w:p>
            <w:pPr>
              <w:spacing w:after="0"/>
              <w:rPr>
                <w:sz w:val="12"/>
                <w:szCs w:val="12"/>
                <w:color w:val="auto"/>
              </w:rPr>
            </w:pPr>
          </w:p>
        </w:tc>
        <w:tc>
          <w:tcPr>
            <w:tcW w:w="960" w:type="dxa"/>
            <w:vAlign w:val="bottom"/>
            <w:gridSpan w:val="6"/>
          </w:tcPr>
          <w:p>
            <w:pPr>
              <w:jc w:val="center"/>
              <w:ind w:right="240"/>
              <w:spacing w:after="0"/>
              <w:rPr>
                <w:sz w:val="20"/>
                <w:szCs w:val="20"/>
                <w:color w:val="auto"/>
              </w:rPr>
            </w:pPr>
            <w:r>
              <w:rPr>
                <w:rFonts w:ascii="Arial" w:cs="Arial" w:eastAsia="Arial" w:hAnsi="Arial"/>
                <w:sz w:val="12"/>
                <w:szCs w:val="12"/>
                <w:b w:val="1"/>
                <w:bCs w:val="1"/>
                <w:color w:val="auto"/>
                <w:w w:val="97"/>
              </w:rPr>
              <w:t>100% Owned</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9"/>
              </w:rPr>
              <w:t>Other</w:t>
            </w:r>
          </w:p>
        </w:tc>
        <w:tc>
          <w:tcPr>
            <w:tcW w:w="260" w:type="dxa"/>
            <w:vAlign w:val="bottom"/>
            <w:gridSpan w:val="2"/>
            <w:vMerge w:val="restart"/>
          </w:tcPr>
          <w:p>
            <w:pPr>
              <w:spacing w:after="0"/>
              <w:rPr>
                <w:sz w:val="12"/>
                <w:szCs w:val="12"/>
                <w:color w:val="auto"/>
              </w:rPr>
            </w:pPr>
          </w:p>
        </w:tc>
        <w:tc>
          <w:tcPr>
            <w:tcW w:w="880" w:type="dxa"/>
            <w:vAlign w:val="bottom"/>
            <w:gridSpan w:val="5"/>
            <w:vMerge w:val="restart"/>
          </w:tcPr>
          <w:p>
            <w:pPr>
              <w:jc w:val="right"/>
              <w:ind w:right="140"/>
              <w:spacing w:after="0"/>
              <w:rPr>
                <w:sz w:val="20"/>
                <w:szCs w:val="20"/>
                <w:color w:val="auto"/>
              </w:rPr>
            </w:pPr>
            <w:r>
              <w:rPr>
                <w:rFonts w:ascii="Arial" w:cs="Arial" w:eastAsia="Arial" w:hAnsi="Arial"/>
                <w:sz w:val="12"/>
                <w:szCs w:val="12"/>
                <w:b w:val="1"/>
                <w:bCs w:val="1"/>
                <w:color w:val="auto"/>
              </w:rPr>
              <w:t>Eliminating</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2"/>
                <w:szCs w:val="12"/>
                <w:b w:val="1"/>
                <w:bCs w:val="1"/>
                <w:color w:val="auto"/>
                <w:w w:val="96"/>
              </w:rPr>
              <w:t>Guarantor</w:t>
            </w:r>
          </w:p>
        </w:tc>
        <w:tc>
          <w:tcPr>
            <w:tcW w:w="80" w:type="dxa"/>
            <w:vAlign w:val="bottom"/>
            <w:tcBorders>
              <w:top w:val="single" w:sz="8" w:color="auto"/>
            </w:tcBorders>
            <w:gridSpan w:val="2"/>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JHL&amp;S</w:t>
            </w:r>
          </w:p>
        </w:tc>
        <w:tc>
          <w:tcPr>
            <w:tcW w:w="260" w:type="dxa"/>
            <w:vAlign w:val="bottom"/>
            <w:vMerge w:val="restart"/>
          </w:tcPr>
          <w:p>
            <w:pPr>
              <w:spacing w:after="0"/>
              <w:rPr>
                <w:sz w:val="10"/>
                <w:szCs w:val="10"/>
                <w:color w:val="auto"/>
              </w:rPr>
            </w:pPr>
          </w:p>
        </w:tc>
        <w:tc>
          <w:tcPr>
            <w:tcW w:w="100" w:type="dxa"/>
            <w:vAlign w:val="bottom"/>
            <w:vMerge w:val="restart"/>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RockResorts</w:t>
            </w:r>
          </w:p>
        </w:tc>
        <w:tc>
          <w:tcPr>
            <w:tcW w:w="840" w:type="dxa"/>
            <w:vAlign w:val="bottom"/>
            <w:gridSpan w:val="2"/>
            <w:vMerge w:val="restart"/>
          </w:tcPr>
          <w:p>
            <w:pPr>
              <w:jc w:val="right"/>
              <w:ind w:right="340"/>
              <w:spacing w:after="0"/>
              <w:rPr>
                <w:sz w:val="20"/>
                <w:szCs w:val="20"/>
                <w:color w:val="auto"/>
              </w:rPr>
            </w:pPr>
            <w:r>
              <w:rPr>
                <w:rFonts w:ascii="Arial" w:cs="Arial" w:eastAsia="Arial" w:hAnsi="Arial"/>
                <w:sz w:val="12"/>
                <w:szCs w:val="12"/>
                <w:b w:val="1"/>
                <w:bCs w:val="1"/>
                <w:color w:val="auto"/>
                <w:w w:val="93"/>
              </w:rPr>
              <w:t>Larkspur</w:t>
            </w:r>
          </w:p>
        </w:tc>
        <w:tc>
          <w:tcPr>
            <w:tcW w:w="160" w:type="dxa"/>
            <w:vAlign w:val="bottom"/>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260" w:type="dxa"/>
            <w:vAlign w:val="bottom"/>
            <w:gridSpan w:val="2"/>
            <w:vMerge w:val="continue"/>
          </w:tcPr>
          <w:p>
            <w:pPr>
              <w:spacing w:after="0"/>
              <w:rPr>
                <w:sz w:val="10"/>
                <w:szCs w:val="10"/>
                <w:color w:val="auto"/>
              </w:rPr>
            </w:pPr>
          </w:p>
        </w:tc>
        <w:tc>
          <w:tcPr>
            <w:tcW w:w="880" w:type="dxa"/>
            <w:vAlign w:val="bottom"/>
            <w:gridSpan w:val="5"/>
            <w:vMerge w:val="continue"/>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86"/>
              </w:rPr>
              <w:t>Consolidated</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9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60" w:type="dxa"/>
            <w:vAlign w:val="bottom"/>
          </w:tcPr>
          <w:p>
            <w:pPr>
              <w:spacing w:after="0"/>
              <w:rPr>
                <w:sz w:val="20"/>
                <w:szCs w:val="20"/>
                <w:color w:val="auto"/>
              </w:rPr>
            </w:pPr>
            <w:r>
              <w:rPr>
                <w:rFonts w:ascii="Arial" w:cs="Arial" w:eastAsia="Arial" w:hAnsi="Arial"/>
                <w:sz w:val="10"/>
                <w:szCs w:val="10"/>
                <w:b w:val="1"/>
                <w:bCs w:val="1"/>
                <w:color w:val="auto"/>
                <w:w w:val="74"/>
              </w:rPr>
              <w:t>Company</w:t>
            </w:r>
          </w:p>
        </w:tc>
        <w:tc>
          <w:tcPr>
            <w:tcW w:w="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560" w:type="dxa"/>
            <w:vAlign w:val="bottom"/>
            <w:gridSpan w:val="2"/>
          </w:tcPr>
          <w:p>
            <w:pPr>
              <w:jc w:val="center"/>
              <w:spacing w:after="0" w:line="115" w:lineRule="exact"/>
              <w:rPr>
                <w:sz w:val="20"/>
                <w:szCs w:val="20"/>
                <w:color w:val="auto"/>
              </w:rPr>
            </w:pPr>
            <w:r>
              <w:rPr>
                <w:rFonts w:ascii="Arial" w:cs="Arial" w:eastAsia="Arial" w:hAnsi="Arial"/>
                <w:sz w:val="12"/>
                <w:szCs w:val="12"/>
                <w:b w:val="1"/>
                <w:bCs w:val="1"/>
                <w:color w:val="auto"/>
                <w:w w:val="78"/>
              </w:rPr>
              <w:t>Subsidiaries</w:t>
            </w:r>
          </w:p>
        </w:tc>
        <w:tc>
          <w:tcPr>
            <w:tcW w:w="2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740" w:type="dxa"/>
            <w:vAlign w:val="bottom"/>
            <w:gridSpan w:val="5"/>
          </w:tcPr>
          <w:p>
            <w:pPr>
              <w:jc w:val="center"/>
              <w:ind w:right="100"/>
              <w:spacing w:after="0" w:line="115" w:lineRule="exact"/>
              <w:rPr>
                <w:sz w:val="20"/>
                <w:szCs w:val="20"/>
                <w:color w:val="auto"/>
              </w:rPr>
            </w:pPr>
            <w:r>
              <w:rPr>
                <w:rFonts w:ascii="Arial" w:cs="Arial" w:eastAsia="Arial" w:hAnsi="Arial"/>
                <w:sz w:val="12"/>
                <w:szCs w:val="12"/>
                <w:b w:val="1"/>
                <w:bCs w:val="1"/>
                <w:color w:val="auto"/>
                <w:w w:val="89"/>
              </w:rPr>
              <w:t>Subsidiaries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3"/>
          </w:tcPr>
          <w:p>
            <w:pPr>
              <w:spacing w:after="0" w:line="115" w:lineRule="exact"/>
              <w:rPr>
                <w:sz w:val="20"/>
                <w:szCs w:val="20"/>
                <w:color w:val="auto"/>
              </w:rPr>
            </w:pPr>
            <w:r>
              <w:rPr>
                <w:rFonts w:ascii="Arial" w:cs="Arial" w:eastAsia="Arial" w:hAnsi="Arial"/>
                <w:sz w:val="12"/>
                <w:szCs w:val="12"/>
                <w:b w:val="1"/>
                <w:bCs w:val="1"/>
                <w:color w:val="auto"/>
              </w:rPr>
              <w:t>Entries</w:t>
            </w: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12"/>
                <w:szCs w:val="12"/>
                <w:color w:val="auto"/>
              </w:rPr>
              <w:t>Cash flows from operating activities</w:t>
            </w:r>
          </w:p>
        </w:tc>
        <w:tc>
          <w:tcPr>
            <w:tcW w:w="760" w:type="dxa"/>
            <w:vAlign w:val="bottom"/>
            <w:gridSpan w:val="4"/>
          </w:tcPr>
          <w:p>
            <w:pPr>
              <w:jc w:val="right"/>
              <w:ind w:right="200"/>
              <w:spacing w:after="0"/>
              <w:rPr>
                <w:sz w:val="20"/>
                <w:szCs w:val="20"/>
                <w:color w:val="auto"/>
              </w:rPr>
            </w:pPr>
            <w:r>
              <w:rPr>
                <w:rFonts w:ascii="Arial" w:cs="Arial" w:eastAsia="Arial" w:hAnsi="Arial"/>
                <w:sz w:val="12"/>
                <w:szCs w:val="12"/>
                <w:color w:val="auto"/>
              </w:rPr>
              <w:t>3,409</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82,809</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27</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(145)</w:t>
            </w:r>
          </w:p>
        </w:tc>
        <w:tc>
          <w:tcPr>
            <w:tcW w:w="620" w:type="dxa"/>
            <w:vAlign w:val="bottom"/>
            <w:gridSpan w:val="4"/>
          </w:tcPr>
          <w:p>
            <w:pPr>
              <w:jc w:val="right"/>
              <w:spacing w:after="0"/>
              <w:rPr>
                <w:sz w:val="20"/>
                <w:szCs w:val="20"/>
                <w:color w:val="auto"/>
              </w:rPr>
            </w:pPr>
            <w:r>
              <w:rPr>
                <w:rFonts w:ascii="Arial" w:cs="Arial" w:eastAsia="Arial" w:hAnsi="Arial"/>
                <w:sz w:val="12"/>
                <w:szCs w:val="12"/>
                <w:color w:val="auto"/>
              </w:rPr>
              <w:t>5,509</w:t>
            </w:r>
          </w:p>
        </w:tc>
        <w:tc>
          <w:tcPr>
            <w:tcW w:w="12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91,609</w:t>
            </w:r>
          </w:p>
        </w:tc>
        <w:tc>
          <w:tcPr>
            <w:tcW w:w="0" w:type="dxa"/>
            <w:vAlign w:val="bottom"/>
          </w:tcPr>
          <w:p>
            <w:pPr>
              <w:spacing w:after="0"/>
              <w:rPr>
                <w:sz w:val="1"/>
                <w:szCs w:val="1"/>
                <w:color w:val="auto"/>
              </w:rPr>
            </w:pPr>
          </w:p>
        </w:tc>
      </w:tr>
      <w:tr>
        <w:trPr>
          <w:trHeight w:val="492"/>
        </w:trPr>
        <w:tc>
          <w:tcPr>
            <w:tcW w:w="2920" w:type="dxa"/>
            <w:vAlign w:val="bottom"/>
          </w:tcPr>
          <w:p>
            <w:pPr>
              <w:spacing w:after="0"/>
              <w:rPr>
                <w:sz w:val="20"/>
                <w:szCs w:val="20"/>
                <w:color w:val="auto"/>
              </w:rPr>
            </w:pPr>
            <w:r>
              <w:rPr>
                <w:rFonts w:ascii="Arial" w:cs="Arial" w:eastAsia="Arial" w:hAnsi="Arial"/>
                <w:sz w:val="12"/>
                <w:szCs w:val="12"/>
                <w:color w:val="auto"/>
              </w:rPr>
              <w:t>Cash flows from investing activities:</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Resort capital expenditures</w:t>
            </w:r>
          </w:p>
        </w:tc>
        <w:tc>
          <w:tcPr>
            <w:tcW w:w="76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(24,573)</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(6,536)</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4"/>
          </w:tcPr>
          <w:p>
            <w:pPr>
              <w:jc w:val="right"/>
              <w:spacing w:after="0"/>
              <w:rPr>
                <w:sz w:val="20"/>
                <w:szCs w:val="20"/>
                <w:color w:val="auto"/>
              </w:rPr>
            </w:pPr>
            <w:r>
              <w:rPr>
                <w:rFonts w:ascii="Arial" w:cs="Arial" w:eastAsia="Arial" w:hAnsi="Arial"/>
                <w:sz w:val="12"/>
                <w:szCs w:val="12"/>
                <w:color w:val="auto"/>
              </w:rPr>
              <w:t>(4,368)</w:t>
            </w:r>
          </w:p>
        </w:tc>
        <w:tc>
          <w:tcPr>
            <w:tcW w:w="12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(35,477)</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Investments in real estate</w:t>
            </w:r>
          </w:p>
        </w:tc>
        <w:tc>
          <w:tcPr>
            <w:tcW w:w="76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(36,625)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(36,625)</w:t>
            </w:r>
          </w:p>
        </w:tc>
        <w:tc>
          <w:tcPr>
            <w:tcW w:w="0" w:type="dxa"/>
            <w:vAlign w:val="bottom"/>
          </w:tcPr>
          <w:p>
            <w:pPr>
              <w:spacing w:after="0"/>
              <w:rPr>
                <w:sz w:val="1"/>
                <w:szCs w:val="1"/>
                <w:color w:val="auto"/>
              </w:rPr>
            </w:pPr>
          </w:p>
        </w:tc>
      </w:tr>
      <w:tr>
        <w:trPr>
          <w:trHeight w:val="246"/>
        </w:trPr>
        <w:tc>
          <w:tcPr>
            <w:tcW w:w="2920" w:type="dxa"/>
            <w:vAlign w:val="bottom"/>
          </w:tcPr>
          <w:p>
            <w:pPr>
              <w:spacing w:after="0"/>
              <w:rPr>
                <w:sz w:val="20"/>
                <w:szCs w:val="20"/>
                <w:color w:val="auto"/>
              </w:rPr>
            </w:pPr>
            <w:r>
              <w:rPr>
                <w:rFonts w:ascii="Arial" w:cs="Arial" w:eastAsia="Arial" w:hAnsi="Arial"/>
                <w:sz w:val="12"/>
                <w:szCs w:val="12"/>
                <w:color w:val="auto"/>
              </w:rPr>
              <w:t>Cash paid in acquisitions</w:t>
            </w:r>
          </w:p>
        </w:tc>
        <w:tc>
          <w:tcPr>
            <w:tcW w:w="76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(77,520)</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(77,520)</w:t>
            </w:r>
          </w:p>
        </w:tc>
        <w:tc>
          <w:tcPr>
            <w:tcW w:w="0" w:type="dxa"/>
            <w:vAlign w:val="bottom"/>
          </w:tcPr>
          <w:p>
            <w:pPr>
              <w:spacing w:after="0"/>
              <w:rPr>
                <w:sz w:val="1"/>
                <w:szCs w:val="1"/>
                <w:color w:val="auto"/>
              </w:rPr>
            </w:pPr>
          </w:p>
        </w:tc>
      </w:tr>
      <w:tr>
        <w:trPr>
          <w:trHeight w:val="222"/>
        </w:trPr>
        <w:tc>
          <w:tcPr>
            <w:tcW w:w="2920" w:type="dxa"/>
            <w:vAlign w:val="bottom"/>
          </w:tcPr>
          <w:p>
            <w:pPr>
              <w:spacing w:after="0"/>
              <w:rPr>
                <w:sz w:val="20"/>
                <w:szCs w:val="20"/>
                <w:color w:val="auto"/>
              </w:rPr>
            </w:pPr>
            <w:r>
              <w:rPr>
                <w:rFonts w:ascii="Arial" w:cs="Arial" w:eastAsia="Arial" w:hAnsi="Arial"/>
                <w:sz w:val="12"/>
                <w:szCs w:val="12"/>
                <w:color w:val="auto"/>
              </w:rPr>
              <w:t>Other investing activities</w:t>
            </w:r>
          </w:p>
        </w:tc>
        <w:tc>
          <w:tcPr>
            <w:tcW w:w="760" w:type="dxa"/>
            <w:vAlign w:val="bottom"/>
            <w:gridSpan w:val="4"/>
          </w:tcPr>
          <w:p>
            <w:pPr>
              <w:jc w:val="right"/>
              <w:ind w:right="200"/>
              <w:spacing w:after="0"/>
              <w:rPr>
                <w:sz w:val="20"/>
                <w:szCs w:val="20"/>
                <w:color w:val="auto"/>
              </w:rPr>
            </w:pPr>
            <w:r>
              <w:rPr>
                <w:rFonts w:ascii="Arial" w:cs="Arial" w:eastAsia="Arial" w:hAnsi="Arial"/>
                <w:sz w:val="12"/>
                <w:szCs w:val="12"/>
                <w:u w:val="single" w:color="auto"/>
                <w:color w:val="auto"/>
              </w:rPr>
              <w:t>-</w:t>
            </w:r>
          </w:p>
        </w:tc>
        <w:tc>
          <w:tcPr>
            <w:tcW w:w="380" w:type="dxa"/>
            <w:vAlign w:val="bottom"/>
            <w:gridSpan w:val="2"/>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1,766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u w:val="single" w:color="auto"/>
                <w:color w:val="auto"/>
              </w:rPr>
              <w:t>-</w:t>
            </w:r>
          </w:p>
        </w:tc>
        <w:tc>
          <w:tcPr>
            <w:tcW w:w="76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p>
        </w:tc>
        <w:tc>
          <w:tcPr>
            <w:tcW w:w="24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u w:val="single" w:color="auto"/>
                <w:color w:val="auto"/>
              </w:rPr>
              <w:t>-</w:t>
            </w:r>
          </w:p>
        </w:tc>
        <w:tc>
          <w:tcPr>
            <w:tcW w:w="260" w:type="dxa"/>
            <w:vAlign w:val="bottom"/>
            <w:gridSpan w:val="2"/>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2"/>
                <w:szCs w:val="12"/>
                <w:color w:val="auto"/>
                <w:w w:val="89"/>
              </w:rPr>
              <w:t>(1,396)</w:t>
            </w:r>
          </w:p>
        </w:tc>
        <w:tc>
          <w:tcPr>
            <w:tcW w:w="120" w:type="dxa"/>
            <w:vAlign w:val="bottom"/>
          </w:tcPr>
          <w:p>
            <w:pPr>
              <w:spacing w:after="0"/>
              <w:rPr>
                <w:sz w:val="19"/>
                <w:szCs w:val="19"/>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u w:val="single" w:color="auto"/>
                <w:color w:val="auto"/>
              </w:rPr>
              <w:t>-</w:t>
            </w: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370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20" w:type="dxa"/>
            <w:vAlign w:val="bottom"/>
          </w:tcPr>
          <w:p>
            <w:pPr>
              <w:spacing w:after="0"/>
              <w:rPr>
                <w:sz w:val="20"/>
                <w:szCs w:val="20"/>
                <w:color w:val="auto"/>
              </w:rPr>
            </w:pPr>
            <w:r>
              <w:rPr>
                <w:rFonts w:ascii="Arial" w:cs="Arial" w:eastAsia="Arial" w:hAnsi="Arial"/>
                <w:sz w:val="12"/>
                <w:szCs w:val="12"/>
                <w:color w:val="auto"/>
              </w:rPr>
              <w:t>Net cash provided by (used in) investing activities</w:t>
            </w:r>
          </w:p>
        </w:tc>
        <w:tc>
          <w:tcPr>
            <w:tcW w:w="760" w:type="dxa"/>
            <w:vAlign w:val="bottom"/>
            <w:gridSpan w:val="4"/>
          </w:tcPr>
          <w:p>
            <w:pPr>
              <w:jc w:val="right"/>
              <w:ind w:right="200"/>
              <w:spacing w:after="0"/>
              <w:rPr>
                <w:sz w:val="20"/>
                <w:szCs w:val="20"/>
                <w:color w:val="auto"/>
              </w:rPr>
            </w:pPr>
            <w:r>
              <w:rPr>
                <w:rFonts w:ascii="Arial" w:cs="Arial" w:eastAsia="Arial" w:hAnsi="Arial"/>
                <w:sz w:val="12"/>
                <w:szCs w:val="12"/>
                <w:color w:val="auto"/>
              </w:rPr>
              <w:t>-</w:t>
            </w:r>
          </w:p>
        </w:tc>
        <w:tc>
          <w:tcPr>
            <w:tcW w:w="660" w:type="dxa"/>
            <w:vAlign w:val="bottom"/>
            <w:gridSpan w:val="4"/>
          </w:tcPr>
          <w:p>
            <w:pPr>
              <w:jc w:val="right"/>
              <w:spacing w:after="0"/>
              <w:rPr>
                <w:sz w:val="20"/>
                <w:szCs w:val="20"/>
                <w:color w:val="auto"/>
              </w:rPr>
            </w:pPr>
            <w:r>
              <w:rPr>
                <w:rFonts w:ascii="Arial" w:cs="Arial" w:eastAsia="Arial" w:hAnsi="Arial"/>
                <w:sz w:val="12"/>
                <w:szCs w:val="12"/>
                <w:color w:val="auto"/>
              </w:rPr>
              <w:t>(136,952)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(6,536)</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20" w:type="dxa"/>
            <w:vAlign w:val="bottom"/>
            <w:gridSpan w:val="4"/>
          </w:tcPr>
          <w:p>
            <w:pPr>
              <w:jc w:val="right"/>
              <w:spacing w:after="0"/>
              <w:rPr>
                <w:sz w:val="20"/>
                <w:szCs w:val="20"/>
                <w:color w:val="auto"/>
              </w:rPr>
            </w:pPr>
            <w:r>
              <w:rPr>
                <w:rFonts w:ascii="Arial" w:cs="Arial" w:eastAsia="Arial" w:hAnsi="Arial"/>
                <w:sz w:val="12"/>
                <w:szCs w:val="12"/>
                <w:color w:val="auto"/>
              </w:rPr>
              <w:t>(5,764)</w:t>
            </w:r>
          </w:p>
        </w:tc>
        <w:tc>
          <w:tcPr>
            <w:tcW w:w="120" w:type="dxa"/>
            <w:vAlign w:val="bottom"/>
          </w:tcPr>
          <w:p>
            <w:pPr>
              <w:spacing w:after="0"/>
              <w:rPr>
                <w:sz w:val="21"/>
                <w:szCs w:val="21"/>
                <w:color w:val="auto"/>
              </w:rPr>
            </w:pPr>
          </w:p>
        </w:tc>
        <w:tc>
          <w:tcPr>
            <w:tcW w:w="740" w:type="dxa"/>
            <w:vAlign w:val="bottom"/>
            <w:gridSpan w:val="4"/>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(149,252)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43" w:orient="portrait"/>
          <w:cols w:equalWidth="0" w:num="1">
            <w:col w:w="10780"/>
          </w:cols>
          <w:pgMar w:left="260" w:top="616" w:right="859" w:bottom="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color w:val="auto"/>
        </w:rPr>
        <w:t>Cash flows from financing activities:</w:t>
      </w:r>
    </w:p>
    <w:p>
      <w:pPr>
        <w:sectPr>
          <w:pgSz w:w="11900" w:h="16843" w:orient="portrait"/>
          <w:cols w:equalWidth="0" w:num="1">
            <w:col w:w="10780"/>
          </w:cols>
          <w:pgMar w:left="260" w:top="616" w:right="859" w:bottom="0" w:gutter="0" w:footer="0" w:header="0"/>
          <w:type w:val="continuous"/>
        </w:sectPr>
      </w:pPr>
    </w:p>
    <w:bookmarkStart w:id="12" w:name="page13"/>
    <w:bookmarkEnd w:id="12"/>
    <w:tbl>
      <w:tblPr>
        <w:tblLayout w:type="fixed"/>
        <w:tblInd w:w="20" w:type="dxa"/>
        <w:tblCellMar>
          <w:top w:w="0" w:type="dxa"/>
          <w:left w:w="0" w:type="dxa"/>
          <w:bottom w:w="0" w:type="dxa"/>
          <w:right w:w="0" w:type="dxa"/>
        </w:tblCellMar>
      </w:tblPr>
      <w:tr>
        <w:trPr>
          <w:trHeight w:val="156"/>
        </w:trPr>
        <w:tc>
          <w:tcPr>
            <w:tcW w:w="2680" w:type="dxa"/>
            <w:vAlign w:val="bottom"/>
          </w:tcPr>
          <w:p>
            <w:pPr>
              <w:spacing w:after="0"/>
              <w:rPr>
                <w:sz w:val="20"/>
                <w:szCs w:val="20"/>
                <w:color w:val="auto"/>
              </w:rPr>
            </w:pPr>
            <w:r>
              <w:rPr>
                <w:rFonts w:ascii="Arial" w:cs="Arial" w:eastAsia="Arial" w:hAnsi="Arial"/>
                <w:sz w:val="12"/>
                <w:szCs w:val="12"/>
                <w:color w:val="auto"/>
              </w:rPr>
              <w:t>Proceeds from borrowings under long-term debt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152,872</w:t>
            </w: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417,660</w:t>
            </w: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679"/>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2"/>
                <w:szCs w:val="12"/>
                <w:color w:val="auto"/>
              </w:rPr>
              <w:t>(1,731)</w:t>
            </w:r>
          </w:p>
        </w:tc>
        <w:tc>
          <w:tcPr>
            <w:tcW w:w="6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568,801</w:t>
            </w:r>
          </w:p>
        </w:tc>
      </w:tr>
      <w:tr>
        <w:trPr>
          <w:trHeight w:val="246"/>
        </w:trPr>
        <w:tc>
          <w:tcPr>
            <w:tcW w:w="2680" w:type="dxa"/>
            <w:vAlign w:val="bottom"/>
          </w:tcPr>
          <w:p>
            <w:pPr>
              <w:spacing w:after="0"/>
              <w:rPr>
                <w:sz w:val="20"/>
                <w:szCs w:val="20"/>
                <w:color w:val="auto"/>
              </w:rPr>
            </w:pPr>
            <w:r>
              <w:rPr>
                <w:rFonts w:ascii="Arial" w:cs="Arial" w:eastAsia="Arial" w:hAnsi="Arial"/>
                <w:sz w:val="12"/>
                <w:szCs w:val="12"/>
                <w:color w:val="auto"/>
              </w:rPr>
              <w:t>Payments on long-term debt</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(505,871)</w:t>
            </w: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1180" w:type="dxa"/>
            <w:vAlign w:val="bottom"/>
          </w:tcPr>
          <w:p>
            <w:pPr>
              <w:jc w:val="right"/>
              <w:ind w:right="679"/>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(505,871)</w:t>
            </w:r>
          </w:p>
        </w:tc>
      </w:tr>
      <w:tr>
        <w:trPr>
          <w:trHeight w:val="246"/>
        </w:trPr>
        <w:tc>
          <w:tcPr>
            <w:tcW w:w="2680" w:type="dxa"/>
            <w:vAlign w:val="bottom"/>
          </w:tcPr>
          <w:p>
            <w:pPr>
              <w:spacing w:after="0"/>
              <w:rPr>
                <w:sz w:val="20"/>
                <w:szCs w:val="20"/>
                <w:color w:val="auto"/>
              </w:rPr>
            </w:pPr>
            <w:r>
              <w:rPr>
                <w:rFonts w:ascii="Arial" w:cs="Arial" w:eastAsia="Arial" w:hAnsi="Arial"/>
                <w:sz w:val="12"/>
                <w:szCs w:val="12"/>
                <w:color w:val="auto"/>
              </w:rPr>
              <w:t>Advances to (from) affiliates</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(151,629)</w:t>
            </w: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142,712</w:t>
            </w: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6,433</w:t>
            </w:r>
          </w:p>
        </w:tc>
        <w:tc>
          <w:tcPr>
            <w:tcW w:w="1180" w:type="dxa"/>
            <w:vAlign w:val="bottom"/>
          </w:tcPr>
          <w:p>
            <w:pPr>
              <w:jc w:val="right"/>
              <w:ind w:right="679"/>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8"/>
                <w:szCs w:val="8"/>
                <w:color w:val="auto"/>
                <w:w w:val="74"/>
              </w:rPr>
              <w:t>317</w:t>
            </w:r>
          </w:p>
        </w:tc>
        <w:tc>
          <w:tcPr>
            <w:tcW w:w="1000" w:type="dxa"/>
            <w:vAlign w:val="bottom"/>
            <w:gridSpan w:val="3"/>
          </w:tcPr>
          <w:p>
            <w:pPr>
              <w:jc w:val="right"/>
              <w:ind w:right="400"/>
              <w:spacing w:after="0"/>
              <w:rPr>
                <w:sz w:val="20"/>
                <w:szCs w:val="20"/>
                <w:color w:val="auto"/>
              </w:rPr>
            </w:pPr>
            <w:r>
              <w:rPr>
                <w:rFonts w:ascii="Arial" w:cs="Arial" w:eastAsia="Arial" w:hAnsi="Arial"/>
                <w:sz w:val="12"/>
                <w:szCs w:val="12"/>
                <w:color w:val="auto"/>
              </w:rPr>
              <w:t>2,167</w:t>
            </w:r>
          </w:p>
        </w:tc>
        <w:tc>
          <w:tcPr>
            <w:tcW w:w="6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w:t>
            </w:r>
          </w:p>
        </w:tc>
      </w:tr>
      <w:tr>
        <w:trPr>
          <w:trHeight w:val="222"/>
        </w:trPr>
        <w:tc>
          <w:tcPr>
            <w:tcW w:w="2680" w:type="dxa"/>
            <w:vAlign w:val="bottom"/>
          </w:tcPr>
          <w:p>
            <w:pPr>
              <w:spacing w:after="0"/>
              <w:rPr>
                <w:sz w:val="20"/>
                <w:szCs w:val="20"/>
                <w:color w:val="auto"/>
              </w:rPr>
            </w:pPr>
            <w:r>
              <w:rPr>
                <w:rFonts w:ascii="Arial" w:cs="Arial" w:eastAsia="Arial" w:hAnsi="Arial"/>
                <w:sz w:val="12"/>
                <w:szCs w:val="12"/>
                <w:color w:val="auto"/>
              </w:rPr>
              <w:t>Other financing activities</w:t>
            </w:r>
          </w:p>
        </w:tc>
        <w:tc>
          <w:tcPr>
            <w:tcW w:w="44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(4,652)</w:t>
            </w:r>
          </w:p>
        </w:tc>
        <w:tc>
          <w:tcPr>
            <w:tcW w:w="50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(2,399)</w:t>
            </w:r>
          </w:p>
        </w:tc>
        <w:tc>
          <w:tcPr>
            <w:tcW w:w="1280" w:type="dxa"/>
            <w:vAlign w:val="bottom"/>
            <w:gridSpan w:val="3"/>
          </w:tcPr>
          <w:p>
            <w:pPr>
              <w:jc w:val="right"/>
              <w:ind w:right="420"/>
              <w:spacing w:after="0"/>
              <w:rPr>
                <w:sz w:val="20"/>
                <w:szCs w:val="20"/>
                <w:color w:val="auto"/>
              </w:rPr>
            </w:pPr>
            <w:r>
              <w:rPr>
                <w:rFonts w:ascii="Arial" w:cs="Arial" w:eastAsia="Arial" w:hAnsi="Arial"/>
                <w:sz w:val="12"/>
                <w:szCs w:val="12"/>
                <w:u w:val="single" w:color="auto"/>
                <w:color w:val="auto"/>
              </w:rPr>
              <w:t>-</w:t>
            </w:r>
          </w:p>
        </w:tc>
        <w:tc>
          <w:tcPr>
            <w:tcW w:w="1180" w:type="dxa"/>
            <w:vAlign w:val="bottom"/>
          </w:tcPr>
          <w:p>
            <w:pPr>
              <w:jc w:val="right"/>
              <w:ind w:right="679"/>
              <w:spacing w:after="0"/>
              <w:rPr>
                <w:sz w:val="20"/>
                <w:szCs w:val="20"/>
                <w:color w:val="auto"/>
              </w:rPr>
            </w:pPr>
            <w:r>
              <w:rPr>
                <w:rFonts w:ascii="Arial" w:cs="Arial" w:eastAsia="Arial" w:hAnsi="Arial"/>
                <w:sz w:val="12"/>
                <w:szCs w:val="12"/>
                <w:u w:val="single" w:color="auto"/>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12"/>
                <w:szCs w:val="12"/>
                <w:u w:val="single" w:color="auto"/>
                <w:color w:val="auto"/>
              </w:rPr>
              <w:t>-</w:t>
            </w:r>
          </w:p>
        </w:tc>
        <w:tc>
          <w:tcPr>
            <w:tcW w:w="1000" w:type="dxa"/>
            <w:vAlign w:val="bottom"/>
            <w:gridSpan w:val="3"/>
          </w:tcPr>
          <w:p>
            <w:pPr>
              <w:jc w:val="right"/>
              <w:ind w:right="400"/>
              <w:spacing w:after="0"/>
              <w:rPr>
                <w:sz w:val="20"/>
                <w:szCs w:val="20"/>
                <w:color w:val="auto"/>
              </w:rPr>
            </w:pPr>
            <w:r>
              <w:rPr>
                <w:rFonts w:ascii="Arial" w:cs="Arial" w:eastAsia="Arial" w:hAnsi="Arial"/>
                <w:sz w:val="12"/>
                <w:szCs w:val="12"/>
                <w:u w:val="single" w:color="auto"/>
                <w:color w:val="auto"/>
              </w:rPr>
              <w:t>-</w:t>
            </w:r>
          </w:p>
        </w:tc>
        <w:tc>
          <w:tcPr>
            <w:tcW w:w="620" w:type="dxa"/>
            <w:vAlign w:val="bottom"/>
          </w:tcPr>
          <w:p>
            <w:pPr>
              <w:jc w:val="right"/>
              <w:ind w:right="99"/>
              <w:spacing w:after="0"/>
              <w:rPr>
                <w:sz w:val="20"/>
                <w:szCs w:val="20"/>
                <w:color w:val="auto"/>
              </w:rPr>
            </w:pPr>
            <w:r>
              <w:rPr>
                <w:rFonts w:ascii="Arial" w:cs="Arial" w:eastAsia="Arial" w:hAnsi="Arial"/>
                <w:sz w:val="12"/>
                <w:szCs w:val="12"/>
                <w:u w:val="single" w:color="auto"/>
                <w:color w:val="auto"/>
              </w:rPr>
              <w:t>-</w:t>
            </w:r>
          </w:p>
        </w:tc>
        <w:tc>
          <w:tcPr>
            <w:tcW w:w="300" w:type="dxa"/>
            <w:vAlign w:val="bottom"/>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w w:val="89"/>
              </w:rPr>
              <w:t>(7,051)</w:t>
            </w:r>
          </w:p>
        </w:tc>
      </w:tr>
      <w:tr>
        <w:trPr>
          <w:trHeight w:val="250"/>
        </w:trPr>
        <w:tc>
          <w:tcPr>
            <w:tcW w:w="2680" w:type="dxa"/>
            <w:vAlign w:val="bottom"/>
          </w:tcPr>
          <w:p>
            <w:pPr>
              <w:spacing w:after="0"/>
              <w:rPr>
                <w:sz w:val="20"/>
                <w:szCs w:val="20"/>
                <w:color w:val="auto"/>
              </w:rPr>
            </w:pPr>
            <w:r>
              <w:rPr>
                <w:rFonts w:ascii="Arial" w:cs="Arial" w:eastAsia="Arial" w:hAnsi="Arial"/>
                <w:sz w:val="12"/>
                <w:szCs w:val="12"/>
                <w:color w:val="auto"/>
              </w:rPr>
              <w:t>Net cash provided by financing activities</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(3,409)</w:t>
            </w: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52,102</w:t>
            </w: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6,433</w:t>
            </w:r>
          </w:p>
        </w:tc>
        <w:tc>
          <w:tcPr>
            <w:tcW w:w="1180" w:type="dxa"/>
            <w:vAlign w:val="bottom"/>
          </w:tcPr>
          <w:p>
            <w:pPr>
              <w:jc w:val="right"/>
              <w:ind w:right="679"/>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8"/>
                <w:szCs w:val="8"/>
                <w:color w:val="auto"/>
                <w:w w:val="74"/>
              </w:rPr>
              <w:t>317</w:t>
            </w:r>
          </w:p>
        </w:tc>
        <w:tc>
          <w:tcPr>
            <w:tcW w:w="1000" w:type="dxa"/>
            <w:vAlign w:val="bottom"/>
            <w:gridSpan w:val="3"/>
          </w:tcPr>
          <w:p>
            <w:pPr>
              <w:jc w:val="right"/>
              <w:ind w:right="400"/>
              <w:spacing w:after="0"/>
              <w:rPr>
                <w:sz w:val="20"/>
                <w:szCs w:val="20"/>
                <w:color w:val="auto"/>
              </w:rPr>
            </w:pPr>
            <w:r>
              <w:rPr>
                <w:rFonts w:ascii="Arial" w:cs="Arial" w:eastAsia="Arial" w:hAnsi="Arial"/>
                <w:sz w:val="12"/>
                <w:szCs w:val="12"/>
                <w:color w:val="auto"/>
              </w:rPr>
              <w:t>436</w:t>
            </w:r>
          </w:p>
        </w:tc>
        <w:tc>
          <w:tcPr>
            <w:tcW w:w="6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55,879</w:t>
            </w:r>
          </w:p>
        </w:tc>
      </w:tr>
      <w:tr>
        <w:trPr>
          <w:trHeight w:val="492"/>
        </w:trPr>
        <w:tc>
          <w:tcPr>
            <w:tcW w:w="2680" w:type="dxa"/>
            <w:vAlign w:val="bottom"/>
          </w:tcPr>
          <w:p>
            <w:pPr>
              <w:spacing w:after="0"/>
              <w:rPr>
                <w:sz w:val="20"/>
                <w:szCs w:val="20"/>
                <w:color w:val="auto"/>
              </w:rPr>
            </w:pPr>
            <w:r>
              <w:rPr>
                <w:rFonts w:ascii="Arial" w:cs="Arial" w:eastAsia="Arial" w:hAnsi="Arial"/>
                <w:sz w:val="12"/>
                <w:szCs w:val="12"/>
                <w:color w:val="auto"/>
              </w:rPr>
              <w:t>Net increase in cash and cash equivalents</w:t>
            </w: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(2,041)</w:t>
            </w: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(76)</w:t>
            </w:r>
          </w:p>
        </w:tc>
        <w:tc>
          <w:tcPr>
            <w:tcW w:w="1180" w:type="dxa"/>
            <w:vAlign w:val="bottom"/>
          </w:tcPr>
          <w:p>
            <w:pPr>
              <w:jc w:val="right"/>
              <w:ind w:right="679"/>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8"/>
                <w:szCs w:val="8"/>
                <w:color w:val="auto"/>
                <w:w w:val="74"/>
              </w:rPr>
              <w:t>172</w:t>
            </w:r>
          </w:p>
        </w:tc>
        <w:tc>
          <w:tcPr>
            <w:tcW w:w="1000" w:type="dxa"/>
            <w:vAlign w:val="bottom"/>
            <w:gridSpan w:val="3"/>
          </w:tcPr>
          <w:p>
            <w:pPr>
              <w:jc w:val="right"/>
              <w:ind w:right="400"/>
              <w:spacing w:after="0"/>
              <w:rPr>
                <w:sz w:val="20"/>
                <w:szCs w:val="20"/>
                <w:color w:val="auto"/>
              </w:rPr>
            </w:pPr>
            <w:r>
              <w:rPr>
                <w:rFonts w:ascii="Arial" w:cs="Arial" w:eastAsia="Arial" w:hAnsi="Arial"/>
                <w:sz w:val="12"/>
                <w:szCs w:val="12"/>
                <w:color w:val="auto"/>
              </w:rPr>
              <w:t>181</w:t>
            </w:r>
          </w:p>
        </w:tc>
        <w:tc>
          <w:tcPr>
            <w:tcW w:w="62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(1,764)</w:t>
            </w:r>
          </w:p>
        </w:tc>
      </w:tr>
      <w:tr>
        <w:trPr>
          <w:trHeight w:val="492"/>
        </w:trPr>
        <w:tc>
          <w:tcPr>
            <w:tcW w:w="268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22"/>
        </w:trPr>
        <w:tc>
          <w:tcPr>
            <w:tcW w:w="2680" w:type="dxa"/>
            <w:vAlign w:val="bottom"/>
          </w:tcPr>
          <w:p>
            <w:pPr>
              <w:spacing w:after="0"/>
              <w:rPr>
                <w:sz w:val="20"/>
                <w:szCs w:val="20"/>
                <w:color w:val="auto"/>
              </w:rPr>
            </w:pPr>
            <w:r>
              <w:rPr>
                <w:rFonts w:ascii="Arial" w:cs="Arial" w:eastAsia="Arial" w:hAnsi="Arial"/>
                <w:sz w:val="12"/>
                <w:szCs w:val="12"/>
                <w:color w:val="auto"/>
              </w:rPr>
              <w:t>Beginning of period</w:t>
            </w:r>
          </w:p>
        </w:tc>
        <w:tc>
          <w:tcPr>
            <w:tcW w:w="80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p>
        </w:tc>
        <w:tc>
          <w:tcPr>
            <w:tcW w:w="520" w:type="dxa"/>
            <w:vAlign w:val="bottom"/>
            <w:gridSpan w:val="2"/>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24,281</w:t>
            </w: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568</w:t>
            </w:r>
          </w:p>
        </w:tc>
        <w:tc>
          <w:tcPr>
            <w:tcW w:w="1180" w:type="dxa"/>
            <w:vAlign w:val="bottom"/>
          </w:tcPr>
          <w:p>
            <w:pPr>
              <w:jc w:val="right"/>
              <w:ind w:right="679"/>
              <w:spacing w:after="0"/>
              <w:rPr>
                <w:sz w:val="20"/>
                <w:szCs w:val="20"/>
                <w:color w:val="auto"/>
              </w:rPr>
            </w:pPr>
            <w:r>
              <w:rPr>
                <w:rFonts w:ascii="Arial" w:cs="Arial" w:eastAsia="Arial" w:hAnsi="Arial"/>
                <w:sz w:val="12"/>
                <w:szCs w:val="12"/>
                <w:u w:val="single" w:color="auto"/>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12"/>
                <w:szCs w:val="12"/>
                <w:color w:val="auto"/>
                <w:w w:val="74"/>
              </w:rPr>
              <w:t>48</w:t>
            </w:r>
          </w:p>
        </w:tc>
        <w:tc>
          <w:tcPr>
            <w:tcW w:w="1000" w:type="dxa"/>
            <w:vAlign w:val="bottom"/>
            <w:gridSpan w:val="3"/>
          </w:tcPr>
          <w:p>
            <w:pPr>
              <w:jc w:val="right"/>
              <w:ind w:right="400"/>
              <w:spacing w:after="0"/>
              <w:rPr>
                <w:sz w:val="20"/>
                <w:szCs w:val="20"/>
                <w:color w:val="auto"/>
              </w:rPr>
            </w:pPr>
            <w:r>
              <w:rPr>
                <w:rFonts w:ascii="Arial" w:cs="Arial" w:eastAsia="Arial" w:hAnsi="Arial"/>
                <w:sz w:val="12"/>
                <w:szCs w:val="12"/>
                <w:color w:val="auto"/>
              </w:rPr>
              <w:t>3,097</w:t>
            </w:r>
          </w:p>
        </w:tc>
        <w:tc>
          <w:tcPr>
            <w:tcW w:w="620" w:type="dxa"/>
            <w:vAlign w:val="bottom"/>
          </w:tcPr>
          <w:p>
            <w:pPr>
              <w:jc w:val="right"/>
              <w:ind w:right="99"/>
              <w:spacing w:after="0"/>
              <w:rPr>
                <w:sz w:val="20"/>
                <w:szCs w:val="20"/>
                <w:color w:val="auto"/>
              </w:rPr>
            </w:pPr>
            <w:r>
              <w:rPr>
                <w:rFonts w:ascii="Arial" w:cs="Arial" w:eastAsia="Arial" w:hAnsi="Arial"/>
                <w:sz w:val="12"/>
                <w:szCs w:val="12"/>
                <w:u w:val="single" w:color="auto"/>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27,994</w:t>
            </w:r>
          </w:p>
        </w:tc>
      </w:tr>
      <w:tr>
        <w:trPr>
          <w:trHeight w:val="20"/>
        </w:trPr>
        <w:tc>
          <w:tcPr>
            <w:tcW w:w="26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r>
        <w:trPr>
          <w:trHeight w:val="226"/>
        </w:trPr>
        <w:tc>
          <w:tcPr>
            <w:tcW w:w="2680" w:type="dxa"/>
            <w:vAlign w:val="bottom"/>
          </w:tcPr>
          <w:p>
            <w:pPr>
              <w:spacing w:after="0"/>
              <w:rPr>
                <w:sz w:val="20"/>
                <w:szCs w:val="20"/>
                <w:color w:val="auto"/>
              </w:rPr>
            </w:pPr>
            <w:r>
              <w:rPr>
                <w:rFonts w:ascii="Arial" w:cs="Arial" w:eastAsia="Arial" w:hAnsi="Arial"/>
                <w:sz w:val="12"/>
                <w:szCs w:val="12"/>
                <w:color w:val="auto"/>
              </w:rPr>
              <w:t>End of period</w:t>
            </w:r>
          </w:p>
        </w:tc>
        <w:tc>
          <w:tcPr>
            <w:tcW w:w="800" w:type="dxa"/>
            <w:vAlign w:val="bottom"/>
            <w:gridSpan w:val="2"/>
          </w:tcPr>
          <w:p>
            <w:pPr>
              <w:jc w:val="right"/>
              <w:spacing w:after="0"/>
              <w:rPr>
                <w:sz w:val="20"/>
                <w:szCs w:val="20"/>
                <w:color w:val="auto"/>
              </w:rPr>
            </w:pPr>
            <w:r>
              <w:rPr>
                <w:rFonts w:ascii="Arial" w:cs="Arial" w:eastAsia="Arial" w:hAnsi="Arial"/>
                <w:sz w:val="12"/>
                <w:szCs w:val="12"/>
                <w:u w:val="single" w:color="auto"/>
                <w:color w:val="auto"/>
              </w:rPr>
              <w:t>-</w:t>
            </w:r>
          </w:p>
        </w:tc>
        <w:tc>
          <w:tcPr>
            <w:tcW w:w="520" w:type="dxa"/>
            <w:vAlign w:val="bottom"/>
            <w:gridSpan w:val="2"/>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2"/>
                <w:szCs w:val="12"/>
                <w:color w:val="auto"/>
                <w:w w:val="87"/>
              </w:rPr>
              <w:t>22,240</w:t>
            </w:r>
          </w:p>
        </w:tc>
        <w:tc>
          <w:tcPr>
            <w:tcW w:w="1280" w:type="dxa"/>
            <w:vAlign w:val="bottom"/>
            <w:gridSpan w:val="3"/>
          </w:tcPr>
          <w:p>
            <w:pPr>
              <w:jc w:val="right"/>
              <w:ind w:right="420"/>
              <w:spacing w:after="0"/>
              <w:rPr>
                <w:sz w:val="20"/>
                <w:szCs w:val="20"/>
                <w:color w:val="auto"/>
              </w:rPr>
            </w:pPr>
            <w:r>
              <w:rPr>
                <w:rFonts w:ascii="Arial" w:cs="Arial" w:eastAsia="Arial" w:hAnsi="Arial"/>
                <w:sz w:val="12"/>
                <w:szCs w:val="12"/>
                <w:color w:val="auto"/>
              </w:rPr>
              <w:t>492</w:t>
            </w:r>
          </w:p>
        </w:tc>
        <w:tc>
          <w:tcPr>
            <w:tcW w:w="1180" w:type="dxa"/>
            <w:vAlign w:val="bottom"/>
          </w:tcPr>
          <w:p>
            <w:pPr>
              <w:jc w:val="right"/>
              <w:ind w:right="679"/>
              <w:spacing w:after="0"/>
              <w:rPr>
                <w:sz w:val="20"/>
                <w:szCs w:val="20"/>
                <w:color w:val="auto"/>
              </w:rPr>
            </w:pPr>
            <w:r>
              <w:rPr>
                <w:rFonts w:ascii="Arial" w:cs="Arial" w:eastAsia="Arial" w:hAnsi="Arial"/>
                <w:sz w:val="12"/>
                <w:szCs w:val="12"/>
                <w:u w:val="single" w:color="auto"/>
                <w:color w:val="auto"/>
              </w:rPr>
              <w:t>-</w:t>
            </w:r>
          </w:p>
        </w:tc>
        <w:tc>
          <w:tcPr>
            <w:tcW w:w="380" w:type="dxa"/>
            <w:vAlign w:val="bottom"/>
            <w:gridSpan w:val="2"/>
          </w:tcPr>
          <w:p>
            <w:pPr>
              <w:jc w:val="right"/>
              <w:ind w:right="260"/>
              <w:spacing w:after="0"/>
              <w:rPr>
                <w:sz w:val="20"/>
                <w:szCs w:val="20"/>
                <w:color w:val="auto"/>
              </w:rPr>
            </w:pPr>
            <w:r>
              <w:rPr>
                <w:rFonts w:ascii="Arial" w:cs="Arial" w:eastAsia="Arial" w:hAnsi="Arial"/>
                <w:sz w:val="8"/>
                <w:szCs w:val="8"/>
                <w:color w:val="auto"/>
                <w:w w:val="74"/>
              </w:rPr>
              <w:t>220</w:t>
            </w:r>
          </w:p>
        </w:tc>
        <w:tc>
          <w:tcPr>
            <w:tcW w:w="1000" w:type="dxa"/>
            <w:vAlign w:val="bottom"/>
            <w:gridSpan w:val="3"/>
          </w:tcPr>
          <w:p>
            <w:pPr>
              <w:jc w:val="right"/>
              <w:ind w:right="400"/>
              <w:spacing w:after="0"/>
              <w:rPr>
                <w:sz w:val="20"/>
                <w:szCs w:val="20"/>
                <w:color w:val="auto"/>
              </w:rPr>
            </w:pPr>
            <w:r>
              <w:rPr>
                <w:rFonts w:ascii="Arial" w:cs="Arial" w:eastAsia="Arial" w:hAnsi="Arial"/>
                <w:sz w:val="12"/>
                <w:szCs w:val="12"/>
                <w:color w:val="auto"/>
              </w:rPr>
              <w:t>3,278</w:t>
            </w:r>
          </w:p>
        </w:tc>
        <w:tc>
          <w:tcPr>
            <w:tcW w:w="620" w:type="dxa"/>
            <w:vAlign w:val="bottom"/>
          </w:tcPr>
          <w:p>
            <w:pPr>
              <w:jc w:val="right"/>
              <w:ind w:right="99"/>
              <w:spacing w:after="0"/>
              <w:rPr>
                <w:sz w:val="20"/>
                <w:szCs w:val="20"/>
                <w:color w:val="auto"/>
              </w:rPr>
            </w:pPr>
            <w:r>
              <w:rPr>
                <w:rFonts w:ascii="Arial" w:cs="Arial" w:eastAsia="Arial" w:hAnsi="Arial"/>
                <w:sz w:val="12"/>
                <w:szCs w:val="12"/>
                <w:u w:val="single" w:color="auto"/>
                <w:color w:val="auto"/>
              </w:rPr>
              <w:t>-</w:t>
            </w:r>
          </w:p>
        </w:tc>
        <w:tc>
          <w:tcPr>
            <w:tcW w:w="660" w:type="dxa"/>
            <w:vAlign w:val="bottom"/>
            <w:gridSpan w:val="3"/>
          </w:tcPr>
          <w:p>
            <w:pPr>
              <w:jc w:val="right"/>
              <w:spacing w:after="0"/>
              <w:rPr>
                <w:sz w:val="20"/>
                <w:szCs w:val="20"/>
                <w:color w:val="auto"/>
              </w:rPr>
            </w:pPr>
            <w:r>
              <w:rPr>
                <w:rFonts w:ascii="Arial" w:cs="Arial" w:eastAsia="Arial" w:hAnsi="Arial"/>
                <w:sz w:val="12"/>
                <w:szCs w:val="12"/>
                <w:color w:val="auto"/>
              </w:rPr>
              <w:t>26,230</w:t>
            </w:r>
          </w:p>
        </w:tc>
      </w:tr>
      <w:tr>
        <w:trPr>
          <w:trHeight w:val="20"/>
        </w:trPr>
        <w:tc>
          <w:tcPr>
            <w:tcW w:w="2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31" w:right="259" w:bottom="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Investments in Affiliates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Company held the following investments in equity-method affiliates as of January 31, 2003:</w:t>
      </w:r>
    </w:p>
    <w:p>
      <w:pPr>
        <w:spacing w:after="0" w:line="364" w:lineRule="exact"/>
        <w:rPr>
          <w:sz w:val="20"/>
          <w:szCs w:val="20"/>
          <w:color w:val="auto"/>
        </w:rPr>
      </w:pPr>
    </w:p>
    <w:p>
      <w:pPr>
        <w:ind w:left="2900"/>
        <w:spacing w:after="0"/>
        <w:rPr>
          <w:sz w:val="20"/>
          <w:szCs w:val="20"/>
          <w:color w:val="auto"/>
        </w:rPr>
      </w:pPr>
      <w:r>
        <w:rPr>
          <w:rFonts w:ascii="Arial" w:cs="Arial" w:eastAsia="Arial" w:hAnsi="Arial"/>
          <w:sz w:val="12"/>
          <w:szCs w:val="12"/>
          <w:b w:val="1"/>
          <w:bCs w:val="1"/>
          <w:color w:val="auto"/>
        </w:rPr>
        <w:t>Equity Method Investees</w:t>
      </w:r>
    </w:p>
    <w:p>
      <w:pPr>
        <w:spacing w:after="0" w:line="112"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Keystone/Intrawest, LLC ("KRED")</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1"/>
          <w:szCs w:val="11"/>
          <w:color w:val="auto"/>
        </w:rPr>
        <w:t>Slifer, Smith, and Frampton/Vail Associates Real Estate, LLC ("SSF/VARE")</w:t>
      </w:r>
    </w:p>
    <w:p>
      <w:pPr>
        <w:spacing w:after="0" w:line="119"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Breckenridge Terrace, LLC</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Avon Partners II, LLC</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Tenderfoot Seasonal Housing, LLC</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Bachelor Gulch Resort, LLC</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Eagle Park Reservoir Company</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FFT Investment Partners</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The Tarnes at BC, LLC</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BC Housing, LLC</w:t>
      </w:r>
    </w:p>
    <w:p>
      <w:pPr>
        <w:spacing w:after="0" w:line="108"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Eclipse Television &amp; Sports Marketing,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040"/>
        <w:spacing w:after="0"/>
        <w:rPr>
          <w:sz w:val="20"/>
          <w:szCs w:val="20"/>
          <w:color w:val="auto"/>
        </w:rPr>
      </w:pPr>
      <w:r>
        <w:rPr>
          <w:rFonts w:ascii="Arial" w:cs="Arial" w:eastAsia="Arial" w:hAnsi="Arial"/>
          <w:sz w:val="11"/>
          <w:szCs w:val="11"/>
          <w:b w:val="1"/>
          <w:bCs w:val="1"/>
          <w:color w:val="auto"/>
        </w:rPr>
        <w:t>Ownership</w:t>
      </w:r>
    </w:p>
    <w:p>
      <w:pPr>
        <w:spacing w:after="0" w:line="23" w:lineRule="exact"/>
        <w:rPr>
          <w:sz w:val="20"/>
          <w:szCs w:val="20"/>
          <w:color w:val="auto"/>
        </w:rPr>
      </w:pPr>
    </w:p>
    <w:p>
      <w:pPr>
        <w:jc w:val="center"/>
        <w:ind w:right="3040"/>
        <w:spacing w:after="0"/>
        <w:rPr>
          <w:sz w:val="20"/>
          <w:szCs w:val="20"/>
          <w:color w:val="auto"/>
        </w:rPr>
      </w:pPr>
      <w:r>
        <w:rPr>
          <w:rFonts w:ascii="Arial" w:cs="Arial" w:eastAsia="Arial" w:hAnsi="Arial"/>
          <w:sz w:val="12"/>
          <w:szCs w:val="12"/>
          <w:b w:val="1"/>
          <w:bCs w:val="1"/>
          <w:color w:val="auto"/>
        </w:rPr>
        <w:t>Interest</w:t>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50%</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50%</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50%</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50%</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50%</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49%</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46%</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45%</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31%</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26%</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25%</w:t>
      </w:r>
    </w:p>
    <w:p>
      <w:pPr>
        <w:spacing w:after="0" w:line="286" w:lineRule="exact"/>
        <w:rPr>
          <w:sz w:val="20"/>
          <w:szCs w:val="20"/>
          <w:color w:val="auto"/>
        </w:rPr>
      </w:pPr>
    </w:p>
    <w:p>
      <w:pPr>
        <w:sectPr>
          <w:pgSz w:w="11900" w:h="16838" w:orient="portrait"/>
          <w:cols w:equalWidth="0" w:num="2">
            <w:col w:w="7060" w:space="720"/>
            <w:col w:w="3620"/>
          </w:cols>
          <w:pgMar w:left="240" w:top="131" w:right="259" w:bottom="0" w:gutter="0" w:footer="0" w:header="0"/>
          <w:type w:val="continuous"/>
        </w:sectPr>
      </w:pPr>
    </w:p>
    <w:p>
      <w:pPr>
        <w:spacing w:after="0" w:line="6" w:lineRule="exact"/>
        <w:rPr>
          <w:sz w:val="20"/>
          <w:szCs w:val="20"/>
          <w:color w:val="auto"/>
        </w:rPr>
      </w:pPr>
    </w:p>
    <w:p>
      <w:pPr>
        <w:ind w:right="260"/>
        <w:spacing w:after="0" w:line="283" w:lineRule="auto"/>
        <w:rPr>
          <w:sz w:val="20"/>
          <w:szCs w:val="20"/>
          <w:color w:val="auto"/>
        </w:rPr>
      </w:pPr>
      <w:r>
        <w:rPr>
          <w:rFonts w:ascii="Arial" w:cs="Arial" w:eastAsia="Arial" w:hAnsi="Arial"/>
          <w:sz w:val="16"/>
          <w:szCs w:val="16"/>
          <w:color w:val="auto"/>
        </w:rPr>
        <w:t>Condensed financial data for investments in significant equity method subsidiaries are summarized below (in thousands). The KRED is presented for the three and six months ended December 31, 2002 and 2001.</w:t>
      </w:r>
    </w:p>
    <w:p>
      <w:pPr>
        <w:spacing w:after="0" w:line="248" w:lineRule="exact"/>
        <w:rPr>
          <w:sz w:val="20"/>
          <w:szCs w:val="20"/>
          <w:color w:val="auto"/>
        </w:rPr>
      </w:pPr>
    </w:p>
    <w:tbl>
      <w:tblPr>
        <w:tblLayout w:type="fixed"/>
        <w:tblInd w:w="326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KRED</w:t>
            </w:r>
          </w:p>
        </w:tc>
        <w:tc>
          <w:tcPr>
            <w:tcW w:w="300" w:type="dxa"/>
            <w:vAlign w:val="bottom"/>
          </w:tcPr>
          <w:p>
            <w:pPr>
              <w:spacing w:after="0"/>
              <w:rPr>
                <w:sz w:val="12"/>
                <w:szCs w:val="12"/>
                <w:color w:val="auto"/>
              </w:rPr>
            </w:pPr>
          </w:p>
        </w:tc>
      </w:tr>
      <w:tr>
        <w:trPr>
          <w:trHeight w:val="250"/>
        </w:trPr>
        <w:tc>
          <w:tcPr>
            <w:tcW w:w="3620" w:type="dxa"/>
            <w:vAlign w:val="bottom"/>
          </w:tcPr>
          <w:p>
            <w:pPr>
              <w:spacing w:after="0"/>
              <w:rPr>
                <w:sz w:val="21"/>
                <w:szCs w:val="21"/>
                <w:color w:val="auto"/>
              </w:rPr>
            </w:pPr>
          </w:p>
        </w:tc>
        <w:tc>
          <w:tcPr>
            <w:tcW w:w="1280" w:type="dxa"/>
            <w:vAlign w:val="bottom"/>
            <w:gridSpan w:val="4"/>
          </w:tcPr>
          <w:p>
            <w:pPr>
              <w:jc w:val="center"/>
              <w:ind w:left="259"/>
              <w:spacing w:after="0"/>
              <w:rPr>
                <w:sz w:val="20"/>
                <w:szCs w:val="20"/>
                <w:color w:val="auto"/>
              </w:rPr>
            </w:pPr>
            <w:r>
              <w:rPr>
                <w:rFonts w:ascii="Arial" w:cs="Arial" w:eastAsia="Arial" w:hAnsi="Arial"/>
                <w:sz w:val="12"/>
                <w:szCs w:val="12"/>
                <w:color w:val="auto"/>
                <w:w w:val="92"/>
              </w:rPr>
              <w:t>(unaudited)</w:t>
            </w:r>
          </w:p>
        </w:tc>
      </w:tr>
      <w:tr>
        <w:trPr>
          <w:trHeight w:val="246"/>
        </w:trPr>
        <w:tc>
          <w:tcPr>
            <w:tcW w:w="3620" w:type="dxa"/>
            <w:vAlign w:val="bottom"/>
          </w:tcPr>
          <w:p>
            <w:pPr>
              <w:spacing w:after="0"/>
              <w:rPr>
                <w:sz w:val="20"/>
                <w:szCs w:val="20"/>
                <w:color w:val="auto"/>
              </w:rPr>
            </w:pPr>
            <w:r>
              <w:rPr>
                <w:rFonts w:ascii="Arial" w:cs="Arial" w:eastAsia="Arial" w:hAnsi="Arial"/>
                <w:sz w:val="12"/>
                <w:szCs w:val="12"/>
                <w:i w:val="1"/>
                <w:iCs w:val="1"/>
                <w:color w:val="auto"/>
              </w:rPr>
              <w:t>Financial data for the three months ended December 31, 2002:</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Net revenue</w:t>
            </w:r>
          </w:p>
        </w:tc>
        <w:tc>
          <w:tcPr>
            <w:tcW w:w="72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2,259,786</w:t>
            </w: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Operating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37,358</w:t>
            </w: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Net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(494,473)</w:t>
            </w:r>
          </w:p>
        </w:tc>
      </w:tr>
      <w:tr>
        <w:trPr>
          <w:trHeight w:val="492"/>
        </w:trPr>
        <w:tc>
          <w:tcPr>
            <w:tcW w:w="3620" w:type="dxa"/>
            <w:vAlign w:val="bottom"/>
          </w:tcPr>
          <w:p>
            <w:pPr>
              <w:spacing w:after="0"/>
              <w:rPr>
                <w:sz w:val="20"/>
                <w:szCs w:val="20"/>
                <w:color w:val="auto"/>
              </w:rPr>
            </w:pPr>
            <w:r>
              <w:rPr>
                <w:rFonts w:ascii="Arial" w:cs="Arial" w:eastAsia="Arial" w:hAnsi="Arial"/>
                <w:sz w:val="12"/>
                <w:szCs w:val="12"/>
                <w:i w:val="1"/>
                <w:iCs w:val="1"/>
                <w:color w:val="auto"/>
              </w:rPr>
              <w:t>Financial data for the three months ended December 31, 2001: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Net revenue</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w w:val="89"/>
              </w:rPr>
              <w:t>23,594,026</w:t>
            </w: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Operating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4,196,629</w:t>
            </w: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Net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4,094,799</w:t>
            </w:r>
          </w:p>
        </w:tc>
      </w:tr>
      <w:tr>
        <w:trPr>
          <w:trHeight w:val="492"/>
        </w:trPr>
        <w:tc>
          <w:tcPr>
            <w:tcW w:w="3620" w:type="dxa"/>
            <w:vAlign w:val="bottom"/>
          </w:tcPr>
          <w:p>
            <w:pPr>
              <w:spacing w:after="0"/>
              <w:rPr>
                <w:sz w:val="20"/>
                <w:szCs w:val="20"/>
                <w:color w:val="auto"/>
              </w:rPr>
            </w:pPr>
            <w:r>
              <w:rPr>
                <w:rFonts w:ascii="Arial" w:cs="Arial" w:eastAsia="Arial" w:hAnsi="Arial"/>
                <w:sz w:val="12"/>
                <w:szCs w:val="12"/>
                <w:i w:val="1"/>
                <w:iCs w:val="1"/>
                <w:color w:val="auto"/>
              </w:rPr>
              <w:t>Financial data for the six months ended December 31, 2002:</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Net revenue</w:t>
            </w:r>
          </w:p>
        </w:tc>
        <w:tc>
          <w:tcPr>
            <w:tcW w:w="720" w:type="dxa"/>
            <w:vAlign w:val="bottom"/>
            <w:gridSpan w:val="2"/>
          </w:tcPr>
          <w:p>
            <w:pPr>
              <w:jc w:val="right"/>
              <w:ind w:right="19"/>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3,818,072</w:t>
            </w: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Operating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(31,135)</w:t>
            </w: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Net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(675,406)</w:t>
            </w:r>
          </w:p>
        </w:tc>
      </w:tr>
      <w:tr>
        <w:trPr>
          <w:trHeight w:val="492"/>
        </w:trPr>
        <w:tc>
          <w:tcPr>
            <w:tcW w:w="3620" w:type="dxa"/>
            <w:vAlign w:val="bottom"/>
          </w:tcPr>
          <w:p>
            <w:pPr>
              <w:spacing w:after="0"/>
              <w:rPr>
                <w:sz w:val="20"/>
                <w:szCs w:val="20"/>
                <w:color w:val="auto"/>
              </w:rPr>
            </w:pPr>
            <w:r>
              <w:rPr>
                <w:rFonts w:ascii="Arial" w:cs="Arial" w:eastAsia="Arial" w:hAnsi="Arial"/>
                <w:sz w:val="12"/>
                <w:szCs w:val="12"/>
                <w:i w:val="1"/>
                <w:iCs w:val="1"/>
                <w:color w:val="auto"/>
              </w:rPr>
              <w:t>Financial data for the six months ended December 31, 2001:</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Net revenue</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gridSpan w:val="2"/>
          </w:tcPr>
          <w:p>
            <w:pPr>
              <w:jc w:val="right"/>
              <w:spacing w:after="0"/>
              <w:rPr>
                <w:sz w:val="20"/>
                <w:szCs w:val="20"/>
                <w:color w:val="auto"/>
              </w:rPr>
            </w:pPr>
            <w:r>
              <w:rPr>
                <w:rFonts w:ascii="Arial" w:cs="Arial" w:eastAsia="Arial" w:hAnsi="Arial"/>
                <w:sz w:val="12"/>
                <w:szCs w:val="12"/>
                <w:color w:val="auto"/>
                <w:w w:val="89"/>
              </w:rPr>
              <w:t>37,855,631</w:t>
            </w: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Operating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6,654,119</w:t>
            </w:r>
          </w:p>
        </w:tc>
      </w:tr>
      <w:tr>
        <w:trPr>
          <w:trHeight w:val="246"/>
        </w:trPr>
        <w:tc>
          <w:tcPr>
            <w:tcW w:w="3620" w:type="dxa"/>
            <w:vAlign w:val="bottom"/>
          </w:tcPr>
          <w:p>
            <w:pPr>
              <w:ind w:left="360"/>
              <w:spacing w:after="0"/>
              <w:rPr>
                <w:sz w:val="20"/>
                <w:szCs w:val="20"/>
                <w:color w:val="auto"/>
              </w:rPr>
            </w:pPr>
            <w:r>
              <w:rPr>
                <w:rFonts w:ascii="Arial" w:cs="Arial" w:eastAsia="Arial" w:hAnsi="Arial"/>
                <w:sz w:val="12"/>
                <w:szCs w:val="12"/>
                <w:color w:val="auto"/>
              </w:rPr>
              <w:t>Net income</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6,476,732</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Variable Interest Entities</w:t>
      </w:r>
    </w:p>
    <w:p>
      <w:pPr>
        <w:spacing w:after="0" w:line="213" w:lineRule="exact"/>
        <w:rPr>
          <w:sz w:val="20"/>
          <w:szCs w:val="20"/>
          <w:color w:val="auto"/>
        </w:rPr>
      </w:pPr>
    </w:p>
    <w:p>
      <w:pPr>
        <w:ind w:right="60"/>
        <w:spacing w:after="0" w:line="325" w:lineRule="auto"/>
        <w:rPr>
          <w:sz w:val="20"/>
          <w:szCs w:val="20"/>
          <w:color w:val="auto"/>
        </w:rPr>
      </w:pPr>
      <w:r>
        <w:rPr>
          <w:rFonts w:ascii="Arial" w:cs="Arial" w:eastAsia="Arial" w:hAnsi="Arial"/>
          <w:sz w:val="14"/>
          <w:szCs w:val="14"/>
          <w:color w:val="auto"/>
        </w:rPr>
        <w:t>The Company is currently evaluating its investments (primarily investments in entities accounted for under the equity method) to determine whether these investments meet the definition of VIEs under FIN No. 46. If the Company determines that these investments are VIEs, it is reasonably possible that the Company would be determined to be the primary beneficiary as defined in FIN No. 46. If it is determined that the Company is the primary beneficiary of a VIE, the Company would be required to consolidate that entity.</w:t>
      </w:r>
    </w:p>
    <w:p>
      <w:pPr>
        <w:spacing w:after="0" w:line="13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Four entities are the metropolitan districts discussed in Note 7, Commitments and Contingencies, to the Notes of the Consolidated Condensed Financial Statements. These entities have total assets of $170.0 million. The Company's maximum exposure to loss as a result of its involvement with the metropolitan districts is limited to $41.7 million of letters of credit issued against the Company's Credit Facility backing $39.9 million of variable rate revenue bonds issued by the districts and the Company's subsidization of the interest payments required related to the debt.</w:t>
      </w:r>
    </w:p>
    <w:p>
      <w:pPr>
        <w:spacing w:after="0" w:line="134" w:lineRule="exact"/>
        <w:rPr>
          <w:sz w:val="20"/>
          <w:szCs w:val="20"/>
          <w:color w:val="auto"/>
        </w:rPr>
      </w:pPr>
    </w:p>
    <w:p>
      <w:pPr>
        <w:ind w:right="80"/>
        <w:spacing w:after="0" w:line="309" w:lineRule="auto"/>
        <w:rPr>
          <w:sz w:val="20"/>
          <w:szCs w:val="20"/>
          <w:color w:val="auto"/>
        </w:rPr>
      </w:pPr>
      <w:r>
        <w:rPr>
          <w:rFonts w:ascii="Arial" w:cs="Arial" w:eastAsia="Arial" w:hAnsi="Arial"/>
          <w:sz w:val="14"/>
          <w:szCs w:val="14"/>
          <w:color w:val="auto"/>
        </w:rPr>
        <w:t>Four of the entities are the employee housing joint ventures discussed in Note 7, Commitments and Contingencies, to the Notes of the Consolidated Condensed Financial Statements. These entities had total assets of $49.0 million as of December 31, 2002. The Company's maximum exposure to loss as a result of its involvement with the employee housing joint ventures is limited to the Company's initial equity investments in them of $2,000, the Company's ratable share of income or losses and $38.8 million of letters of credit issued against the Company's Credit Facility backing $37.8 million of Tranche A interest-only taxable bonds. The Company also has side-letters guaranteeing debt service of $13.3 million on the Tranche B Housing Bonds. $7.4 million of these side letters expire May 1, 2004 and $5.9 million of these side letters expire June 1, 2005.</w:t>
      </w:r>
    </w:p>
    <w:p>
      <w:pPr>
        <w:sectPr>
          <w:pgSz w:w="11900" w:h="16838" w:orient="portrait"/>
          <w:cols w:equalWidth="0" w:num="1">
            <w:col w:w="11400"/>
          </w:cols>
          <w:pgMar w:left="240" w:top="131" w:right="259" w:bottom="0" w:gutter="0" w:footer="0" w:header="0"/>
          <w:type w:val="continuous"/>
        </w:sectPr>
      </w:pPr>
    </w:p>
    <w:bookmarkStart w:id="13" w:name="page14"/>
    <w:bookmarkEnd w:id="13"/>
    <w:p>
      <w:pPr>
        <w:spacing w:after="0" w:line="148"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One entity is a joint venture that owns commercial space. The Company currently leases substantially all of that space for its corporate headquarters. The entity has total assets of $4.5 million and no debt as of December 31, 2002. The Company's maximum exposure to loss as a result of its involvement with the entity is limited to the Company's initial equity investment of $2.5 million and the Company's ratable share of income/loss.</w:t>
      </w:r>
    </w:p>
    <w:p>
      <w:pPr>
        <w:spacing w:after="0" w:line="131" w:lineRule="exact"/>
        <w:rPr>
          <w:sz w:val="20"/>
          <w:szCs w:val="20"/>
          <w:color w:val="auto"/>
        </w:rPr>
      </w:pPr>
    </w:p>
    <w:p>
      <w:pPr>
        <w:jc w:val="both"/>
        <w:ind w:right="220"/>
        <w:spacing w:after="0" w:line="295" w:lineRule="auto"/>
        <w:rPr>
          <w:sz w:val="20"/>
          <w:szCs w:val="20"/>
          <w:color w:val="auto"/>
        </w:rPr>
      </w:pPr>
      <w:r>
        <w:rPr>
          <w:rFonts w:ascii="Arial" w:cs="Arial" w:eastAsia="Arial" w:hAnsi="Arial"/>
          <w:sz w:val="15"/>
          <w:szCs w:val="15"/>
          <w:color w:val="auto"/>
        </w:rPr>
        <w:t>One entity is KRED, which is engaged in real estate development and commercial leasing in and around Keystone. The entity had total assets of $98.0 million and total debt of $25.8 million as of December 31, 2002. The Company's maximum exposure to loss as a result of its involvement with the entity is limited to its initial equity investment in the entity of $22.6 million in land and $1.7million in cash, the Company's ratable share of income/loss and $1.3 million in short term loans.</w:t>
      </w:r>
    </w:p>
    <w:p>
      <w:pPr>
        <w:spacing w:after="0" w:line="114"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One entity is a joint venture involved in the construction and participation in a reservoir to provide for the Company's snowmaking needs. The entity had total assets of $29.8 million and total debt of $7.0 million as of December 31, 2002. The Company's maximum exposure to loss as a result of its involvement with the entity is limited to the Company's initial equity investment of $3.4 million and the Company's ratable share of income/loss. The Company is joint and severally liable for 38.9% of the entity's debt, which is fully consolidated in the Company's Consolidated Financial Statements.</w:t>
      </w:r>
    </w:p>
    <w:p>
      <w:pPr>
        <w:spacing w:after="0" w:line="134"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One entity is a joint venture involved in the construction and operations of the Ritz-Carlton, Bachelor Gulch. The entity had total assets of $81.9 million and total debt of $59.0 million as of December 31, 2002. The Company's maximum exposure to loss as a result of its involvement with the entity is limited to the Company's initial equity investment of $6.6 million, the Company's ratable share of income/loss and $4.5 million in long term loans.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currently evaluating the impact that the full implementation of this interpretation will have on its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Workforce Reduction</w:t>
      </w:r>
    </w:p>
    <w:p>
      <w:pPr>
        <w:spacing w:after="0" w:line="176"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In October 2002, the Company announced that, as a counterbalance to the possibility of slower performance in the nationwide leisure travel and lodging market in the coming year, it had implemented a company-wide cost reduction plan which included, in addition to certain measures designed to improve operational effectiveness, the elimination of approximately 100 positions (less than 1% of the total employee force). The workforce reduction included the termination of 44 employees effective November 1, 2002, with the remainder of the reduction achieved through the elimination of vacant positions, and included management and line level staff across all of the Company's lines of business. Expense associated with the workforce reduction included severance expense of $1.1 million plus an additional $0.1 million in associated burden, which was included in operating expense and was paid during the Company's quarter ended January 31, 2003.</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Gain on Put Option</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In November 2001, the Company entered into a written put option in conjunction with its purchase of an interest in RockResorts. The minority shareholder in RockResorts has the option to put to the Company its equity interest in RockResorts at a price based on management fees generated by certain properties under RockResorts management on a trailing twelve month basis. The put option can be exercised between October 1, 2004 and September 30, 2005. The Company has determined that this put option should be marked to fair value through earnings, and as such, the Company has recorded a gain of $1.4 million for the three and six months ended January 31, 2003 related to the RockResorts written put option is shown as a separate line item on the Statement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Acquisitions and Business Combinations</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In May 2002, certain of the Company's wholly-owned subsidiaries acquired 100% of the ownership interests of Heavenly Valley, Limited Partnership from subsidiaries of American Skiing Company. Heavenly Valley, Limited Partnership owns Heavenly Ski Resort ("Heavenly") in the Lake Tahoe area of California and Nevada. Heavenly offers over 4,800 acres of skiing and operates 29 lifts. The Company purchased Heavenly to expand its portfolio of premier ski resorts and geographically diversify its resort portfolio. The transaction closed for consideration of $102 million (including $2.7 million of assumed debt), less a cash adjustment of $2.8 million resulting in net consideration of $99.2 million. The following unaudited pro forma revenue for the three and six months ended January 31, 2002 assumes the acquisition of Heavenly occurred on August 1, 2001. The pro forma revenue is not necessarily indicative of the actual revenue that would have been recognized, nor is it necessarily indicative of future revenue. Pr o forma net income and EPS are not presented as the pro forma adjustments are immaterial to the actual net income and EPS of the Company, and, in the opinion of the Company, would not provide additional meaningful information to the reader.</w:t>
      </w:r>
    </w:p>
    <w:p>
      <w:pPr>
        <w:spacing w:after="0" w:line="200" w:lineRule="exact"/>
        <w:rPr>
          <w:sz w:val="20"/>
          <w:szCs w:val="20"/>
          <w:color w:val="auto"/>
        </w:rPr>
      </w:pPr>
    </w:p>
    <w:p>
      <w:pPr>
        <w:spacing w:after="0" w:line="355" w:lineRule="exact"/>
        <w:rPr>
          <w:sz w:val="20"/>
          <w:szCs w:val="20"/>
          <w:color w:val="auto"/>
        </w:rPr>
      </w:pPr>
    </w:p>
    <w:tbl>
      <w:tblPr>
        <w:tblLayout w:type="fixed"/>
        <w:tblInd w:w="3420" w:type="dxa"/>
        <w:tblCellMar>
          <w:top w:w="0" w:type="dxa"/>
          <w:left w:w="0" w:type="dxa"/>
          <w:bottom w:w="0" w:type="dxa"/>
          <w:right w:w="0" w:type="dxa"/>
        </w:tblCellMar>
      </w:tblPr>
      <w:tr>
        <w:trPr>
          <w:trHeight w:val="208"/>
        </w:trPr>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5"/>
          </w:tcPr>
          <w:p>
            <w:pPr>
              <w:jc w:val="center"/>
              <w:ind w:left="160"/>
              <w:spacing w:after="0"/>
              <w:rPr>
                <w:sz w:val="20"/>
                <w:szCs w:val="20"/>
                <w:color w:val="auto"/>
              </w:rPr>
            </w:pPr>
            <w:r>
              <w:rPr>
                <w:rFonts w:ascii="Arial" w:cs="Arial" w:eastAsia="Arial" w:hAnsi="Arial"/>
                <w:sz w:val="16"/>
                <w:szCs w:val="16"/>
                <w:b w:val="1"/>
                <w:bCs w:val="1"/>
                <w:color w:val="auto"/>
                <w:w w:val="94"/>
              </w:rPr>
              <w:t>Pro-forma data for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6"/>
        </w:trPr>
        <w:tc>
          <w:tcPr>
            <w:tcW w:w="1280" w:type="dxa"/>
            <w:vAlign w:val="bottom"/>
          </w:tcPr>
          <w:p>
            <w:pPr>
              <w:spacing w:after="0"/>
              <w:rPr>
                <w:sz w:val="21"/>
                <w:szCs w:val="21"/>
                <w:color w:val="auto"/>
              </w:rPr>
            </w:pPr>
          </w:p>
        </w:tc>
        <w:tc>
          <w:tcPr>
            <w:tcW w:w="1880" w:type="dxa"/>
            <w:vAlign w:val="bottom"/>
            <w:gridSpan w:val="5"/>
          </w:tcPr>
          <w:p>
            <w:pPr>
              <w:jc w:val="center"/>
              <w:ind w:left="160"/>
              <w:spacing w:after="0"/>
              <w:rPr>
                <w:sz w:val="20"/>
                <w:szCs w:val="20"/>
                <w:color w:val="auto"/>
              </w:rPr>
            </w:pPr>
            <w:r>
              <w:rPr>
                <w:rFonts w:ascii="Arial" w:cs="Arial" w:eastAsia="Arial" w:hAnsi="Arial"/>
                <w:sz w:val="16"/>
                <w:szCs w:val="16"/>
                <w:b w:val="1"/>
                <w:bCs w:val="1"/>
                <w:color w:val="auto"/>
                <w:w w:val="88"/>
              </w:rPr>
              <w:t>Three months ended</w:t>
            </w:r>
          </w:p>
        </w:tc>
        <w:tc>
          <w:tcPr>
            <w:tcW w:w="1320" w:type="dxa"/>
            <w:vAlign w:val="bottom"/>
            <w:gridSpan w:val="6"/>
          </w:tcPr>
          <w:p>
            <w:pPr>
              <w:ind w:left="120"/>
              <w:spacing w:after="0"/>
              <w:rPr>
                <w:sz w:val="20"/>
                <w:szCs w:val="20"/>
                <w:color w:val="auto"/>
              </w:rPr>
            </w:pPr>
            <w:r>
              <w:rPr>
                <w:rFonts w:ascii="Arial" w:cs="Arial" w:eastAsia="Arial" w:hAnsi="Arial"/>
                <w:sz w:val="16"/>
                <w:szCs w:val="16"/>
                <w:b w:val="1"/>
                <w:bCs w:val="1"/>
                <w:color w:val="auto"/>
                <w:w w:val="85"/>
              </w:rPr>
              <w:t>Six months ended</w:t>
            </w:r>
          </w:p>
        </w:tc>
      </w:tr>
      <w:tr>
        <w:trPr>
          <w:trHeight w:val="210"/>
        </w:trPr>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January 31, 2002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b w:val="1"/>
                <w:bCs w:val="1"/>
                <w:color w:val="auto"/>
                <w:w w:val="90"/>
              </w:rPr>
              <w:t>January 31, 2002</w:t>
            </w: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2"/>
        </w:trPr>
        <w:tc>
          <w:tcPr>
            <w:tcW w:w="1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gridSpan w:val="5"/>
          </w:tcPr>
          <w:p>
            <w:pPr>
              <w:jc w:val="center"/>
              <w:ind w:left="160"/>
              <w:spacing w:after="0"/>
              <w:rPr>
                <w:sz w:val="20"/>
                <w:szCs w:val="20"/>
                <w:color w:val="auto"/>
              </w:rPr>
            </w:pPr>
            <w:r>
              <w:rPr>
                <w:rFonts w:ascii="Arial" w:cs="Arial" w:eastAsia="Arial" w:hAnsi="Arial"/>
                <w:sz w:val="16"/>
                <w:szCs w:val="16"/>
                <w:b w:val="1"/>
                <w:bCs w:val="1"/>
                <w:color w:val="auto"/>
                <w:w w:val="91"/>
              </w:rPr>
              <w:t>(unaudited)</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1280" w:type="dxa"/>
            <w:vAlign w:val="bottom"/>
          </w:tcPr>
          <w:p>
            <w:pPr>
              <w:spacing w:after="0"/>
              <w:rPr>
                <w:sz w:val="20"/>
                <w:szCs w:val="20"/>
                <w:color w:val="auto"/>
              </w:rPr>
            </w:pPr>
            <w:r>
              <w:rPr>
                <w:rFonts w:ascii="Arial" w:cs="Arial" w:eastAsia="Arial" w:hAnsi="Arial"/>
                <w:sz w:val="16"/>
                <w:szCs w:val="16"/>
                <w:color w:val="auto"/>
              </w:rPr>
              <w:t>Total Revenue</w:t>
            </w:r>
          </w:p>
        </w:tc>
        <w:tc>
          <w:tcPr>
            <w:tcW w:w="84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237,728</w:t>
            </w:r>
          </w:p>
        </w:tc>
        <w:tc>
          <w:tcPr>
            <w:tcW w:w="300" w:type="dxa"/>
            <w:vAlign w:val="bottom"/>
          </w:tcPr>
          <w:p>
            <w:pPr>
              <w:spacing w:after="0"/>
              <w:rPr>
                <w:sz w:val="18"/>
                <w:szCs w:val="18"/>
                <w:color w:val="auto"/>
              </w:rPr>
            </w:pPr>
          </w:p>
        </w:tc>
        <w:tc>
          <w:tcPr>
            <w:tcW w:w="64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310,381</w:t>
            </w:r>
          </w:p>
        </w:tc>
        <w:tc>
          <w:tcPr>
            <w:tcW w:w="2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6" w:lineRule="exact"/>
        <w:rPr>
          <w:sz w:val="20"/>
          <w:szCs w:val="20"/>
          <w:color w:val="auto"/>
        </w:rPr>
      </w:pPr>
    </w:p>
    <w:p>
      <w:pPr>
        <w:ind w:right="100"/>
        <w:spacing w:after="0" w:line="306" w:lineRule="auto"/>
        <w:rPr>
          <w:sz w:val="20"/>
          <w:szCs w:val="20"/>
          <w:color w:val="auto"/>
        </w:rPr>
      </w:pPr>
      <w:r>
        <w:rPr>
          <w:rFonts w:ascii="Arial" w:cs="Arial" w:eastAsia="Arial" w:hAnsi="Arial"/>
          <w:sz w:val="14"/>
          <w:szCs w:val="14"/>
          <w:color w:val="auto"/>
        </w:rPr>
        <w:t>The following discussion and analysis of the Company's financial condition and results of operations should be read in conjunction with the Company's July 31, 2002 Annual Report on Form 10-K and the consolidated condensed interim financial statements as of January 31, 2003 and 2002 and for the three and six months then ended, included in Part I, Item 1 of this Form 10-Q, which provide additional information regarding the financial position, results of operations and cash flows of the Company. To the extent that the following Management's Discussion and Analysis contains statements which are not of a historical nature, such statements are forward-looking statements, which involve risks and uncertainties. These risks include, but are not limited to, changes in the competitive environment of the mountain and lodging industries, general business and economic conditions, the weather, war, terrorism and other factors discussed elsewhere herein and in the Company's filings with the Securities and Exchange Co mmission ("SEC").</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February 2003, the SEC informed the Company that it has issued a formal order of investigation with respect to the Company. The inquiry relates to the Company's previous accounting treatment for recognizing revenue on initiation fees related to the sale of memberships in private member clubs. In October 2002, after voluntary consultation with the SEC staff on the appropriate accounting, the Company restated and reissued its historical financial statements for fiscal 1999-2001, reflecting a revision in the accounting for these club initiation fees. The Company is fully cooperating with the SEC. The Company expects no changes will be made as a result of this SEC inquiry to the Company's historical financial statements, as contained in the Company's Form 10-K/A for the year ended July 31, 2001, Form 10-K for the year ended July 31, 2002 and Form 10-Q for the quarter ended October 31, 2002.</w:t>
      </w:r>
    </w:p>
    <w:p>
      <w:pPr>
        <w:spacing w:after="0" w:line="139"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In October 2002, the Company announced that, as a counterbalance to the possibility of slower performance in the nationwide leisure travel and lodging market in the coming year, it had implemented a company-wide cost reduction plan which included, in addition to certain measures designed to improve operational effectiveness, the elimination of approximately 100 positions (less than 1% of the total employee force). The workforce reduction included the termination of 44 employees effective November 1, 2002, with the remainder of the reduction achieved through the elimination of vacant positions, and included management and line level staff across all of the Company's lines of business. Expense associated with the workforce reduction included severance expense of $1.1 million plus an additional $0.1 million in associated burden, which was included in operating expense and also paid out during the Company's quarter ended January 31, 2003.</w:t>
      </w:r>
    </w:p>
    <w:p>
      <w:pPr>
        <w:spacing w:after="0" w:line="124" w:lineRule="exact"/>
        <w:rPr>
          <w:sz w:val="20"/>
          <w:szCs w:val="20"/>
          <w:color w:val="auto"/>
        </w:rPr>
      </w:pPr>
    </w:p>
    <w:p>
      <w:pPr>
        <w:ind w:right="100"/>
        <w:spacing w:after="0" w:line="357" w:lineRule="auto"/>
        <w:rPr>
          <w:sz w:val="20"/>
          <w:szCs w:val="20"/>
          <w:color w:val="auto"/>
        </w:rPr>
      </w:pPr>
      <w:r>
        <w:rPr>
          <w:rFonts w:ascii="Arial" w:cs="Arial" w:eastAsia="Arial" w:hAnsi="Arial"/>
          <w:sz w:val="14"/>
          <w:szCs w:val="14"/>
          <w:color w:val="auto"/>
        </w:rPr>
        <w:t>The Mountain segment's financial performance for the three and six months ended January 31, 2003 compared to the same periods last year is primarily a result of the May 2002 Heavenly acquisition. The Company's Colorado resorts saw a 5% increase in skier visits and an 8% increase in effective ticket price and all of the Company's ski resorts have</w:t>
      </w:r>
    </w:p>
    <w:p>
      <w:pPr>
        <w:sectPr>
          <w:pgSz w:w="11900" w:h="16986" w:orient="portrait"/>
          <w:cols w:equalWidth="0" w:num="1">
            <w:col w:w="11420"/>
          </w:cols>
          <w:pgMar w:left="240" w:top="131" w:right="239" w:bottom="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good snow conditions. In addition, continued cost cutting efforts as announced in the first quarter also contributed to the improved performance.</w:t>
      </w:r>
    </w:p>
    <w:p>
      <w:pPr>
        <w:spacing w:after="0" w:line="172" w:lineRule="exact"/>
        <w:rPr>
          <w:sz w:val="20"/>
          <w:szCs w:val="20"/>
          <w:color w:val="auto"/>
        </w:rPr>
      </w:pPr>
    </w:p>
    <w:p>
      <w:pPr>
        <w:ind w:right="100"/>
        <w:spacing w:after="0" w:line="284" w:lineRule="auto"/>
        <w:rPr>
          <w:sz w:val="20"/>
          <w:szCs w:val="20"/>
          <w:color w:val="auto"/>
        </w:rPr>
      </w:pPr>
      <w:r>
        <w:rPr>
          <w:rFonts w:ascii="Arial" w:cs="Arial" w:eastAsia="Arial" w:hAnsi="Arial"/>
          <w:sz w:val="15"/>
          <w:szCs w:val="15"/>
          <w:color w:val="auto"/>
        </w:rPr>
        <w:t>Lodging segment results for the three and six months ended January 31, 2002 were down, as expected, as compared to the same periods in the prior year. The decline in the Lodging segment is due primarily to inclusion of the Company's proportionate share of the pre-opening expenses included in the equity investment losses related to the Bachelor Gulch, Ritz-Carlton (which opened in November 2002), additional marketing and management expenses associated with building the RockResorts brand and the timing of the fiscal 2002 acquisitions, as we did not own these properties for much or all of the seasonally slow November period last year. In addition, the continued slump in the US lodging industry has affected the Company's Lodging operations, and the Company has implemented rate discounting strategies in order to attract guests.</w:t>
      </w:r>
    </w:p>
    <w:p>
      <w:pPr>
        <w:spacing w:after="0" w:line="123" w:lineRule="exact"/>
        <w:rPr>
          <w:sz w:val="20"/>
          <w:szCs w:val="20"/>
          <w:color w:val="auto"/>
        </w:rPr>
      </w:pPr>
    </w:p>
    <w:p>
      <w:pPr>
        <w:ind w:right="260"/>
        <w:spacing w:after="0" w:line="295" w:lineRule="auto"/>
        <w:rPr>
          <w:sz w:val="20"/>
          <w:szCs w:val="20"/>
          <w:color w:val="auto"/>
        </w:rPr>
      </w:pPr>
      <w:r>
        <w:rPr>
          <w:rFonts w:ascii="Arial" w:cs="Arial" w:eastAsia="Arial" w:hAnsi="Arial"/>
          <w:sz w:val="15"/>
          <w:szCs w:val="15"/>
          <w:color w:val="auto"/>
        </w:rPr>
        <w:t>Real estate performed as expected for the second fiscal quarter. Revenue included closings on Mountain Thunder and Vail Marriott condominiums and Red Sky Ranch lots. In addition, the Company pre-sold all three of the Vail Marriott penthouses, at a favorable price point for the Lionshead area and all 18 homesites at the new Timber Trail development in Breckenridge. Due to the timing of sales in fiscal 2003, the majority of sales were recognized in the first fiscal quarter.</w:t>
      </w:r>
    </w:p>
    <w:p>
      <w:pPr>
        <w:spacing w:after="0" w:line="11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While the Company is pleased with the operational results achieved thus far in fiscal 2003, it is anticipated that the imminence of war, the continued poor economy and softness in the travel and lodging industries will dampen performance for the remainder of fiscal 2003. Since January 31, 2003 the Company has experienced a modest slowdown in visitation and reservations at its ski resorts and lodging properties. However, the Company cannot predict the extent to which an actual war and the resulting aftermath will soften the Company's near-term financial performance. As such, the Company is unable to predict with certainty the results of operations for the remainder of the fiscal year, and the data provided in this section should be read in conjunction with the risk factors identified elsewhere in this document.</w:t>
      </w:r>
    </w:p>
    <w:p>
      <w:pPr>
        <w:spacing w:after="0" w:line="123" w:lineRule="exact"/>
        <w:rPr>
          <w:sz w:val="20"/>
          <w:szCs w:val="20"/>
          <w:color w:val="auto"/>
        </w:rPr>
      </w:pPr>
    </w:p>
    <w:p>
      <w:pPr>
        <w:ind w:right="280"/>
        <w:spacing w:after="0" w:line="283" w:lineRule="auto"/>
        <w:rPr>
          <w:sz w:val="20"/>
          <w:szCs w:val="20"/>
          <w:color w:val="auto"/>
        </w:rPr>
      </w:pPr>
      <w:r>
        <w:rPr>
          <w:rFonts w:ascii="Arial" w:cs="Arial" w:eastAsia="Arial" w:hAnsi="Arial"/>
          <w:sz w:val="16"/>
          <w:szCs w:val="16"/>
          <w:color w:val="auto"/>
        </w:rPr>
        <w:t>Presented below is more detailed comparative data regarding the Company's results of operations for the three and six months ended January 31, 2003 versus the three and six months ended January 31, 2002.</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January 31, 2003 versus Three Months Ended January 31, 2002 (dollars in thousands)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Mountain operating revenue</w:t>
      </w:r>
      <w:r>
        <w:rPr>
          <w:rFonts w:ascii="Arial" w:cs="Arial" w:eastAsia="Arial" w:hAnsi="Arial"/>
          <w:sz w:val="16"/>
          <w:szCs w:val="16"/>
          <w:color w:val="auto"/>
        </w:rPr>
        <w:t>. Mountain operating revenue for the three months ended January 31, 2003 and 2002 is presented by category as follows:</w:t>
      </w:r>
    </w:p>
    <w:p>
      <w:pPr>
        <w:spacing w:after="0" w:line="242" w:lineRule="exact"/>
        <w:rPr>
          <w:sz w:val="20"/>
          <w:szCs w:val="20"/>
          <w:color w:val="auto"/>
        </w:rPr>
      </w:pPr>
    </w:p>
    <w:tbl>
      <w:tblPr>
        <w:tblLayout w:type="fixed"/>
        <w:tblInd w:w="2740" w:type="dxa"/>
        <w:tblCellMar>
          <w:top w:w="0" w:type="dxa"/>
          <w:left w:w="0" w:type="dxa"/>
          <w:bottom w:w="0" w:type="dxa"/>
          <w:right w:w="0" w:type="dxa"/>
        </w:tblCellMar>
      </w:tblPr>
      <w:tr>
        <w:trPr>
          <w:trHeight w:val="208"/>
        </w:trPr>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0"/>
              </w:rPr>
              <w:t>Three Months Ended</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6"/>
        </w:trPr>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80" w:type="dxa"/>
            <w:vAlign w:val="bottom"/>
            <w:gridSpan w:val="8"/>
          </w:tcPr>
          <w:p>
            <w:pPr>
              <w:jc w:val="center"/>
              <w:ind w:right="320"/>
              <w:spacing w:after="0"/>
              <w:rPr>
                <w:sz w:val="20"/>
                <w:szCs w:val="20"/>
                <w:color w:val="auto"/>
              </w:rPr>
            </w:pPr>
            <w:r>
              <w:rPr>
                <w:rFonts w:ascii="Arial" w:cs="Arial" w:eastAsia="Arial" w:hAnsi="Arial"/>
                <w:sz w:val="16"/>
                <w:szCs w:val="16"/>
                <w:b w:val="1"/>
                <w:bCs w:val="1"/>
                <w:color w:val="auto"/>
                <w:w w:val="90"/>
              </w:rPr>
              <w:t>January 31,</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85"/>
              </w:rPr>
              <w:t>Percentage</w:t>
            </w:r>
          </w:p>
        </w:tc>
      </w:tr>
      <w:tr>
        <w:trPr>
          <w:trHeight w:val="210"/>
        </w:trPr>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b w:val="1"/>
                <w:bCs w:val="1"/>
                <w:color w:val="auto"/>
              </w:rPr>
              <w:t>2003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b w:val="1"/>
                <w:bCs w:val="1"/>
                <w:color w:val="auto"/>
              </w:rPr>
              <w:t>2002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6"/>
          </w:tcPr>
          <w:p>
            <w:pPr>
              <w:spacing w:after="0"/>
              <w:rPr>
                <w:sz w:val="20"/>
                <w:szCs w:val="20"/>
                <w:color w:val="auto"/>
              </w:rPr>
            </w:pPr>
            <w:r>
              <w:rPr>
                <w:rFonts w:ascii="Arial" w:cs="Arial" w:eastAsia="Arial" w:hAnsi="Arial"/>
                <w:sz w:val="16"/>
                <w:szCs w:val="16"/>
                <w:b w:val="1"/>
                <w:bCs w:val="1"/>
                <w:color w:val="auto"/>
              </w:rPr>
              <w:t>Increase</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6"/>
              </w:rPr>
              <w:t>Increase</w:t>
            </w:r>
          </w:p>
        </w:tc>
      </w:tr>
      <w:tr>
        <w:trPr>
          <w:trHeight w:val="274"/>
        </w:trPr>
        <w:tc>
          <w:tcPr>
            <w:tcW w:w="1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2"/>
                <w:szCs w:val="12"/>
                <w:color w:val="auto"/>
                <w:w w:val="89"/>
              </w:rPr>
              <w:t>(as restated)</w:t>
            </w:r>
          </w:p>
        </w:tc>
        <w:tc>
          <w:tcPr>
            <w:tcW w:w="360" w:type="dxa"/>
            <w:vAlign w:val="bottom"/>
            <w:gridSpan w:val="2"/>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r>
      <w:tr>
        <w:trPr>
          <w:trHeight w:val="160"/>
        </w:trPr>
        <w:tc>
          <w:tcPr>
            <w:tcW w:w="1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tcPr>
          <w:p>
            <w:pPr>
              <w:jc w:val="center"/>
              <w:ind w:right="320"/>
              <w:spacing w:after="0"/>
              <w:rPr>
                <w:sz w:val="20"/>
                <w:szCs w:val="20"/>
                <w:color w:val="auto"/>
              </w:rPr>
            </w:pPr>
            <w:r>
              <w:rPr>
                <w:rFonts w:ascii="Arial" w:cs="Arial" w:eastAsia="Arial" w:hAnsi="Arial"/>
                <w:sz w:val="12"/>
                <w:szCs w:val="12"/>
                <w:color w:val="auto"/>
                <w:w w:val="92"/>
              </w:rPr>
              <w:t>(unaudited)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533"/>
        </w:trPr>
        <w:tc>
          <w:tcPr>
            <w:tcW w:w="1900" w:type="dxa"/>
            <w:vAlign w:val="bottom"/>
          </w:tcPr>
          <w:p>
            <w:pPr>
              <w:spacing w:after="0"/>
              <w:rPr>
                <w:sz w:val="20"/>
                <w:szCs w:val="20"/>
                <w:color w:val="auto"/>
              </w:rPr>
            </w:pPr>
            <w:r>
              <w:rPr>
                <w:rFonts w:ascii="Arial" w:cs="Arial" w:eastAsia="Arial" w:hAnsi="Arial"/>
                <w:sz w:val="16"/>
                <w:szCs w:val="16"/>
                <w:color w:val="auto"/>
              </w:rPr>
              <w:t>Lift tickets</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91,028</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66,490</w:t>
            </w:r>
          </w:p>
        </w:tc>
        <w:tc>
          <w:tcPr>
            <w:tcW w:w="220" w:type="dxa"/>
            <w:vAlign w:val="bottom"/>
          </w:tcPr>
          <w:p>
            <w:pPr>
              <w:spacing w:after="0"/>
              <w:rPr>
                <w:sz w:val="24"/>
                <w:szCs w:val="24"/>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36.9%</w:t>
            </w:r>
          </w:p>
        </w:tc>
      </w:tr>
      <w:tr>
        <w:trPr>
          <w:trHeight w:val="204"/>
        </w:trPr>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5"/>
          </w:tcPr>
          <w:p>
            <w:pPr>
              <w:jc w:val="right"/>
              <w:spacing w:after="0"/>
              <w:rPr>
                <w:sz w:val="20"/>
                <w:szCs w:val="20"/>
                <w:color w:val="auto"/>
              </w:rPr>
            </w:pPr>
            <w:r>
              <w:rPr>
                <w:rFonts w:ascii="Arial" w:cs="Arial" w:eastAsia="Arial" w:hAnsi="Arial"/>
                <w:sz w:val="16"/>
                <w:szCs w:val="16"/>
                <w:color w:val="auto"/>
              </w:rPr>
              <w:t>24,538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6"/>
                <w:szCs w:val="16"/>
                <w:color w:val="auto"/>
              </w:rPr>
              <w:t>Ski school</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23,894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17,541</w:t>
            </w:r>
          </w:p>
        </w:tc>
        <w:tc>
          <w:tcPr>
            <w:tcW w:w="220" w:type="dxa"/>
            <w:vAlign w:val="bottom"/>
          </w:tcPr>
          <w:p>
            <w:pPr>
              <w:spacing w:after="0"/>
              <w:rPr>
                <w:sz w:val="19"/>
                <w:szCs w:val="19"/>
                <w:color w:val="auto"/>
              </w:rPr>
            </w:pPr>
          </w:p>
        </w:tc>
        <w:tc>
          <w:tcPr>
            <w:tcW w:w="680" w:type="dxa"/>
            <w:vAlign w:val="bottom"/>
            <w:gridSpan w:val="5"/>
          </w:tcPr>
          <w:p>
            <w:pPr>
              <w:jc w:val="right"/>
              <w:spacing w:after="0"/>
              <w:rPr>
                <w:sz w:val="20"/>
                <w:szCs w:val="20"/>
                <w:color w:val="auto"/>
              </w:rPr>
            </w:pPr>
            <w:r>
              <w:rPr>
                <w:rFonts w:ascii="Arial" w:cs="Arial" w:eastAsia="Arial" w:hAnsi="Arial"/>
                <w:sz w:val="16"/>
                <w:szCs w:val="16"/>
                <w:color w:val="auto"/>
              </w:rPr>
              <w:t>6,353</w:t>
            </w:r>
          </w:p>
        </w:tc>
        <w:tc>
          <w:tcPr>
            <w:tcW w:w="12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36.2%</w:t>
            </w:r>
          </w:p>
        </w:tc>
      </w:tr>
      <w:tr>
        <w:trPr>
          <w:trHeight w:val="246"/>
        </w:trPr>
        <w:tc>
          <w:tcPr>
            <w:tcW w:w="1900" w:type="dxa"/>
            <w:vAlign w:val="bottom"/>
          </w:tcPr>
          <w:p>
            <w:pPr>
              <w:spacing w:after="0"/>
              <w:rPr>
                <w:sz w:val="20"/>
                <w:szCs w:val="20"/>
                <w:color w:val="auto"/>
              </w:rPr>
            </w:pPr>
            <w:r>
              <w:rPr>
                <w:rFonts w:ascii="Arial" w:cs="Arial" w:eastAsia="Arial" w:hAnsi="Arial"/>
                <w:sz w:val="16"/>
                <w:szCs w:val="16"/>
                <w:color w:val="auto"/>
              </w:rPr>
              <w:t>Dining</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19,026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14,873</w:t>
            </w:r>
          </w:p>
        </w:tc>
        <w:tc>
          <w:tcPr>
            <w:tcW w:w="220" w:type="dxa"/>
            <w:vAlign w:val="bottom"/>
          </w:tcPr>
          <w:p>
            <w:pPr>
              <w:spacing w:after="0"/>
              <w:rPr>
                <w:sz w:val="21"/>
                <w:szCs w:val="21"/>
                <w:color w:val="auto"/>
              </w:rPr>
            </w:pPr>
          </w:p>
        </w:tc>
        <w:tc>
          <w:tcPr>
            <w:tcW w:w="680" w:type="dxa"/>
            <w:vAlign w:val="bottom"/>
            <w:gridSpan w:val="5"/>
          </w:tcPr>
          <w:p>
            <w:pPr>
              <w:jc w:val="right"/>
              <w:spacing w:after="0"/>
              <w:rPr>
                <w:sz w:val="20"/>
                <w:szCs w:val="20"/>
                <w:color w:val="auto"/>
              </w:rPr>
            </w:pPr>
            <w:r>
              <w:rPr>
                <w:rFonts w:ascii="Arial" w:cs="Arial" w:eastAsia="Arial" w:hAnsi="Arial"/>
                <w:sz w:val="16"/>
                <w:szCs w:val="16"/>
                <w:color w:val="auto"/>
              </w:rPr>
              <w:t>4,153</w:t>
            </w: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27.9%</w:t>
            </w:r>
          </w:p>
        </w:tc>
      </w:tr>
      <w:tr>
        <w:trPr>
          <w:trHeight w:val="246"/>
        </w:trPr>
        <w:tc>
          <w:tcPr>
            <w:tcW w:w="1900" w:type="dxa"/>
            <w:vAlign w:val="bottom"/>
          </w:tcPr>
          <w:p>
            <w:pPr>
              <w:spacing w:after="0"/>
              <w:rPr>
                <w:sz w:val="20"/>
                <w:szCs w:val="20"/>
                <w:color w:val="auto"/>
              </w:rPr>
            </w:pPr>
            <w:r>
              <w:rPr>
                <w:rFonts w:ascii="Arial" w:cs="Arial" w:eastAsia="Arial" w:hAnsi="Arial"/>
                <w:sz w:val="16"/>
                <w:szCs w:val="16"/>
                <w:color w:val="auto"/>
              </w:rPr>
              <w:t>Retail/rental</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41,297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34,792</w:t>
            </w:r>
          </w:p>
        </w:tc>
        <w:tc>
          <w:tcPr>
            <w:tcW w:w="220" w:type="dxa"/>
            <w:vAlign w:val="bottom"/>
          </w:tcPr>
          <w:p>
            <w:pPr>
              <w:spacing w:after="0"/>
              <w:rPr>
                <w:sz w:val="21"/>
                <w:szCs w:val="21"/>
                <w:color w:val="auto"/>
              </w:rPr>
            </w:pPr>
          </w:p>
        </w:tc>
        <w:tc>
          <w:tcPr>
            <w:tcW w:w="680" w:type="dxa"/>
            <w:vAlign w:val="bottom"/>
            <w:gridSpan w:val="5"/>
          </w:tcPr>
          <w:p>
            <w:pPr>
              <w:jc w:val="right"/>
              <w:spacing w:after="0"/>
              <w:rPr>
                <w:sz w:val="20"/>
                <w:szCs w:val="20"/>
                <w:color w:val="auto"/>
              </w:rPr>
            </w:pPr>
            <w:r>
              <w:rPr>
                <w:rFonts w:ascii="Arial" w:cs="Arial" w:eastAsia="Arial" w:hAnsi="Arial"/>
                <w:sz w:val="16"/>
                <w:szCs w:val="16"/>
                <w:color w:val="auto"/>
              </w:rPr>
              <w:t>6,505</w:t>
            </w:r>
          </w:p>
        </w:tc>
        <w:tc>
          <w:tcPr>
            <w:tcW w:w="12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18.7%</w:t>
            </w:r>
          </w:p>
        </w:tc>
      </w:tr>
      <w:tr>
        <w:trPr>
          <w:trHeight w:val="210"/>
        </w:trPr>
        <w:tc>
          <w:tcPr>
            <w:tcW w:w="1900" w:type="dxa"/>
            <w:vAlign w:val="bottom"/>
          </w:tcPr>
          <w:p>
            <w:pPr>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13,918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12,264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13.5%</w:t>
            </w:r>
          </w:p>
        </w:tc>
      </w:tr>
      <w:tr>
        <w:trPr>
          <w:trHeight w:val="177"/>
        </w:trPr>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gridSpan w:val="2"/>
          </w:tcPr>
          <w:p>
            <w:pPr>
              <w:spacing w:after="0"/>
              <w:rPr>
                <w:sz w:val="15"/>
                <w:szCs w:val="15"/>
                <w:color w:val="auto"/>
              </w:rPr>
            </w:pPr>
          </w:p>
        </w:tc>
        <w:tc>
          <w:tcPr>
            <w:tcW w:w="360" w:type="dxa"/>
            <w:vAlign w:val="bottom"/>
            <w:tcBorders>
              <w:top w:val="single" w:sz="8" w:color="auto"/>
              <w:bottom w:val="single" w:sz="8" w:color="auto"/>
            </w:tcBorders>
            <w:gridSpan w:val="2"/>
          </w:tcPr>
          <w:p>
            <w:pPr>
              <w:jc w:val="right"/>
              <w:spacing w:after="0" w:line="177" w:lineRule="exact"/>
              <w:rPr>
                <w:sz w:val="20"/>
                <w:szCs w:val="20"/>
                <w:color w:val="auto"/>
              </w:rPr>
            </w:pPr>
            <w:r>
              <w:rPr>
                <w:rFonts w:ascii="Arial" w:cs="Arial" w:eastAsia="Arial" w:hAnsi="Arial"/>
                <w:sz w:val="16"/>
                <w:szCs w:val="16"/>
                <w:color w:val="auto"/>
                <w:w w:val="84"/>
              </w:rPr>
              <w:t>1,654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r>
      <w:tr>
        <w:trPr>
          <w:trHeight w:val="201"/>
        </w:trPr>
        <w:tc>
          <w:tcPr>
            <w:tcW w:w="1900" w:type="dxa"/>
            <w:vAlign w:val="bottom"/>
          </w:tcPr>
          <w:p>
            <w:pPr>
              <w:spacing w:after="0"/>
              <w:rPr>
                <w:sz w:val="20"/>
                <w:szCs w:val="20"/>
                <w:color w:val="auto"/>
              </w:rPr>
            </w:pPr>
            <w:r>
              <w:rPr>
                <w:rFonts w:ascii="Arial" w:cs="Arial" w:eastAsia="Arial" w:hAnsi="Arial"/>
                <w:sz w:val="16"/>
                <w:szCs w:val="16"/>
                <w:color w:val="auto"/>
              </w:rPr>
              <w:t>Total mountain operating</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189,163</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145,960</w:t>
            </w:r>
          </w:p>
        </w:tc>
        <w:tc>
          <w:tcPr>
            <w:tcW w:w="220" w:type="dxa"/>
            <w:vAlign w:val="bottom"/>
          </w:tcPr>
          <w:p>
            <w:pPr>
              <w:spacing w:after="0"/>
              <w:rPr>
                <w:sz w:val="17"/>
                <w:szCs w:val="17"/>
                <w:color w:val="auto"/>
              </w:rPr>
            </w:pPr>
          </w:p>
        </w:tc>
        <w:tc>
          <w:tcPr>
            <w:tcW w:w="56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29.6%</w:t>
            </w:r>
          </w:p>
        </w:tc>
      </w:tr>
      <w:tr>
        <w:trPr>
          <w:trHeight w:val="20"/>
        </w:trPr>
        <w:tc>
          <w:tcPr>
            <w:tcW w:w="1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r>
      <w:tr>
        <w:trPr>
          <w:trHeight w:val="177"/>
        </w:trPr>
        <w:tc>
          <w:tcPr>
            <w:tcW w:w="1900" w:type="dxa"/>
            <w:vAlign w:val="bottom"/>
          </w:tcPr>
          <w:p>
            <w:pPr>
              <w:spacing w:after="0" w:line="177" w:lineRule="exact"/>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Borders>
              <w:bottom w:val="single" w:sz="8" w:color="auto"/>
            </w:tcBorders>
            <w:gridSpan w:val="4"/>
          </w:tcPr>
          <w:p>
            <w:pPr>
              <w:jc w:val="right"/>
              <w:spacing w:after="0" w:line="177" w:lineRule="exact"/>
              <w:rPr>
                <w:sz w:val="20"/>
                <w:szCs w:val="20"/>
                <w:color w:val="auto"/>
              </w:rPr>
            </w:pPr>
            <w:r>
              <w:rPr>
                <w:rFonts w:ascii="Arial" w:cs="Arial" w:eastAsia="Arial" w:hAnsi="Arial"/>
                <w:sz w:val="16"/>
                <w:szCs w:val="16"/>
                <w:color w:val="auto"/>
                <w:w w:val="85"/>
              </w:rPr>
              <w:t>43,203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483"/>
        </w:trPr>
        <w:tc>
          <w:tcPr>
            <w:tcW w:w="1900" w:type="dxa"/>
            <w:vAlign w:val="bottom"/>
          </w:tcPr>
          <w:p>
            <w:pPr>
              <w:spacing w:after="0"/>
              <w:rPr>
                <w:sz w:val="20"/>
                <w:szCs w:val="20"/>
                <w:color w:val="auto"/>
              </w:rPr>
            </w:pPr>
            <w:r>
              <w:rPr>
                <w:rFonts w:ascii="Arial" w:cs="Arial" w:eastAsia="Arial" w:hAnsi="Arial"/>
                <w:sz w:val="16"/>
                <w:szCs w:val="16"/>
                <w:color w:val="auto"/>
              </w:rPr>
              <w:t>Skier visits</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2,607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2,122</w:t>
            </w:r>
          </w:p>
        </w:tc>
        <w:tc>
          <w:tcPr>
            <w:tcW w:w="220" w:type="dxa"/>
            <w:vAlign w:val="bottom"/>
          </w:tcPr>
          <w:p>
            <w:pPr>
              <w:spacing w:after="0"/>
              <w:rPr>
                <w:sz w:val="24"/>
                <w:szCs w:val="24"/>
                <w:color w:val="auto"/>
              </w:rPr>
            </w:pPr>
          </w:p>
        </w:tc>
        <w:tc>
          <w:tcPr>
            <w:tcW w:w="680" w:type="dxa"/>
            <w:vAlign w:val="bottom"/>
            <w:gridSpan w:val="5"/>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22.9%</w:t>
            </w:r>
          </w:p>
        </w:tc>
      </w:tr>
      <w:tr>
        <w:trPr>
          <w:trHeight w:val="484"/>
        </w:trPr>
        <w:tc>
          <w:tcPr>
            <w:tcW w:w="1900" w:type="dxa"/>
            <w:vAlign w:val="bottom"/>
          </w:tcPr>
          <w:p>
            <w:pPr>
              <w:spacing w:after="0"/>
              <w:rPr>
                <w:sz w:val="20"/>
                <w:szCs w:val="20"/>
                <w:color w:val="auto"/>
              </w:rPr>
            </w:pPr>
            <w:r>
              <w:rPr>
                <w:rFonts w:ascii="Arial" w:cs="Arial" w:eastAsia="Arial" w:hAnsi="Arial"/>
                <w:sz w:val="16"/>
                <w:szCs w:val="16"/>
                <w:color w:val="auto"/>
              </w:rPr>
              <w:t>Effective ticket price</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ind w:right="100"/>
              <w:spacing w:after="0"/>
              <w:rPr>
                <w:sz w:val="20"/>
                <w:szCs w:val="20"/>
                <w:color w:val="auto"/>
              </w:rPr>
            </w:pPr>
            <w:r>
              <w:rPr>
                <w:rFonts w:ascii="Arial" w:cs="Arial" w:eastAsia="Arial" w:hAnsi="Arial"/>
                <w:sz w:val="16"/>
                <w:szCs w:val="16"/>
                <w:color w:val="auto"/>
              </w:rPr>
              <w:t>34.92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31.33</w:t>
            </w:r>
          </w:p>
        </w:tc>
        <w:tc>
          <w:tcPr>
            <w:tcW w:w="220" w:type="dxa"/>
            <w:vAlign w:val="bottom"/>
          </w:tcPr>
          <w:p>
            <w:pPr>
              <w:spacing w:after="0"/>
              <w:rPr>
                <w:sz w:val="24"/>
                <w:szCs w:val="24"/>
                <w:color w:val="auto"/>
              </w:rPr>
            </w:pPr>
          </w:p>
        </w:tc>
        <w:tc>
          <w:tcPr>
            <w:tcW w:w="680" w:type="dxa"/>
            <w:vAlign w:val="bottom"/>
            <w:gridSpan w:val="5"/>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11.5%</w:t>
            </w:r>
          </w:p>
        </w:tc>
      </w:tr>
      <w:tr>
        <w:trPr>
          <w:trHeight w:val="204"/>
        </w:trPr>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5"/>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201" w:lineRule="exact"/>
        <w:rPr>
          <w:sz w:val="20"/>
          <w:szCs w:val="20"/>
          <w:color w:val="auto"/>
        </w:rPr>
      </w:pPr>
    </w:p>
    <w:p>
      <w:pPr>
        <w:ind w:right="280"/>
        <w:spacing w:after="0" w:line="288" w:lineRule="auto"/>
        <w:rPr>
          <w:sz w:val="20"/>
          <w:szCs w:val="20"/>
          <w:color w:val="auto"/>
        </w:rPr>
      </w:pPr>
      <w:r>
        <w:rPr>
          <w:rFonts w:ascii="Arial" w:cs="Arial" w:eastAsia="Arial" w:hAnsi="Arial"/>
          <w:sz w:val="15"/>
          <w:szCs w:val="15"/>
          <w:color w:val="auto"/>
        </w:rPr>
        <w:t>Mountain operating revenue for the three months ended January 31, 2003 increased $43.2 million, or 29.6%, as compared to the three months ended January 31, 2002. Of this increase $27.0 million is due to the May 2002 Heavenly acquisition, while the remainder is primarily due to the 23% increase in skier visits, a favorable shift in the guest demographic to a heavier mix of destination visitors and increased ticket pricing. Destination guests (out of state and international guests) have historically purchased higher margin ticket products and used more of the Company's ancillary products and services, such as food &amp; beverage and ski school.</w:t>
      </w:r>
    </w:p>
    <w:p>
      <w:pPr>
        <w:spacing w:after="0" w:line="119"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i w:val="1"/>
          <w:iCs w:val="1"/>
          <w:color w:val="auto"/>
        </w:rPr>
        <w:t xml:space="preserve">Mountain operating expense. </w:t>
      </w:r>
      <w:r>
        <w:rPr>
          <w:rFonts w:ascii="Arial" w:cs="Arial" w:eastAsia="Arial" w:hAnsi="Arial"/>
          <w:sz w:val="16"/>
          <w:szCs w:val="16"/>
          <w:color w:val="auto"/>
        </w:rPr>
        <w:t>Mountain operating expense for the three months ended January 31, 2003 was $123.8 million, an increase of $29.8 million, or 31.7%,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January 31, 2002. This increase is commensurate with the increase in mountain revenue for the same period and reflects a slight increase in allocated corporate selling, general and administrative costs ("SG&amp;A") due to bonus accruals and executive deferred compensation.</w:t>
      </w:r>
    </w:p>
    <w:p>
      <w:pPr>
        <w:spacing w:after="0" w:line="13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i w:val="1"/>
          <w:iCs w:val="1"/>
          <w:color w:val="auto"/>
        </w:rPr>
        <w:t xml:space="preserve">Lodging operating revenue. </w:t>
      </w:r>
      <w:r>
        <w:rPr>
          <w:rFonts w:ascii="Arial" w:cs="Arial" w:eastAsia="Arial" w:hAnsi="Arial"/>
          <w:sz w:val="16"/>
          <w:szCs w:val="16"/>
          <w:color w:val="auto"/>
        </w:rPr>
        <w:t>Lodging operating revenue for the three months ended January 31, 2003 was $35.0 million, an increase of $2.5 million, or 7.6%,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January 31, 2002. This increase is due to the acquisitions of the Vail Marriott and RockResorts in the later half of the second quarter of 2002 and increased occupancy driven by the recent renovation at SRL&amp;S. The Company's average daily rate ("ADR") for the three months ended January 31, 2003 for its owned hotels and condominium management operations was $208.38, a decrease of $1.52 as compared to the three months ended January 31, 2002. The decrease in ADR is attributable to the Company's conscious decision to lower rates to increase occupancy and the timing of the Vail Marriott and Rancho Mirage acquisitions; the quarter ended January 31, 2002 did not include much or all of these properties' early off-season months.</w:t>
      </w:r>
    </w:p>
    <w:p>
      <w:pPr>
        <w:spacing w:after="0" w:line="139"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i w:val="1"/>
          <w:iCs w:val="1"/>
          <w:color w:val="auto"/>
        </w:rPr>
        <w:t xml:space="preserve">Lodging operating expense. </w:t>
      </w:r>
      <w:r>
        <w:rPr>
          <w:rFonts w:ascii="Arial" w:cs="Arial" w:eastAsia="Arial" w:hAnsi="Arial"/>
          <w:sz w:val="16"/>
          <w:szCs w:val="16"/>
          <w:color w:val="auto"/>
        </w:rPr>
        <w:t>Lodging operating expense for the three months ended January 31, 2003 was $37.2 million, an increase of $6.4 million, or 20.7%,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January 31, 2002. This increase is due to increased management staffing at RockResorts associated with the establishment of the RockResorts brand, the timing of the Vail Marriott acquisition as the three months ended January 31, 2002 did not include the fall off-season months, golf membership costs at the Lodge at Rancho Mirage, certain administrative costs in the quarter ending January 31, 2003 at SRL&amp;S (including adjustments to the bad debt reserve) and the increased corporate SG&amp;A allocation as noted above.</w:t>
      </w:r>
    </w:p>
    <w:p>
      <w:pPr>
        <w:spacing w:after="0" w:line="135"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i w:val="1"/>
          <w:iCs w:val="1"/>
          <w:color w:val="auto"/>
        </w:rPr>
        <w:t xml:space="preserve">Lodging equity investment loss. </w:t>
      </w:r>
      <w:r>
        <w:rPr>
          <w:rFonts w:ascii="Arial" w:cs="Arial" w:eastAsia="Arial" w:hAnsi="Arial"/>
          <w:sz w:val="16"/>
          <w:szCs w:val="16"/>
          <w:color w:val="auto"/>
        </w:rPr>
        <w:t>Lodging equity investment loss was $2.0 million for the quarter ended January 31, 2003, and primarily includes the Company's proportionate</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income/loss from hotel operations of the Ritz-Carlton, Bachelor Gulch, which opened in November 2002, through the Company's investment in BG Resort, LLC. The equity loss for the quarter represents hotel operations and includes depreciation expense of $0.4 million and interest expense of $0.6 million for the three months ended January 31, 2003.</w:t>
      </w:r>
    </w:p>
    <w:p>
      <w:pPr>
        <w:spacing w:after="0" w:line="134" w:lineRule="exact"/>
        <w:rPr>
          <w:sz w:val="20"/>
          <w:szCs w:val="20"/>
          <w:color w:val="auto"/>
        </w:rPr>
      </w:pPr>
    </w:p>
    <w:p>
      <w:pPr>
        <w:jc w:val="both"/>
        <w:ind w:right="120"/>
        <w:spacing w:after="0" w:line="295" w:lineRule="auto"/>
        <w:rPr>
          <w:sz w:val="20"/>
          <w:szCs w:val="20"/>
          <w:color w:val="auto"/>
        </w:rPr>
      </w:pPr>
      <w:r>
        <w:rPr>
          <w:rFonts w:ascii="Arial" w:cs="Arial" w:eastAsia="Arial" w:hAnsi="Arial"/>
          <w:sz w:val="15"/>
          <w:szCs w:val="15"/>
          <w:i w:val="1"/>
          <w:iCs w:val="1"/>
          <w:color w:val="auto"/>
        </w:rPr>
        <w:t>Real estate revenue</w:t>
      </w:r>
      <w:r>
        <w:rPr>
          <w:rFonts w:ascii="Arial" w:cs="Arial" w:eastAsia="Arial" w:hAnsi="Arial"/>
          <w:sz w:val="15"/>
          <w:szCs w:val="15"/>
          <w:color w:val="auto"/>
        </w:rPr>
        <w:t>. Revenue from real estate operations for the three months ended January 31, 2003 was $22.6 million, a decrease of $12.4 million, or 35.4%, compared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January 31, 2002. This decrease is primarily due to the mix of available real estate inventory. The three months ended January 31, 2003 include closings on the sales of 20 condominiums and eight single-family lots, versus closings on the sales of 36 single family lots in the same period of fiscal 2002.</w:t>
      </w:r>
    </w:p>
    <w:p>
      <w:pPr>
        <w:spacing w:after="0" w:line="114" w:lineRule="exact"/>
        <w:rPr>
          <w:sz w:val="20"/>
          <w:szCs w:val="20"/>
          <w:color w:val="auto"/>
        </w:rPr>
      </w:pPr>
    </w:p>
    <w:p>
      <w:pPr>
        <w:ind w:right="180"/>
        <w:spacing w:after="0" w:line="325" w:lineRule="auto"/>
        <w:rPr>
          <w:sz w:val="20"/>
          <w:szCs w:val="20"/>
          <w:color w:val="auto"/>
        </w:rPr>
      </w:pPr>
      <w:r>
        <w:rPr>
          <w:rFonts w:ascii="Arial" w:cs="Arial" w:eastAsia="Arial" w:hAnsi="Arial"/>
          <w:sz w:val="14"/>
          <w:szCs w:val="14"/>
          <w:i w:val="1"/>
          <w:iCs w:val="1"/>
          <w:color w:val="auto"/>
        </w:rPr>
        <w:t xml:space="preserve">Real estate operating expense. </w:t>
      </w:r>
      <w:r>
        <w:rPr>
          <w:rFonts w:ascii="Arial" w:cs="Arial" w:eastAsia="Arial" w:hAnsi="Arial"/>
          <w:sz w:val="14"/>
          <w:szCs w:val="14"/>
          <w:color w:val="auto"/>
        </w:rPr>
        <w:t>Real estate operating expense for the three months ended January 31, 2003 was $22.3 million, a decrease of $6.0 million, or 21.3%, compared to</w:t>
      </w:r>
      <w:r>
        <w:rPr>
          <w:rFonts w:ascii="Arial" w:cs="Arial" w:eastAsia="Arial" w:hAnsi="Arial"/>
          <w:sz w:val="14"/>
          <w:szCs w:val="14"/>
          <w:i w:val="1"/>
          <w:iCs w:val="1"/>
          <w:color w:val="auto"/>
        </w:rPr>
        <w:t xml:space="preserve"> </w:t>
      </w:r>
      <w:r>
        <w:rPr>
          <w:rFonts w:ascii="Arial" w:cs="Arial" w:eastAsia="Arial" w:hAnsi="Arial"/>
          <w:sz w:val="14"/>
          <w:szCs w:val="14"/>
          <w:color w:val="auto"/>
        </w:rPr>
        <w:t>the three months ended January 31, 2002. Real estate operating expense consists primarily of the cost of sales and related real estate commissions associated with sales of real estate. Real estate operating expense also includes the selling, general and administrative expenses associated with the Company's real estate operations and an allocation of</w:t>
      </w:r>
    </w:p>
    <w:p>
      <w:pPr>
        <w:sectPr>
          <w:pgSz w:w="11900" w:h="16838" w:orient="portrait"/>
          <w:cols w:equalWidth="0" w:num="1">
            <w:col w:w="11420"/>
          </w:cols>
          <w:pgMar w:left="240" w:top="131" w:right="239" w:bottom="0" w:gutter="0" w:footer="0" w:header="0"/>
        </w:sectPr>
      </w:pPr>
    </w:p>
    <w:bookmarkStart w:id="15" w:name="page16"/>
    <w:bookmarkEnd w:id="15"/>
    <w:p>
      <w:pPr>
        <w:ind w:right="120"/>
        <w:spacing w:after="0" w:line="283" w:lineRule="auto"/>
        <w:rPr>
          <w:sz w:val="20"/>
          <w:szCs w:val="20"/>
          <w:color w:val="auto"/>
        </w:rPr>
      </w:pPr>
      <w:r>
        <w:rPr>
          <w:rFonts w:ascii="Arial" w:cs="Arial" w:eastAsia="Arial" w:hAnsi="Arial"/>
          <w:sz w:val="16"/>
          <w:szCs w:val="16"/>
          <w:color w:val="auto"/>
        </w:rPr>
        <w:t>corporate SG&amp;A. The decrease for the three months ending January 31, 2003 as compared to the three months ended January 31, 2002 is commensurate with the decrease in real estate sales noted above.</w:t>
      </w:r>
    </w:p>
    <w:p>
      <w:pPr>
        <w:spacing w:after="0" w:line="119"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i w:val="1"/>
          <w:iCs w:val="1"/>
          <w:color w:val="auto"/>
        </w:rPr>
        <w:t xml:space="preserve">Real estate equity investment income. </w:t>
      </w:r>
      <w:r>
        <w:rPr>
          <w:rFonts w:ascii="Arial" w:cs="Arial" w:eastAsia="Arial" w:hAnsi="Arial"/>
          <w:sz w:val="14"/>
          <w:szCs w:val="14"/>
          <w:color w:val="auto"/>
        </w:rPr>
        <w:t>Real estate equity investment income was $0.8 million and $1.6 million for the quarters ended January 31, 2003 and 2002, respectively, and</w:t>
      </w:r>
      <w:r>
        <w:rPr>
          <w:rFonts w:ascii="Arial" w:cs="Arial" w:eastAsia="Arial" w:hAnsi="Arial"/>
          <w:sz w:val="14"/>
          <w:szCs w:val="14"/>
          <w:i w:val="1"/>
          <w:iCs w:val="1"/>
          <w:color w:val="auto"/>
        </w:rPr>
        <w:t xml:space="preserve"> </w:t>
      </w:r>
      <w:r>
        <w:rPr>
          <w:rFonts w:ascii="Arial" w:cs="Arial" w:eastAsia="Arial" w:hAnsi="Arial"/>
          <w:sz w:val="14"/>
          <w:szCs w:val="14"/>
          <w:color w:val="auto"/>
        </w:rPr>
        <w:t>includes both the Company's equity investment in KRED and the portion of the Company's equity investment in BG Resort, LLC related to the development and sale of condominiums at the Ritz-Carlton, Bachelor Gulch. Real estate equity income for the three months ended January 31, 2003 includes the sale of 13 condominiums through KRED and one residential condominium sale through the Ritz-Carlton, Bachelor Gulch. Profits generated by the KRED during the quarter ended January 31, 2002 included the sale of 21 condominiums at the River Run development. The Ritz-Carlton, Bachelor Gulch was not in operation during the quarter ended January 31, 2002.</w:t>
      </w:r>
    </w:p>
    <w:p>
      <w:pPr>
        <w:spacing w:after="0" w:line="107" w:lineRule="exact"/>
        <w:rPr>
          <w:sz w:val="20"/>
          <w:szCs w:val="20"/>
          <w:color w:val="auto"/>
        </w:rPr>
      </w:pPr>
    </w:p>
    <w:p>
      <w:pPr>
        <w:ind w:right="140"/>
        <w:spacing w:after="0" w:line="325" w:lineRule="auto"/>
        <w:rPr>
          <w:sz w:val="20"/>
          <w:szCs w:val="20"/>
          <w:color w:val="auto"/>
        </w:rPr>
      </w:pPr>
      <w:r>
        <w:rPr>
          <w:rFonts w:ascii="Arial" w:cs="Arial" w:eastAsia="Arial" w:hAnsi="Arial"/>
          <w:sz w:val="14"/>
          <w:szCs w:val="14"/>
          <w:i w:val="1"/>
          <w:iCs w:val="1"/>
          <w:color w:val="auto"/>
        </w:rPr>
        <w:t>Depreciation and amortization</w:t>
      </w:r>
      <w:r>
        <w:rPr>
          <w:rFonts w:ascii="Arial" w:cs="Arial" w:eastAsia="Arial" w:hAnsi="Arial"/>
          <w:sz w:val="14"/>
          <w:szCs w:val="14"/>
          <w:color w:val="auto"/>
        </w:rPr>
        <w:t>. Depreciation and amortization expense was $19.9 million, an increase of $3.8 million, or 23.8%, for the three months ended January 31, 2003 as</w:t>
      </w:r>
      <w:r>
        <w:rPr>
          <w:rFonts w:ascii="Arial" w:cs="Arial" w:eastAsia="Arial" w:hAnsi="Arial"/>
          <w:sz w:val="14"/>
          <w:szCs w:val="14"/>
          <w:i w:val="1"/>
          <w:iCs w:val="1"/>
          <w:color w:val="auto"/>
        </w:rPr>
        <w:t xml:space="preserve"> </w:t>
      </w:r>
      <w:r>
        <w:rPr>
          <w:rFonts w:ascii="Arial" w:cs="Arial" w:eastAsia="Arial" w:hAnsi="Arial"/>
          <w:sz w:val="14"/>
          <w:szCs w:val="14"/>
          <w:color w:val="auto"/>
        </w:rPr>
        <w:t>compared to the three months ended January 31, 2002. The increase was primarily attributable to an increased fixed asset base from normal capital expenditures and the acquisitions of Heavenly, Rancho Mirage, RockResorts and the Vail Marriott. The fiscal 2002 acquisitions account for $2.9 million of the depreciation expense increase.</w:t>
      </w:r>
    </w:p>
    <w:p>
      <w:pPr>
        <w:spacing w:after="0" w:line="96" w:lineRule="exact"/>
        <w:rPr>
          <w:sz w:val="20"/>
          <w:szCs w:val="20"/>
          <w:color w:val="auto"/>
        </w:rPr>
      </w:pPr>
    </w:p>
    <w:p>
      <w:pPr>
        <w:ind w:right="220"/>
        <w:spacing w:after="0" w:line="295" w:lineRule="auto"/>
        <w:rPr>
          <w:sz w:val="20"/>
          <w:szCs w:val="20"/>
          <w:color w:val="auto"/>
        </w:rPr>
      </w:pPr>
      <w:r>
        <w:rPr>
          <w:rFonts w:ascii="Arial" w:cs="Arial" w:eastAsia="Arial" w:hAnsi="Arial"/>
          <w:sz w:val="15"/>
          <w:szCs w:val="15"/>
          <w:i w:val="1"/>
          <w:iCs w:val="1"/>
          <w:color w:val="auto"/>
        </w:rPr>
        <w:t xml:space="preserve">Interest expense. </w:t>
      </w:r>
      <w:r>
        <w:rPr>
          <w:rFonts w:ascii="Arial" w:cs="Arial" w:eastAsia="Arial" w:hAnsi="Arial"/>
          <w:sz w:val="15"/>
          <w:szCs w:val="15"/>
          <w:color w:val="auto"/>
        </w:rPr>
        <w:t>During the three months ended January 31, 2003 and 2002 the Company recorded interest expense of $12.8 million and $10.4 million, respectively, relating</w:t>
      </w:r>
      <w:r>
        <w:rPr>
          <w:rFonts w:ascii="Arial" w:cs="Arial" w:eastAsia="Arial" w:hAnsi="Arial"/>
          <w:sz w:val="15"/>
          <w:szCs w:val="15"/>
          <w:i w:val="1"/>
          <w:iCs w:val="1"/>
          <w:color w:val="auto"/>
        </w:rPr>
        <w:t xml:space="preserve"> </w:t>
      </w:r>
      <w:r>
        <w:rPr>
          <w:rFonts w:ascii="Arial" w:cs="Arial" w:eastAsia="Arial" w:hAnsi="Arial"/>
          <w:sz w:val="15"/>
          <w:szCs w:val="15"/>
          <w:color w:val="auto"/>
        </w:rPr>
        <w:t>primarily to the Credit Facility, Industrial Development Bonds and the Notes. The $2.4 million increase is primarily attributable to an increase in the Credit Facility borrowings due to the fiscal 2002 acquisitions and a full three months of interest on the $160 million 2001 Notes issued in November 2001.</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January 31, 2003 versus Six Months Ended January 31, 2002 (dollars in thousands)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Mountain operating revenue</w:t>
      </w:r>
      <w:r>
        <w:rPr>
          <w:rFonts w:ascii="Arial" w:cs="Arial" w:eastAsia="Arial" w:hAnsi="Arial"/>
          <w:sz w:val="16"/>
          <w:szCs w:val="16"/>
          <w:color w:val="auto"/>
        </w:rPr>
        <w:t>. Mountain operating revenue for the six months ended January 31, 2003 and 2002 is presented by category as follows:</w:t>
      </w:r>
    </w:p>
    <w:p>
      <w:pPr>
        <w:spacing w:after="0" w:line="242" w:lineRule="exact"/>
        <w:rPr>
          <w:sz w:val="20"/>
          <w:szCs w:val="20"/>
          <w:color w:val="auto"/>
        </w:rPr>
      </w:pPr>
    </w:p>
    <w:tbl>
      <w:tblPr>
        <w:tblLayout w:type="fixed"/>
        <w:tblInd w:w="3060" w:type="dxa"/>
        <w:tblCellMar>
          <w:top w:w="0" w:type="dxa"/>
          <w:left w:w="0" w:type="dxa"/>
          <w:bottom w:w="0" w:type="dxa"/>
          <w:right w:w="0" w:type="dxa"/>
        </w:tblCellMar>
      </w:tblPr>
      <w:tr>
        <w:trPr>
          <w:trHeight w:val="208"/>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8"/>
          </w:tcPr>
          <w:p>
            <w:pPr>
              <w:jc w:val="center"/>
              <w:ind w:right="180"/>
              <w:spacing w:after="0"/>
              <w:rPr>
                <w:sz w:val="20"/>
                <w:szCs w:val="20"/>
                <w:color w:val="auto"/>
              </w:rPr>
            </w:pPr>
            <w:r>
              <w:rPr>
                <w:rFonts w:ascii="Arial" w:cs="Arial" w:eastAsia="Arial" w:hAnsi="Arial"/>
                <w:sz w:val="16"/>
                <w:szCs w:val="16"/>
                <w:b w:val="1"/>
                <w:bCs w:val="1"/>
                <w:color w:val="auto"/>
                <w:w w:val="90"/>
              </w:rPr>
              <w:t>Six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6"/>
        </w:trPr>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8"/>
          </w:tcPr>
          <w:p>
            <w:pPr>
              <w:jc w:val="center"/>
              <w:ind w:right="160"/>
              <w:spacing w:after="0"/>
              <w:rPr>
                <w:sz w:val="20"/>
                <w:szCs w:val="20"/>
                <w:color w:val="auto"/>
              </w:rPr>
            </w:pPr>
            <w:r>
              <w:rPr>
                <w:rFonts w:ascii="Arial" w:cs="Arial" w:eastAsia="Arial" w:hAnsi="Arial"/>
                <w:sz w:val="16"/>
                <w:szCs w:val="16"/>
                <w:b w:val="1"/>
                <w:bCs w:val="1"/>
                <w:color w:val="auto"/>
                <w:w w:val="90"/>
              </w:rPr>
              <w:t>January 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88"/>
              </w:rPr>
              <w:t>Percentage</w:t>
            </w:r>
          </w:p>
        </w:tc>
      </w:tr>
      <w:tr>
        <w:trPr>
          <w:trHeight w:val="210"/>
        </w:trPr>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82"/>
              <w:spacing w:after="0"/>
              <w:rPr>
                <w:sz w:val="20"/>
                <w:szCs w:val="20"/>
                <w:color w:val="auto"/>
              </w:rPr>
            </w:pPr>
            <w:r>
              <w:rPr>
                <w:rFonts w:ascii="Arial" w:cs="Arial" w:eastAsia="Arial" w:hAnsi="Arial"/>
                <w:sz w:val="16"/>
                <w:szCs w:val="16"/>
                <w:b w:val="1"/>
                <w:bCs w:val="1"/>
                <w:color w:val="auto"/>
              </w:rPr>
              <w:t>2003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ind w:right="80"/>
              <w:spacing w:after="0"/>
              <w:rPr>
                <w:sz w:val="20"/>
                <w:szCs w:val="20"/>
                <w:color w:val="auto"/>
              </w:rPr>
            </w:pPr>
            <w:r>
              <w:rPr>
                <w:rFonts w:ascii="Arial" w:cs="Arial" w:eastAsia="Arial" w:hAnsi="Arial"/>
                <w:sz w:val="16"/>
                <w:szCs w:val="16"/>
                <w:b w:val="1"/>
                <w:bCs w:val="1"/>
                <w:color w:val="auto"/>
              </w:rPr>
              <w:t>2002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auto"/>
                <w:w w:val="86"/>
              </w:rPr>
              <w:t>Increase</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6"/>
              </w:rPr>
              <w:t>Increase</w:t>
            </w:r>
          </w:p>
        </w:tc>
      </w:tr>
      <w:tr>
        <w:trPr>
          <w:trHeight w:val="20"/>
        </w:trPr>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4"/>
        </w:trPr>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4"/>
          </w:tcPr>
          <w:p>
            <w:pPr>
              <w:jc w:val="center"/>
              <w:ind w:right="180"/>
              <w:spacing w:after="0"/>
              <w:rPr>
                <w:sz w:val="20"/>
                <w:szCs w:val="20"/>
                <w:color w:val="auto"/>
              </w:rPr>
            </w:pPr>
            <w:r>
              <w:rPr>
                <w:rFonts w:ascii="Arial" w:cs="Arial" w:eastAsia="Arial" w:hAnsi="Arial"/>
                <w:sz w:val="12"/>
                <w:szCs w:val="12"/>
                <w:color w:val="auto"/>
                <w:w w:val="92"/>
              </w:rPr>
              <w:t>(As Restated)</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160"/>
        </w:trPr>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8"/>
          </w:tcPr>
          <w:p>
            <w:pPr>
              <w:jc w:val="center"/>
              <w:ind w:right="160"/>
              <w:spacing w:after="0"/>
              <w:rPr>
                <w:sz w:val="20"/>
                <w:szCs w:val="20"/>
                <w:color w:val="auto"/>
              </w:rPr>
            </w:pPr>
            <w:r>
              <w:rPr>
                <w:rFonts w:ascii="Arial" w:cs="Arial" w:eastAsia="Arial" w:hAnsi="Arial"/>
                <w:sz w:val="12"/>
                <w:szCs w:val="12"/>
                <w:color w:val="auto"/>
                <w:w w:val="92"/>
              </w:rPr>
              <w:t>(unaudited)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533"/>
        </w:trPr>
        <w:tc>
          <w:tcPr>
            <w:tcW w:w="1440" w:type="dxa"/>
            <w:vAlign w:val="bottom"/>
          </w:tcPr>
          <w:p>
            <w:pPr>
              <w:spacing w:after="0"/>
              <w:rPr>
                <w:sz w:val="20"/>
                <w:szCs w:val="20"/>
                <w:color w:val="auto"/>
              </w:rPr>
            </w:pPr>
            <w:r>
              <w:rPr>
                <w:rFonts w:ascii="Arial" w:cs="Arial" w:eastAsia="Arial" w:hAnsi="Arial"/>
                <w:sz w:val="16"/>
                <w:szCs w:val="16"/>
                <w:color w:val="auto"/>
              </w:rPr>
              <w:t>Lift tickets</w:t>
            </w:r>
          </w:p>
        </w:tc>
        <w:tc>
          <w:tcPr>
            <w:tcW w:w="100" w:type="dxa"/>
            <w:vAlign w:val="bottom"/>
          </w:tcPr>
          <w:p>
            <w:pPr>
              <w:spacing w:after="0"/>
              <w:rPr>
                <w:sz w:val="24"/>
                <w:szCs w:val="24"/>
                <w:color w:val="auto"/>
              </w:rPr>
            </w:pPr>
          </w:p>
        </w:tc>
        <w:tc>
          <w:tcPr>
            <w:tcW w:w="64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66,697</w:t>
            </w:r>
          </w:p>
        </w:tc>
        <w:tc>
          <w:tcPr>
            <w:tcW w:w="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24,218</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36.3%</w:t>
            </w:r>
          </w:p>
        </w:tc>
      </w:tr>
      <w:tr>
        <w:trPr>
          <w:trHeight w:val="204"/>
        </w:trPr>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90,915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1"/>
        </w:trPr>
        <w:tc>
          <w:tcPr>
            <w:tcW w:w="1440" w:type="dxa"/>
            <w:vAlign w:val="bottom"/>
          </w:tcPr>
          <w:p>
            <w:pPr>
              <w:spacing w:after="0"/>
              <w:rPr>
                <w:sz w:val="20"/>
                <w:szCs w:val="20"/>
                <w:color w:val="auto"/>
              </w:rPr>
            </w:pPr>
            <w:r>
              <w:rPr>
                <w:rFonts w:ascii="Arial" w:cs="Arial" w:eastAsia="Arial" w:hAnsi="Arial"/>
                <w:sz w:val="16"/>
                <w:szCs w:val="16"/>
                <w:color w:val="auto"/>
              </w:rPr>
              <w:t>Ski school</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23,965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17,596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6,369</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36.2%</w:t>
            </w:r>
          </w:p>
        </w:tc>
      </w:tr>
      <w:tr>
        <w:trPr>
          <w:trHeight w:val="246"/>
        </w:trPr>
        <w:tc>
          <w:tcPr>
            <w:tcW w:w="1440" w:type="dxa"/>
            <w:vAlign w:val="bottom"/>
          </w:tcPr>
          <w:p>
            <w:pPr>
              <w:spacing w:after="0"/>
              <w:rPr>
                <w:sz w:val="20"/>
                <w:szCs w:val="20"/>
                <w:color w:val="auto"/>
              </w:rPr>
            </w:pPr>
            <w:r>
              <w:rPr>
                <w:rFonts w:ascii="Arial" w:cs="Arial" w:eastAsia="Arial" w:hAnsi="Arial"/>
                <w:sz w:val="16"/>
                <w:szCs w:val="16"/>
                <w:color w:val="auto"/>
              </w:rPr>
              <w:t>Dining</w:t>
            </w: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23,656</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19,447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4,209</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21.6%</w:t>
            </w:r>
          </w:p>
        </w:tc>
      </w:tr>
      <w:tr>
        <w:trPr>
          <w:trHeight w:val="246"/>
        </w:trPr>
        <w:tc>
          <w:tcPr>
            <w:tcW w:w="1440" w:type="dxa"/>
            <w:vAlign w:val="bottom"/>
          </w:tcPr>
          <w:p>
            <w:pPr>
              <w:spacing w:after="0"/>
              <w:rPr>
                <w:sz w:val="20"/>
                <w:szCs w:val="20"/>
                <w:color w:val="auto"/>
              </w:rPr>
            </w:pPr>
            <w:r>
              <w:rPr>
                <w:rFonts w:ascii="Arial" w:cs="Arial" w:eastAsia="Arial" w:hAnsi="Arial"/>
                <w:sz w:val="16"/>
                <w:szCs w:val="16"/>
                <w:color w:val="auto"/>
              </w:rPr>
              <w:t>Retail/rental</w:t>
            </w: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57,627</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49,433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8,194</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16.6%</w:t>
            </w:r>
          </w:p>
        </w:tc>
      </w:tr>
      <w:tr>
        <w:trPr>
          <w:trHeight w:val="210"/>
        </w:trPr>
        <w:tc>
          <w:tcPr>
            <w:tcW w:w="1440" w:type="dxa"/>
            <w:vAlign w:val="bottom"/>
          </w:tcPr>
          <w:p>
            <w:pPr>
              <w:spacing w:after="0"/>
              <w:rPr>
                <w:sz w:val="20"/>
                <w:szCs w:val="20"/>
                <w:color w:val="auto"/>
              </w:rPr>
            </w:pPr>
            <w:r>
              <w:rPr>
                <w:rFonts w:ascii="Arial" w:cs="Arial" w:eastAsia="Arial" w:hAnsi="Arial"/>
                <w:sz w:val="16"/>
                <w:szCs w:val="16"/>
                <w:color w:val="auto"/>
              </w:rPr>
              <w:t>Other</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27,440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22,205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5,235</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23.6%</w:t>
            </w:r>
          </w:p>
        </w:tc>
      </w:tr>
      <w:tr>
        <w:trPr>
          <w:trHeight w:val="20"/>
        </w:trPr>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r>
      <w:tr>
        <w:trPr>
          <w:trHeight w:val="226"/>
        </w:trPr>
        <w:tc>
          <w:tcPr>
            <w:tcW w:w="1440" w:type="dxa"/>
            <w:vAlign w:val="bottom"/>
          </w:tcPr>
          <w:p>
            <w:pPr>
              <w:spacing w:after="0"/>
              <w:rPr>
                <w:sz w:val="20"/>
                <w:szCs w:val="20"/>
                <w:color w:val="auto"/>
              </w:rPr>
            </w:pPr>
            <w:r>
              <w:rPr>
                <w:rFonts w:ascii="Arial" w:cs="Arial" w:eastAsia="Arial" w:hAnsi="Arial"/>
                <w:sz w:val="16"/>
                <w:szCs w:val="16"/>
                <w:color w:val="auto"/>
              </w:rPr>
              <w:t>Total mountain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223,603</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175,378</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48,225</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27.5%</w:t>
            </w:r>
          </w:p>
        </w:tc>
      </w:tr>
      <w:tr>
        <w:trPr>
          <w:trHeight w:val="212"/>
        </w:trPr>
        <w:tc>
          <w:tcPr>
            <w:tcW w:w="1440" w:type="dxa"/>
            <w:vAlign w:val="bottom"/>
          </w:tcPr>
          <w:p>
            <w:pPr>
              <w:spacing w:after="0"/>
              <w:rPr>
                <w:sz w:val="20"/>
                <w:szCs w:val="20"/>
                <w:color w:val="auto"/>
              </w:rPr>
            </w:pPr>
            <w:r>
              <w:rPr>
                <w:rFonts w:ascii="Arial" w:cs="Arial" w:eastAsia="Arial" w:hAnsi="Arial"/>
                <w:sz w:val="16"/>
                <w:szCs w:val="16"/>
                <w:color w:val="auto"/>
              </w:rPr>
              <w:t>revenue</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r>
      <w:tr>
        <w:trPr>
          <w:trHeight w:val="467"/>
        </w:trPr>
        <w:tc>
          <w:tcPr>
            <w:tcW w:w="1440" w:type="dxa"/>
            <w:vAlign w:val="bottom"/>
          </w:tcPr>
          <w:p>
            <w:pPr>
              <w:spacing w:after="0"/>
              <w:rPr>
                <w:sz w:val="20"/>
                <w:szCs w:val="20"/>
                <w:color w:val="auto"/>
              </w:rPr>
            </w:pPr>
            <w:r>
              <w:rPr>
                <w:rFonts w:ascii="Arial" w:cs="Arial" w:eastAsia="Arial" w:hAnsi="Arial"/>
                <w:sz w:val="16"/>
                <w:szCs w:val="16"/>
                <w:color w:val="auto"/>
              </w:rPr>
              <w:t>Skier visits</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2,607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2,132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475</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22.3%</w:t>
            </w:r>
          </w:p>
        </w:tc>
      </w:tr>
      <w:tr>
        <w:trPr>
          <w:trHeight w:val="492"/>
        </w:trPr>
        <w:tc>
          <w:tcPr>
            <w:tcW w:w="1440" w:type="dxa"/>
            <w:vAlign w:val="bottom"/>
          </w:tcPr>
          <w:p>
            <w:pPr>
              <w:spacing w:after="0"/>
              <w:rPr>
                <w:sz w:val="20"/>
                <w:szCs w:val="20"/>
                <w:color w:val="auto"/>
              </w:rPr>
            </w:pPr>
            <w:r>
              <w:rPr>
                <w:rFonts w:ascii="Arial" w:cs="Arial" w:eastAsia="Arial" w:hAnsi="Arial"/>
                <w:sz w:val="16"/>
                <w:szCs w:val="16"/>
                <w:color w:val="auto"/>
                <w:w w:val="99"/>
              </w:rPr>
              <w:t>Effective ticket price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34.87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ind w:right="60"/>
              <w:spacing w:after="0"/>
              <w:rPr>
                <w:sz w:val="20"/>
                <w:szCs w:val="20"/>
                <w:color w:val="auto"/>
              </w:rPr>
            </w:pPr>
            <w:r>
              <w:rPr>
                <w:rFonts w:ascii="Arial" w:cs="Arial" w:eastAsia="Arial" w:hAnsi="Arial"/>
                <w:sz w:val="16"/>
                <w:szCs w:val="16"/>
                <w:color w:val="auto"/>
              </w:rPr>
              <w:t>31.28</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ind w:right="120"/>
              <w:spacing w:after="0"/>
              <w:rPr>
                <w:sz w:val="20"/>
                <w:szCs w:val="20"/>
                <w:color w:val="auto"/>
              </w:rPr>
            </w:pPr>
            <w:r>
              <w:rPr>
                <w:rFonts w:ascii="Arial" w:cs="Arial" w:eastAsia="Arial" w:hAnsi="Arial"/>
                <w:sz w:val="16"/>
                <w:szCs w:val="16"/>
                <w:color w:val="auto"/>
              </w:rPr>
              <w:t>3.59</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11.5%</w:t>
            </w:r>
          </w:p>
        </w:tc>
      </w:tr>
    </w:tbl>
    <w:p>
      <w:pPr>
        <w:spacing w:after="0" w:line="226"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Mountain revenue for the six months ended January 31, 2003 increased $48.2 million, or 27.5%, as compared to the six months ended January 31, 2002 due to the Heavenly acquisition ($29.7 million), a 22.3% increase in skier visits, a favorable shift in the skier mix and increased ticket pricing.</w:t>
      </w:r>
    </w:p>
    <w:p>
      <w:pPr>
        <w:spacing w:after="0" w:line="119" w:lineRule="exact"/>
        <w:rPr>
          <w:sz w:val="20"/>
          <w:szCs w:val="20"/>
          <w:color w:val="auto"/>
        </w:rPr>
      </w:pPr>
    </w:p>
    <w:p>
      <w:pPr>
        <w:ind w:right="40"/>
        <w:spacing w:after="0" w:line="357" w:lineRule="auto"/>
        <w:rPr>
          <w:sz w:val="20"/>
          <w:szCs w:val="20"/>
          <w:color w:val="auto"/>
        </w:rPr>
      </w:pPr>
      <w:r>
        <w:rPr>
          <w:rFonts w:ascii="Arial" w:cs="Arial" w:eastAsia="Arial" w:hAnsi="Arial"/>
          <w:sz w:val="14"/>
          <w:szCs w:val="14"/>
          <w:i w:val="1"/>
          <w:iCs w:val="1"/>
          <w:color w:val="auto"/>
        </w:rPr>
        <w:t xml:space="preserve">Mountain operating expense. </w:t>
      </w:r>
      <w:r>
        <w:rPr>
          <w:rFonts w:ascii="Arial" w:cs="Arial" w:eastAsia="Arial" w:hAnsi="Arial"/>
          <w:sz w:val="14"/>
          <w:szCs w:val="14"/>
          <w:color w:val="auto"/>
        </w:rPr>
        <w:t>Mountain operating expense for the six months ended January 31, 2003 was $189.3 million, an increase of $41.3 million, or 27.9%, compared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six months ended January 31, 2002. This is commensurate with the increase in mountain revenue for the same period and reflects a slight increase in allocated SG&amp;A.</w:t>
      </w:r>
    </w:p>
    <w:p>
      <w:pPr>
        <w:spacing w:after="0" w:line="74"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 xml:space="preserve">Lodging revenue. </w:t>
      </w:r>
      <w:r>
        <w:rPr>
          <w:rFonts w:ascii="Arial" w:cs="Arial" w:eastAsia="Arial" w:hAnsi="Arial"/>
          <w:sz w:val="16"/>
          <w:szCs w:val="16"/>
          <w:color w:val="auto"/>
        </w:rPr>
        <w:t>Lodging revenue for the six months ended January 31, 2003 was $75.0 million, an increase of $13.9 million, or 22.8%, compared to the six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31, 2002. This increase is primarily due to the inclusion of the Vail Marriott, the Lodge at Rancho Mirage and RockResorts for the full six months ended January 31, 2003 as well as improved revenue at SRL&amp;S due to recently completed renovations. The Company's ADR for the six months ended January 31, 2003 for its owned hotels and condominium management operations was $176.71, a decrease of $1.34 as compared to the six months ended January 31, 2002. The decrease in ADR is attributable to the Company's conscious decision to lower rates to increase occupancy and the timing of the Vail Marriott and Rancho Mirage acquisitions; the previous year's results did not include several of the properties' early-season months.</w:t>
      </w:r>
    </w:p>
    <w:p>
      <w:pPr>
        <w:spacing w:after="0" w:line="139" w:lineRule="exact"/>
        <w:rPr>
          <w:sz w:val="20"/>
          <w:szCs w:val="20"/>
          <w:color w:val="auto"/>
        </w:rPr>
      </w:pPr>
    </w:p>
    <w:p>
      <w:pPr>
        <w:jc w:val="both"/>
        <w:ind w:right="60"/>
        <w:spacing w:after="0" w:line="295" w:lineRule="auto"/>
        <w:rPr>
          <w:sz w:val="20"/>
          <w:szCs w:val="20"/>
          <w:color w:val="auto"/>
        </w:rPr>
      </w:pPr>
      <w:r>
        <w:rPr>
          <w:rFonts w:ascii="Arial" w:cs="Arial" w:eastAsia="Arial" w:hAnsi="Arial"/>
          <w:sz w:val="15"/>
          <w:szCs w:val="15"/>
          <w:i w:val="1"/>
          <w:iCs w:val="1"/>
          <w:color w:val="auto"/>
        </w:rPr>
        <w:t xml:space="preserve">Lodging operating expense. </w:t>
      </w:r>
      <w:r>
        <w:rPr>
          <w:rFonts w:ascii="Arial" w:cs="Arial" w:eastAsia="Arial" w:hAnsi="Arial"/>
          <w:sz w:val="15"/>
          <w:szCs w:val="15"/>
          <w:color w:val="auto"/>
        </w:rPr>
        <w:t>Lodging operating expense for the six months ended January 31, 2003 was $75.9 million, an increase of $16.0 million, or 26.8%, compared to the six</w:t>
      </w:r>
      <w:r>
        <w:rPr>
          <w:rFonts w:ascii="Arial" w:cs="Arial" w:eastAsia="Arial" w:hAnsi="Arial"/>
          <w:sz w:val="15"/>
          <w:szCs w:val="15"/>
          <w:i w:val="1"/>
          <w:iCs w:val="1"/>
          <w:color w:val="auto"/>
        </w:rPr>
        <w:t xml:space="preserve"> </w:t>
      </w:r>
      <w:r>
        <w:rPr>
          <w:rFonts w:ascii="Arial" w:cs="Arial" w:eastAsia="Arial" w:hAnsi="Arial"/>
          <w:sz w:val="15"/>
          <w:szCs w:val="15"/>
          <w:color w:val="auto"/>
        </w:rPr>
        <w:t>months ended January 31, 2002. This is due to increased management staffing and administrative costs associated with the formation of the RockResorts brand, golf membership costs at the Lodge at Rancho Mirage, certain administrative costs at SRL&amp;S and reflects an increase in the allocated corporate SG&amp;A as noted above.</w:t>
      </w:r>
    </w:p>
    <w:p>
      <w:pPr>
        <w:spacing w:after="0" w:line="114" w:lineRule="exact"/>
        <w:rPr>
          <w:sz w:val="20"/>
          <w:szCs w:val="20"/>
          <w:color w:val="auto"/>
        </w:rPr>
      </w:pPr>
    </w:p>
    <w:p>
      <w:pPr>
        <w:ind w:right="400"/>
        <w:spacing w:after="0" w:line="318" w:lineRule="auto"/>
        <w:rPr>
          <w:sz w:val="20"/>
          <w:szCs w:val="20"/>
          <w:color w:val="auto"/>
        </w:rPr>
      </w:pPr>
      <w:r>
        <w:rPr>
          <w:rFonts w:ascii="Arial" w:cs="Arial" w:eastAsia="Arial" w:hAnsi="Arial"/>
          <w:sz w:val="15"/>
          <w:szCs w:val="15"/>
          <w:i w:val="1"/>
          <w:iCs w:val="1"/>
          <w:color w:val="auto"/>
        </w:rPr>
        <w:t xml:space="preserve">Lodging equity investment loss. </w:t>
      </w:r>
      <w:r>
        <w:rPr>
          <w:rFonts w:ascii="Arial" w:cs="Arial" w:eastAsia="Arial" w:hAnsi="Arial"/>
          <w:sz w:val="15"/>
          <w:szCs w:val="15"/>
          <w:color w:val="auto"/>
        </w:rPr>
        <w:t>The equity investment loss for the six months ended January 31, 2003 was $3.3 million and primarily represents hotel operations at the Ritz-Carlton, Bachelor Gulch. The equity loss includes depreciation expense $0.4 million and interest expense of $0.6 million as of January 31, 2003.</w:t>
      </w:r>
    </w:p>
    <w:p>
      <w:pPr>
        <w:spacing w:after="0" w:line="96" w:lineRule="exact"/>
        <w:rPr>
          <w:sz w:val="20"/>
          <w:szCs w:val="20"/>
          <w:color w:val="auto"/>
        </w:rPr>
      </w:pPr>
    </w:p>
    <w:p>
      <w:pPr>
        <w:jc w:val="both"/>
        <w:ind w:right="220"/>
        <w:spacing w:after="0" w:line="325" w:lineRule="auto"/>
        <w:rPr>
          <w:sz w:val="20"/>
          <w:szCs w:val="20"/>
          <w:color w:val="auto"/>
        </w:rPr>
      </w:pPr>
      <w:r>
        <w:rPr>
          <w:rFonts w:ascii="Arial" w:cs="Arial" w:eastAsia="Arial" w:hAnsi="Arial"/>
          <w:sz w:val="14"/>
          <w:szCs w:val="14"/>
          <w:i w:val="1"/>
          <w:iCs w:val="1"/>
          <w:color w:val="auto"/>
        </w:rPr>
        <w:t>Real estate revenue</w:t>
      </w:r>
      <w:r>
        <w:rPr>
          <w:rFonts w:ascii="Arial" w:cs="Arial" w:eastAsia="Arial" w:hAnsi="Arial"/>
          <w:sz w:val="14"/>
          <w:szCs w:val="14"/>
          <w:color w:val="auto"/>
        </w:rPr>
        <w:t>. Revenue from real estate operations for the six months ended January 31, 2003 was $62.0 million, an increase of $11.9 million, or 23.9%, compared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six months ended January 31, 2002. This increase is primarily due to closings on the sales of 72 condominiums, 17 single-family lots and 9 multi-family lots for the six months ending January 31, 2003, versus closings on the sales of 36 single family lots, 40 multi-family lots and one condominium in the same period of fiscal 2002.</w:t>
      </w:r>
    </w:p>
    <w:p>
      <w:pPr>
        <w:spacing w:after="0" w:line="9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i w:val="1"/>
          <w:iCs w:val="1"/>
          <w:color w:val="auto"/>
        </w:rPr>
        <w:t xml:space="preserve">Real estate operating expense. </w:t>
      </w:r>
      <w:r>
        <w:rPr>
          <w:rFonts w:ascii="Arial" w:cs="Arial" w:eastAsia="Arial" w:hAnsi="Arial"/>
          <w:sz w:val="16"/>
          <w:szCs w:val="16"/>
          <w:color w:val="auto"/>
        </w:rPr>
        <w:t>Real estate operating expense for the six months ended January 31, 2003 was $49.8 million, an increase of $12.0 million, or 31.7%,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January 31, 2002. Real estate operating expense consists primarily of the cost of sales and related real estate commissions associated with sales of real estate. Real estate operating expense also includes the selling, general and administrative expenses associated with the Company's real estate operations and an allocation of corporate SG&amp;A. The increase for the six months ended January 31, 2003 as compared to the six months ending January 31, 2002 is commensurate with the increase in real estate sales noted above and the change in the mix of real estate products sold.</w:t>
      </w:r>
    </w:p>
    <w:p>
      <w:pPr>
        <w:spacing w:after="0" w:line="135" w:lineRule="exact"/>
        <w:rPr>
          <w:sz w:val="20"/>
          <w:szCs w:val="20"/>
          <w:color w:val="auto"/>
        </w:rPr>
      </w:pPr>
    </w:p>
    <w:p>
      <w:pPr>
        <w:ind w:right="20"/>
        <w:spacing w:after="0" w:line="325" w:lineRule="auto"/>
        <w:rPr>
          <w:sz w:val="20"/>
          <w:szCs w:val="20"/>
          <w:color w:val="auto"/>
        </w:rPr>
      </w:pPr>
      <w:r>
        <w:rPr>
          <w:rFonts w:ascii="Arial" w:cs="Arial" w:eastAsia="Arial" w:hAnsi="Arial"/>
          <w:sz w:val="14"/>
          <w:szCs w:val="14"/>
          <w:i w:val="1"/>
          <w:iCs w:val="1"/>
          <w:color w:val="auto"/>
        </w:rPr>
        <w:t xml:space="preserve">Real estate equity investment income. </w:t>
      </w:r>
      <w:r>
        <w:rPr>
          <w:rFonts w:ascii="Arial" w:cs="Arial" w:eastAsia="Arial" w:hAnsi="Arial"/>
          <w:sz w:val="14"/>
          <w:szCs w:val="14"/>
          <w:color w:val="auto"/>
        </w:rPr>
        <w:t>Real estate equity investment income for the six months ended January 31, 2003 was $3.8 million and includes the sale of 19 condominiums</w:t>
      </w:r>
      <w:r>
        <w:rPr>
          <w:rFonts w:ascii="Arial" w:cs="Arial" w:eastAsia="Arial" w:hAnsi="Arial"/>
          <w:sz w:val="14"/>
          <w:szCs w:val="14"/>
          <w:i w:val="1"/>
          <w:iCs w:val="1"/>
          <w:color w:val="auto"/>
        </w:rPr>
        <w:t xml:space="preserve"> </w:t>
      </w:r>
      <w:r>
        <w:rPr>
          <w:rFonts w:ascii="Arial" w:cs="Arial" w:eastAsia="Arial" w:hAnsi="Arial"/>
          <w:sz w:val="14"/>
          <w:szCs w:val="14"/>
          <w:color w:val="auto"/>
        </w:rPr>
        <w:t>through KRED and 21 residential condominium sales through the Ritz-Carlton, Bachelor Gulch. Profits generated by KRED during the six months ended January 31, 2002 included the sale of 72 condominiums and one single-family homesite. The Ritz-Carlton, Bachelor Gulch was not in operation during the quarter ended January 31, 2002.</w:t>
      </w:r>
    </w:p>
    <w:p>
      <w:pPr>
        <w:spacing w:after="0" w:line="96"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was $37.9 million, an increase of $6.4 million, or 20.5%, for the six months ended January 31, 2003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six months ending January 31, 2002. The increase was primarily attributable to an increased fixed asset base from normal capital expenditures and the acquisitions of Heavenly, Rancho Mirage, RockResorts and the Vail Marriott. The fiscal 2002 acquisitions accounted for $5.3 million of the increase in depreciation expense for the six months ended January 31, 2003.</w:t>
      </w:r>
    </w:p>
    <w:p>
      <w:pPr>
        <w:spacing w:after="0" w:line="134"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During the six months ended January 31, 2003 and 2002 the Company recorded interest expense of $24.7 million and $18.2 million, respectively,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the Credit Facility, the Industrial Development Bonds and the Notes. The $6.5 million increase is attributable to a full six months interest on the $160 million 2001 Notes issued in November 2001 and an increase in Credit Facility borrowings due to the fiscal 2002 acquisitions.</w:t>
      </w:r>
    </w:p>
    <w:p>
      <w:pPr>
        <w:sectPr>
          <w:pgSz w:w="11900" w:h="16838" w:orient="portrait"/>
          <w:cols w:equalWidth="0" w:num="1">
            <w:col w:w="11440"/>
          </w:cols>
          <w:pgMar w:left="240" w:top="131" w:right="219" w:bottom="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76"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The Company has historically provided for operating expenditures, debt service, capital expenditures and acquisitions through a combination of cash flow from operations, short-term and long-term borrowings and sales of real estate.</w:t>
      </w:r>
    </w:p>
    <w:p>
      <w:pPr>
        <w:spacing w:after="0" w:line="119"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Cash flows from the Company's operating activities were $126.1 million for the six months ended January 31, 2003. Operating cash flows were comprised primarily of the $8.0 million net loss for the period adjusted for non-cash depreciation and amortization expense, non-cash costs related to real estate sales and deferred club revenues.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The Company's cash flows used for investing activities were $96.3 million for the six months ended January 31, 2003 and have historically consisted of payments for acquisitions,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capital expenditures and investments in real estate. During the six months ended January 31, 2003 capital expenditures were $66.4 million and investments in real estate were</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$28.0 million. The primary projects included in capital expenditures were (i) renovations and remodeling of the Vail Marriott, (ii) the spa at the Ritz-Carlton, Bachelor Gulch, (iii)</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installation of a new Peak 7 lift and replacement of Chair 4 at Breckenridge, (iv) remodeling the California main lodge at Heavenly, (v) grooming fleet replacements, (vi)</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Keystone snowmaking upgrades, (vii) upgrades to Keystone's River Run children's ski school facility and (vii) construction of a deck at Vail's Two Elk lodge. The primary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projects included in investments in real estate were (i) continued construction of the Red Sky Ranch golf community, (ii) continued construction of the Mountain Thunder Lodge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condominium project at Breckenridge, (iii) planning for the Peak 7 development at Breckenridge, (iv) development of the Vail Lionshead project and (v) planning and</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development of projects in and around each of the Company's resorts.</w:t>
      </w:r>
    </w:p>
    <w:p>
      <w:pPr>
        <w:spacing w:after="0" w:line="165"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color w:val="auto"/>
        </w:rPr>
        <w:t>The Company estimates that it will make capital expenditures of approximately $10 million to $20 million during the remainder of fiscal 2003. The primary projects are anticipated to include (i) upgrades and improvements at Heavenly, including the installation of a high-speed chairlift, (ii) snowmaking improvements at Keystone, (iii) replacement of Chair 9 at Beaver Creek with a high-speed chairlift, (iv) grooming fleet replacements, (v) mountain uniform replacements, and (vi) installation of snowmaking at Breckenridge's Peak 7. Investments in real estate during the remainder of fiscal 2003 are expected to total approximately $8 million to $18 million. The primary projects are anticipated to include (i) planning and development for the Vail Front Door project, (ii) continued development of the Red Sky Ranch golf community, (iii) planning and development involving Beaver Creek's service facilities, and (iv) planning and development of projects in and around Breckenridge, Keystone and Jackson, Wyoming. The C ompany plans to fund these capital expenditures and investments in real estate with cash flow from operations and borrowings under the Credit Facility.</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During the six months ended January 31, 2003, the Company used $31.1 million in its financing activities consisting primarily of $30.9 million in net long-term debt repayments.</w:t>
      </w:r>
    </w:p>
    <w:p>
      <w:pPr>
        <w:spacing w:after="0" w:line="195"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For the six months ended January 31, 2002, cash flows provided by operating activities were $91.6 million. Capital expenditures for the six months ended January 31, 2002 were $35.5 million, investments in real estate for that period were $36.6 million and payments for acquisitions were $77.5 million. During the six months ended January 31, 2002, the Company generated $55.9 million in cash from its financing activities, consisting primarily of $63.0 million net long-term debt borrowings offset by $7.3 million paid in deferred financing costs.</w:t>
      </w:r>
    </w:p>
    <w:p>
      <w:pPr>
        <w:spacing w:after="0" w:line="134" w:lineRule="exact"/>
        <w:rPr>
          <w:sz w:val="20"/>
          <w:szCs w:val="20"/>
          <w:color w:val="auto"/>
        </w:rPr>
      </w:pPr>
    </w:p>
    <w:p>
      <w:pPr>
        <w:ind w:right="200"/>
        <w:spacing w:after="0" w:line="283" w:lineRule="auto"/>
        <w:rPr>
          <w:sz w:val="20"/>
          <w:szCs w:val="20"/>
          <w:color w:val="auto"/>
        </w:rPr>
      </w:pPr>
      <w:r>
        <w:rPr>
          <w:rFonts w:ascii="Arial" w:cs="Arial" w:eastAsia="Arial" w:hAnsi="Arial"/>
          <w:sz w:val="16"/>
          <w:szCs w:val="16"/>
          <w:color w:val="auto"/>
        </w:rPr>
        <w:t>The Company was in compliance with all relevant covenants in its debt instruments as of January 31, 2003. The Company expects it will meet all applicable quarterly financial tests in its debt instruments through fiscal 2004, absent compliance with FIN No. 46 discussed below.</w:t>
      </w:r>
    </w:p>
    <w:p>
      <w:pPr>
        <w:spacing w:after="0" w:line="11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However, there can be no assurance that the Company will meet its financial covenants. If such covenants are not met, the Company would be required to seek a waiver or amendment from the banks participating in the Credit Facility. While the Company anticipates that it would obtain such waiver or amendment, if any were necessary, there can be no assurance that such waiver would be granted, which could have a material adverse impact on the liquidity of the Company. Further, the Company's anticipated future compliance with applicable debt covenants does not contemplate the potential consolidation of additional entities upon the adoption of FIN No. 46 in fiscal 2004 (see Note 11, Variable Interest Entities, of the Notes to the Consolidated Condensed Financial Statements); consolidation of certain of the entities identified in Note 11 would likely require the Company to seek an amendment and/or require re-negotiation of the existing Credit Facility to ensure continuing compliance with the financial covenants u nder the Credit Facility.</w:t>
      </w:r>
    </w:p>
    <w:p>
      <w:pPr>
        <w:spacing w:after="0" w:line="141" w:lineRule="exact"/>
        <w:rPr>
          <w:sz w:val="20"/>
          <w:szCs w:val="20"/>
          <w:color w:val="auto"/>
        </w:rPr>
      </w:pPr>
    </w:p>
    <w:p>
      <w:pPr>
        <w:jc w:val="both"/>
        <w:ind w:right="60"/>
        <w:spacing w:after="0" w:line="269" w:lineRule="auto"/>
        <w:rPr>
          <w:sz w:val="20"/>
          <w:szCs w:val="20"/>
          <w:color w:val="auto"/>
        </w:rPr>
      </w:pPr>
      <w:r>
        <w:rPr>
          <w:rFonts w:ascii="Arial" w:cs="Arial" w:eastAsia="Arial" w:hAnsi="Arial"/>
          <w:sz w:val="16"/>
          <w:szCs w:val="16"/>
          <w:color w:val="auto"/>
        </w:rPr>
        <w:t>The Company's existing Credit Facility is scheduled to expire on November 13, 2004, and the Company intends in the ordinary course to re-negotiate the existing facility prior to the end of calendar 2003. While the Company anticipates it would successfully complete such refinancing, the Company cannot guarantee that such refinancing will be obtained, or, if so, on terms favorable to the Company.</w:t>
      </w:r>
    </w:p>
    <w:p>
      <w:pPr>
        <w:spacing w:after="0" w:line="131"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Based on current levels of operations and cash availability, management believes the Company is in a position to satisfy its current working capital, debt service, and capital expenditure requirements for at least the next twelve months.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w:t>
      </w:r>
    </w:p>
    <w:p>
      <w:pPr>
        <w:spacing w:after="0" w:line="176" w:lineRule="exact"/>
        <w:rPr>
          <w:sz w:val="20"/>
          <w:szCs w:val="20"/>
          <w:color w:val="auto"/>
        </w:rPr>
      </w:pPr>
    </w:p>
    <w:p>
      <w:pPr>
        <w:ind w:right="120"/>
        <w:spacing w:after="0" w:line="288" w:lineRule="auto"/>
        <w:rPr>
          <w:sz w:val="20"/>
          <w:szCs w:val="20"/>
          <w:color w:val="auto"/>
        </w:rPr>
      </w:pPr>
      <w:r>
        <w:rPr>
          <w:rFonts w:ascii="Arial" w:cs="Arial" w:eastAsia="Arial" w:hAnsi="Arial"/>
          <w:sz w:val="15"/>
          <w:szCs w:val="15"/>
          <w:color w:val="auto"/>
        </w:rPr>
        <w:t>As part of its ongoing operations, the Company enters into arrangements that obligate the Company to make future payments under contracts such as lease agreements and debt agreements. Debt obligations, which total $572.8 million, are currently recognized as liabilities in the Company's Consolidated Condensed Balance Sheet. Operating lease obligations, which total $47.5 million, are not recognized as liabilities in the Company's Consolidated Condensed Balance Sheet, which is in accordance with generally accepted accounting principles. A summary of the Company's contractual obligations as of January 31, 2003 is as follows:</w:t>
      </w:r>
    </w:p>
    <w:p>
      <w:pPr>
        <w:spacing w:after="0" w:line="176" w:lineRule="exact"/>
        <w:rPr>
          <w:sz w:val="20"/>
          <w:szCs w:val="20"/>
          <w:color w:val="auto"/>
        </w:rPr>
      </w:pPr>
    </w:p>
    <w:tbl>
      <w:tblPr>
        <w:tblLayout w:type="fixed"/>
        <w:tblInd w:w="2100" w:type="dxa"/>
        <w:tblCellMar>
          <w:top w:w="0" w:type="dxa"/>
          <w:left w:w="0" w:type="dxa"/>
          <w:bottom w:w="0" w:type="dxa"/>
          <w:right w:w="0" w:type="dxa"/>
        </w:tblCellMar>
      </w:tblPr>
      <w:tr>
        <w:trPr>
          <w:trHeight w:val="208"/>
        </w:trPr>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0" w:type="dxa"/>
            <w:vAlign w:val="bottom"/>
            <w:gridSpan w:val="12"/>
          </w:tcPr>
          <w:p>
            <w:pPr>
              <w:jc w:val="right"/>
              <w:ind w:right="160"/>
              <w:spacing w:after="0"/>
              <w:rPr>
                <w:sz w:val="20"/>
                <w:szCs w:val="20"/>
                <w:color w:val="auto"/>
              </w:rPr>
            </w:pPr>
            <w:r>
              <w:rPr>
                <w:rFonts w:ascii="Arial" w:cs="Arial" w:eastAsia="Arial" w:hAnsi="Arial"/>
                <w:sz w:val="16"/>
                <w:szCs w:val="16"/>
                <w:b w:val="1"/>
                <w:bCs w:val="1"/>
                <w:color w:val="auto"/>
                <w:w w:val="97"/>
              </w:rPr>
              <w:t>Payments Due by Period (in thousands)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70"/>
        </w:trPr>
        <w:tc>
          <w:tcPr>
            <w:tcW w:w="2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5"/>
              </w:rPr>
              <w:t>Less than</w:t>
            </w:r>
          </w:p>
        </w:tc>
        <w:tc>
          <w:tcPr>
            <w:tcW w:w="90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rPr>
              <w:t>2-3</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jc w:val="right"/>
              <w:ind w:right="300"/>
              <w:spacing w:after="0"/>
              <w:rPr>
                <w:sz w:val="20"/>
                <w:szCs w:val="20"/>
                <w:color w:val="auto"/>
              </w:rPr>
            </w:pPr>
            <w:r>
              <w:rPr>
                <w:rFonts w:ascii="Arial" w:cs="Arial" w:eastAsia="Arial" w:hAnsi="Arial"/>
                <w:sz w:val="16"/>
                <w:szCs w:val="16"/>
                <w:b w:val="1"/>
                <w:bCs w:val="1"/>
                <w:color w:val="auto"/>
                <w:w w:val="87"/>
              </w:rPr>
              <w:t>4 - 5</w:t>
            </w:r>
          </w:p>
        </w:tc>
        <w:tc>
          <w:tcPr>
            <w:tcW w:w="320" w:type="dxa"/>
            <w:vAlign w:val="bottom"/>
          </w:tcPr>
          <w:p>
            <w:pPr>
              <w:spacing w:after="0"/>
              <w:rPr>
                <w:sz w:val="23"/>
                <w:szCs w:val="23"/>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After 5</w:t>
            </w:r>
          </w:p>
        </w:tc>
      </w:tr>
      <w:tr>
        <w:trPr>
          <w:trHeight w:val="393"/>
        </w:trPr>
        <w:tc>
          <w:tcPr>
            <w:tcW w:w="2200" w:type="dxa"/>
            <w:vAlign w:val="bottom"/>
          </w:tcPr>
          <w:p>
            <w:pPr>
              <w:spacing w:after="0"/>
              <w:rPr>
                <w:sz w:val="20"/>
                <w:szCs w:val="20"/>
                <w:color w:val="auto"/>
              </w:rPr>
            </w:pPr>
            <w:r>
              <w:rPr>
                <w:rFonts w:ascii="Arial" w:cs="Arial" w:eastAsia="Arial" w:hAnsi="Arial"/>
                <w:sz w:val="16"/>
                <w:szCs w:val="16"/>
                <w:b w:val="1"/>
                <w:bCs w:val="1"/>
                <w:color w:val="auto"/>
              </w:rPr>
              <w:t>Contractual Obligations</w:t>
            </w:r>
          </w:p>
        </w:tc>
        <w:tc>
          <w:tcPr>
            <w:tcW w:w="7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9"/>
              </w:rPr>
              <w:t>Total</w:t>
            </w:r>
          </w:p>
        </w:tc>
        <w:tc>
          <w:tcPr>
            <w:tcW w:w="122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0"/>
              </w:rPr>
              <w:t>1 year</w:t>
            </w:r>
          </w:p>
        </w:tc>
        <w:tc>
          <w:tcPr>
            <w:tcW w:w="1060" w:type="dxa"/>
            <w:vAlign w:val="bottom"/>
            <w:gridSpan w:val="4"/>
          </w:tcPr>
          <w:p>
            <w:pPr>
              <w:ind w:left="200"/>
              <w:spacing w:after="0"/>
              <w:rPr>
                <w:sz w:val="20"/>
                <w:szCs w:val="20"/>
                <w:color w:val="auto"/>
              </w:rPr>
            </w:pPr>
            <w:r>
              <w:rPr>
                <w:rFonts w:ascii="Arial" w:cs="Arial" w:eastAsia="Arial" w:hAnsi="Arial"/>
                <w:sz w:val="16"/>
                <w:szCs w:val="16"/>
                <w:b w:val="1"/>
                <w:bCs w:val="1"/>
                <w:color w:val="auto"/>
              </w:rPr>
              <w:t>years</w:t>
            </w:r>
          </w:p>
        </w:tc>
        <w:tc>
          <w:tcPr>
            <w:tcW w:w="16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5"/>
              </w:rPr>
              <w:t>years</w:t>
            </w:r>
          </w:p>
        </w:tc>
        <w:tc>
          <w:tcPr>
            <w:tcW w:w="32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1"/>
              </w:rPr>
              <w:t>Years</w:t>
            </w:r>
          </w:p>
        </w:tc>
      </w:tr>
      <w:tr>
        <w:trPr>
          <w:trHeight w:val="246"/>
        </w:trPr>
        <w:tc>
          <w:tcPr>
            <w:tcW w:w="2200" w:type="dxa"/>
            <w:vAlign w:val="bottom"/>
          </w:tcPr>
          <w:p>
            <w:pPr>
              <w:spacing w:after="0"/>
              <w:rPr>
                <w:sz w:val="20"/>
                <w:szCs w:val="20"/>
                <w:color w:val="auto"/>
              </w:rPr>
            </w:pPr>
            <w:r>
              <w:rPr>
                <w:rFonts w:ascii="Arial" w:cs="Arial" w:eastAsia="Arial" w:hAnsi="Arial"/>
                <w:sz w:val="16"/>
                <w:szCs w:val="16"/>
                <w:color w:val="auto"/>
              </w:rPr>
              <w:t>Long-Term Debt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572,773</w:t>
            </w: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2,188</w:t>
            </w:r>
          </w:p>
        </w:tc>
        <w:tc>
          <w:tcPr>
            <w:tcW w:w="200" w:type="dxa"/>
            <w:vAlign w:val="bottom"/>
          </w:tcPr>
          <w:p>
            <w:pPr>
              <w:spacing w:after="0"/>
              <w:rPr>
                <w:sz w:val="21"/>
                <w:szCs w:val="21"/>
                <w:color w:val="auto"/>
              </w:rPr>
            </w:pPr>
          </w:p>
        </w:tc>
        <w:tc>
          <w:tcPr>
            <w:tcW w:w="34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w w:val="93"/>
              </w:rPr>
              <w:t>151,609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4,801</w:t>
            </w:r>
          </w:p>
        </w:tc>
        <w:tc>
          <w:tcPr>
            <w:tcW w:w="48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414,175</w:t>
            </w:r>
          </w:p>
        </w:tc>
      </w:tr>
      <w:tr>
        <w:trPr>
          <w:trHeight w:val="246"/>
        </w:trPr>
        <w:tc>
          <w:tcPr>
            <w:tcW w:w="2200" w:type="dxa"/>
            <w:vAlign w:val="bottom"/>
          </w:tcPr>
          <w:p>
            <w:pPr>
              <w:spacing w:after="0"/>
              <w:rPr>
                <w:sz w:val="20"/>
                <w:szCs w:val="20"/>
                <w:color w:val="auto"/>
              </w:rPr>
            </w:pPr>
            <w:r>
              <w:rPr>
                <w:rFonts w:ascii="Arial" w:cs="Arial" w:eastAsia="Arial" w:hAnsi="Arial"/>
                <w:sz w:val="16"/>
                <w:szCs w:val="16"/>
                <w:color w:val="auto"/>
              </w:rPr>
              <w:t>Operating Leases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47,489</w:t>
            </w: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8,396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11,183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8,521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19,389</w:t>
            </w:r>
          </w:p>
        </w:tc>
      </w:tr>
      <w:tr>
        <w:trPr>
          <w:trHeight w:val="241"/>
        </w:trPr>
        <w:tc>
          <w:tcPr>
            <w:tcW w:w="2200" w:type="dxa"/>
            <w:vAlign w:val="bottom"/>
          </w:tcPr>
          <w:p>
            <w:pPr>
              <w:spacing w:after="0"/>
              <w:rPr>
                <w:sz w:val="20"/>
                <w:szCs w:val="20"/>
                <w:color w:val="auto"/>
              </w:rPr>
            </w:pPr>
            <w:r>
              <w:rPr>
                <w:rFonts w:ascii="Arial" w:cs="Arial" w:eastAsia="Arial" w:hAnsi="Arial"/>
                <w:sz w:val="16"/>
                <w:szCs w:val="16"/>
                <w:color w:val="auto"/>
              </w:rPr>
              <w:t>Other Long-Term</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02"/>
        </w:trPr>
        <w:tc>
          <w:tcPr>
            <w:tcW w:w="2200" w:type="dxa"/>
            <w:vAlign w:val="bottom"/>
          </w:tcPr>
          <w:p>
            <w:pPr>
              <w:spacing w:after="0" w:line="202" w:lineRule="exact"/>
              <w:rPr>
                <w:sz w:val="20"/>
                <w:szCs w:val="20"/>
                <w:color w:val="auto"/>
              </w:rPr>
            </w:pPr>
            <w:r>
              <w:rPr>
                <w:rFonts w:ascii="Arial" w:cs="Arial" w:eastAsia="Arial" w:hAnsi="Arial"/>
                <w:sz w:val="14"/>
                <w:szCs w:val="14"/>
                <w:color w:val="auto"/>
              </w:rPr>
              <w:t xml:space="preserve">Obligations </w:t>
            </w:r>
            <w:r>
              <w:rPr>
                <w:rFonts w:ascii="Arial" w:cs="Arial" w:eastAsia="Arial" w:hAnsi="Arial"/>
                <w:sz w:val="23"/>
                <w:szCs w:val="23"/>
                <w:color w:val="auto"/>
                <w:vertAlign w:val="superscript"/>
              </w:rPr>
              <w:t>(1)</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16,800</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2200" w:type="dxa"/>
            <w:vAlign w:val="bottom"/>
          </w:tcPr>
          <w:p>
            <w:pPr>
              <w:spacing w:after="0"/>
              <w:rPr>
                <w:sz w:val="20"/>
                <w:szCs w:val="20"/>
                <w:color w:val="auto"/>
              </w:rPr>
            </w:pPr>
            <w:r>
              <w:rPr>
                <w:rFonts w:ascii="Arial" w:cs="Arial" w:eastAsia="Arial" w:hAnsi="Arial"/>
                <w:sz w:val="16"/>
                <w:szCs w:val="16"/>
                <w:b w:val="1"/>
                <w:bCs w:val="1"/>
                <w:color w:val="auto"/>
              </w:rPr>
              <w:t>Total Contractual Cash</w:t>
            </w: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r>
      <w:tr>
        <w:trPr>
          <w:trHeight w:val="173"/>
        </w:trPr>
        <w:tc>
          <w:tcPr>
            <w:tcW w:w="2200" w:type="dxa"/>
            <w:vAlign w:val="bottom"/>
          </w:tcPr>
          <w:p>
            <w:pPr>
              <w:spacing w:after="0" w:line="173" w:lineRule="exact"/>
              <w:rPr>
                <w:sz w:val="20"/>
                <w:szCs w:val="20"/>
                <w:color w:val="auto"/>
              </w:rPr>
            </w:pPr>
            <w:r>
              <w:rPr>
                <w:rFonts w:ascii="Arial" w:cs="Arial" w:eastAsia="Arial" w:hAnsi="Arial"/>
                <w:sz w:val="16"/>
                <w:szCs w:val="16"/>
                <w:b w:val="1"/>
                <w:bCs w:val="1"/>
                <w:color w:val="auto"/>
              </w:rPr>
              <w:t>Obligations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73" w:lineRule="exact"/>
              <w:rPr>
                <w:sz w:val="20"/>
                <w:szCs w:val="20"/>
                <w:color w:val="auto"/>
              </w:rPr>
            </w:pPr>
            <w:r>
              <w:rPr>
                <w:rFonts w:ascii="Arial" w:cs="Arial" w:eastAsia="Arial" w:hAnsi="Arial"/>
                <w:sz w:val="16"/>
                <w:szCs w:val="16"/>
                <w:color w:val="auto"/>
              </w:rPr>
              <w:t>637,062</w:t>
            </w:r>
          </w:p>
        </w:tc>
        <w:tc>
          <w:tcPr>
            <w:tcW w:w="420" w:type="dxa"/>
            <w:vAlign w:val="bottom"/>
            <w:gridSpan w:val="2"/>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73" w:lineRule="exact"/>
              <w:rPr>
                <w:sz w:val="20"/>
                <w:szCs w:val="20"/>
                <w:color w:val="auto"/>
              </w:rPr>
            </w:pPr>
            <w:r>
              <w:rPr>
                <w:rFonts w:ascii="Arial" w:cs="Arial" w:eastAsia="Arial" w:hAnsi="Arial"/>
                <w:sz w:val="16"/>
                <w:szCs w:val="16"/>
                <w:color w:val="auto"/>
                <w:w w:val="93"/>
              </w:rPr>
              <w:t>10,584</w:t>
            </w:r>
          </w:p>
        </w:tc>
        <w:tc>
          <w:tcPr>
            <w:tcW w:w="200" w:type="dxa"/>
            <w:vAlign w:val="bottom"/>
          </w:tcPr>
          <w:p>
            <w:pPr>
              <w:spacing w:after="0"/>
              <w:rPr>
                <w:sz w:val="15"/>
                <w:szCs w:val="15"/>
                <w:color w:val="auto"/>
              </w:rPr>
            </w:pPr>
          </w:p>
        </w:tc>
        <w:tc>
          <w:tcPr>
            <w:tcW w:w="340" w:type="dxa"/>
            <w:vAlign w:val="bottom"/>
            <w:gridSpan w:val="2"/>
          </w:tcPr>
          <w:p>
            <w:pPr>
              <w:ind w:left="220"/>
              <w:spacing w:after="0" w:line="173"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line="173" w:lineRule="exact"/>
              <w:rPr>
                <w:sz w:val="20"/>
                <w:szCs w:val="20"/>
                <w:color w:val="auto"/>
              </w:rPr>
            </w:pPr>
            <w:r>
              <w:rPr>
                <w:rFonts w:ascii="Arial" w:cs="Arial" w:eastAsia="Arial" w:hAnsi="Arial"/>
                <w:sz w:val="16"/>
                <w:szCs w:val="16"/>
                <w:color w:val="auto"/>
                <w:w w:val="93"/>
              </w:rPr>
              <w:t>162,792</w:t>
            </w:r>
          </w:p>
        </w:tc>
        <w:tc>
          <w:tcPr>
            <w:tcW w:w="2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73" w:lineRule="exact"/>
              <w:rPr>
                <w:sz w:val="20"/>
                <w:szCs w:val="20"/>
                <w:color w:val="auto"/>
              </w:rPr>
            </w:pPr>
            <w:r>
              <w:rPr>
                <w:rFonts w:ascii="Arial" w:cs="Arial" w:eastAsia="Arial" w:hAnsi="Arial"/>
                <w:sz w:val="16"/>
                <w:szCs w:val="16"/>
                <w:color w:val="auto"/>
              </w:rPr>
              <w:t>13,322</w:t>
            </w:r>
          </w:p>
        </w:tc>
        <w:tc>
          <w:tcPr>
            <w:tcW w:w="480" w:type="dxa"/>
            <w:vAlign w:val="bottom"/>
            <w:gridSpan w:val="2"/>
          </w:tcPr>
          <w:p>
            <w:pPr>
              <w:ind w:left="320"/>
              <w:spacing w:after="0" w:line="17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3" w:lineRule="exact"/>
              <w:rPr>
                <w:sz w:val="20"/>
                <w:szCs w:val="20"/>
                <w:color w:val="auto"/>
              </w:rPr>
            </w:pPr>
            <w:r>
              <w:rPr>
                <w:rFonts w:ascii="Arial" w:cs="Arial" w:eastAsia="Arial" w:hAnsi="Arial"/>
                <w:sz w:val="16"/>
                <w:szCs w:val="16"/>
                <w:color w:val="auto"/>
              </w:rPr>
              <w:t>433,564</w:t>
            </w:r>
          </w:p>
        </w:tc>
      </w:tr>
      <w:tr>
        <w:trPr>
          <w:trHeight w:val="20"/>
        </w:trPr>
        <w:tc>
          <w:tcPr>
            <w:tcW w:w="2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bl>
    <w:p>
      <w:pPr>
        <w:spacing w:after="0" w:line="335" w:lineRule="exact"/>
        <w:rPr>
          <w:sz w:val="20"/>
          <w:szCs w:val="20"/>
          <w:color w:val="auto"/>
        </w:rPr>
      </w:pPr>
    </w:p>
    <w:p>
      <w:pPr>
        <w:ind w:left="3120" w:right="2160" w:hanging="229"/>
        <w:spacing w:after="0" w:line="263" w:lineRule="auto"/>
        <w:tabs>
          <w:tab w:leader="none" w:pos="312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Other long-term obligations include amounts which become due based on deficits in underlying cash flows of the various metro districts as described in Note 7, Commitments and Contingencies, of the Consolidated Condensed Financial Statements. This amount has been recorded as a liability of the Company; however, the specific time period of performance is currently unknown.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 Balance Sheet Arrangements</w:t>
      </w:r>
    </w:p>
    <w:p>
      <w:pPr>
        <w:spacing w:after="0" w:line="213"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In addition to the above contractual obligations, as part of its ongoing operations, the Company enters into certain arrangements that obligate the Company to make future payment only upon the occurrence of a future event that will result in the Company making a cash payment (e.g. guarantee debt of a third party should the third party be unable to perform). The following commercial obligations are not recognized as liabilities in the Company's Consolidated Condensed Balance Sheet, which is in accordance with generally accepted accounting principles. A summary of the Company's other commercial commitments, including commitments associated with equity method investments as of January 31, 2003, is as follows:</w:t>
      </w:r>
    </w:p>
    <w:p>
      <w:pPr>
        <w:sectPr>
          <w:pgSz w:w="11900" w:h="16838" w:orient="portrait"/>
          <w:cols w:equalWidth="0" w:num="1">
            <w:col w:w="11420"/>
          </w:cols>
          <w:pgMar w:left="240" w:top="483" w:right="239" w:bottom="0" w:gutter="0" w:footer="0" w:header="0"/>
        </w:sectPr>
      </w:pPr>
    </w:p>
    <w:bookmarkStart w:id="17" w:name="page18"/>
    <w:bookmarkEnd w:id="17"/>
    <w:p>
      <w:pPr>
        <w:spacing w:after="0" w:line="26" w:lineRule="exact"/>
        <w:rPr>
          <w:sz w:val="20"/>
          <w:szCs w:val="20"/>
          <w:color w:val="auto"/>
        </w:rPr>
      </w:pPr>
    </w:p>
    <w:tbl>
      <w:tblPr>
        <w:tblLayout w:type="fixed"/>
        <w:tblInd w:w="2100" w:type="dxa"/>
        <w:tblCellMar>
          <w:top w:w="0" w:type="dxa"/>
          <w:left w:w="0" w:type="dxa"/>
          <w:bottom w:w="0" w:type="dxa"/>
          <w:right w:w="0" w:type="dxa"/>
        </w:tblCellMar>
      </w:tblPr>
      <w:tr>
        <w:trPr>
          <w:trHeight w:val="209"/>
        </w:trPr>
        <w:tc>
          <w:tcPr>
            <w:tcW w:w="1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380" w:type="dxa"/>
            <w:vAlign w:val="bottom"/>
            <w:gridSpan w:val="13"/>
          </w:tcPr>
          <w:p>
            <w:pPr>
              <w:jc w:val="center"/>
              <w:ind w:right="160"/>
              <w:spacing w:after="0"/>
              <w:rPr>
                <w:sz w:val="20"/>
                <w:szCs w:val="20"/>
                <w:color w:val="auto"/>
              </w:rPr>
            </w:pPr>
            <w:r>
              <w:rPr>
                <w:rFonts w:ascii="Arial" w:cs="Arial" w:eastAsia="Arial" w:hAnsi="Arial"/>
                <w:sz w:val="16"/>
                <w:szCs w:val="16"/>
                <w:b w:val="1"/>
                <w:bCs w:val="1"/>
                <w:color w:val="auto"/>
                <w:w w:val="92"/>
              </w:rPr>
              <w:t>Amount of Commitment Expiration Per Period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1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600" w:type="dxa"/>
            <w:vAlign w:val="bottom"/>
            <w:vMerge w:val="restart"/>
          </w:tcPr>
          <w:p>
            <w:pPr>
              <w:spacing w:after="0"/>
              <w:rPr>
                <w:sz w:val="20"/>
                <w:szCs w:val="20"/>
                <w:color w:val="auto"/>
              </w:rPr>
            </w:pPr>
            <w:r>
              <w:rPr>
                <w:rFonts w:ascii="Arial" w:cs="Arial" w:eastAsia="Arial" w:hAnsi="Arial"/>
                <w:sz w:val="16"/>
                <w:szCs w:val="16"/>
                <w:b w:val="1"/>
                <w:bCs w:val="1"/>
                <w:color w:val="auto"/>
              </w:rPr>
              <w:t>Other Commercial</w:t>
            </w:r>
          </w:p>
        </w:tc>
        <w:tc>
          <w:tcPr>
            <w:tcW w:w="136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Total Amounts</w:t>
            </w:r>
          </w:p>
        </w:tc>
        <w:tc>
          <w:tcPr>
            <w:tcW w:w="108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Less than</w:t>
            </w:r>
          </w:p>
        </w:tc>
        <w:tc>
          <w:tcPr>
            <w:tcW w:w="1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2-3</w:t>
            </w:r>
          </w:p>
        </w:tc>
        <w:tc>
          <w:tcPr>
            <w:tcW w:w="160" w:type="dxa"/>
            <w:vAlign w:val="bottom"/>
          </w:tcPr>
          <w:p>
            <w:pPr>
              <w:spacing w:after="0"/>
              <w:rPr>
                <w:sz w:val="21"/>
                <w:szCs w:val="21"/>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4 - 5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gridSpan w:val="3"/>
          </w:tcPr>
          <w:p>
            <w:pPr>
              <w:ind w:left="140"/>
              <w:spacing w:after="0"/>
              <w:rPr>
                <w:sz w:val="20"/>
                <w:szCs w:val="20"/>
                <w:color w:val="auto"/>
              </w:rPr>
            </w:pPr>
            <w:r>
              <w:rPr>
                <w:rFonts w:ascii="Arial" w:cs="Arial" w:eastAsia="Arial" w:hAnsi="Arial"/>
                <w:sz w:val="16"/>
                <w:szCs w:val="16"/>
                <w:b w:val="1"/>
                <w:bCs w:val="1"/>
                <w:color w:val="auto"/>
              </w:rPr>
              <w:t>After 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5"/>
        </w:trPr>
        <w:tc>
          <w:tcPr>
            <w:tcW w:w="1600" w:type="dxa"/>
            <w:vAlign w:val="bottom"/>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00" w:type="dxa"/>
            <w:vAlign w:val="bottom"/>
          </w:tcPr>
          <w:p>
            <w:pPr>
              <w:spacing w:after="0"/>
              <w:rPr>
                <w:sz w:val="20"/>
                <w:szCs w:val="20"/>
                <w:color w:val="auto"/>
              </w:rPr>
            </w:pPr>
            <w:r>
              <w:rPr>
                <w:rFonts w:ascii="Arial" w:cs="Arial" w:eastAsia="Arial" w:hAnsi="Arial"/>
                <w:sz w:val="16"/>
                <w:szCs w:val="16"/>
                <w:b w:val="1"/>
                <w:bCs w:val="1"/>
                <w:color w:val="auto"/>
              </w:rPr>
              <w:t>Commitments</w:t>
            </w:r>
          </w:p>
        </w:tc>
        <w:tc>
          <w:tcPr>
            <w:tcW w:w="13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Committed</w:t>
            </w:r>
          </w:p>
        </w:tc>
        <w:tc>
          <w:tcPr>
            <w:tcW w:w="108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1 year</w:t>
            </w:r>
          </w:p>
        </w:tc>
        <w:tc>
          <w:tcPr>
            <w:tcW w:w="120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5"/>
              </w:rPr>
              <w:t>years</w:t>
            </w:r>
          </w:p>
        </w:tc>
        <w:tc>
          <w:tcPr>
            <w:tcW w:w="160" w:type="dxa"/>
            <w:vAlign w:val="bottom"/>
          </w:tcPr>
          <w:p>
            <w:pPr>
              <w:spacing w:after="0"/>
              <w:rPr>
                <w:sz w:val="18"/>
                <w:szCs w:val="18"/>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5"/>
              </w:rPr>
              <w:t>years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600" w:type="dxa"/>
            <w:vAlign w:val="bottom"/>
          </w:tcPr>
          <w:p>
            <w:pPr>
              <w:spacing w:after="0"/>
              <w:rPr>
                <w:sz w:val="20"/>
                <w:szCs w:val="20"/>
                <w:color w:val="auto"/>
              </w:rPr>
            </w:pPr>
            <w:r>
              <w:rPr>
                <w:rFonts w:ascii="Arial" w:cs="Arial" w:eastAsia="Arial" w:hAnsi="Arial"/>
                <w:sz w:val="16"/>
                <w:szCs w:val="16"/>
                <w:color w:val="auto"/>
              </w:rPr>
              <w:t>Letters of Credit</w:t>
            </w: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89,244</w:t>
            </w: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1,439</w:t>
            </w:r>
          </w:p>
        </w:tc>
        <w:tc>
          <w:tcPr>
            <w:tcW w:w="60" w:type="dxa"/>
            <w:vAlign w:val="bottom"/>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87,759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21"/>
                <w:szCs w:val="21"/>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1600" w:type="dxa"/>
            <w:vAlign w:val="bottom"/>
          </w:tcPr>
          <w:p>
            <w:pPr>
              <w:spacing w:after="0" w:line="247" w:lineRule="exact"/>
              <w:rPr>
                <w:sz w:val="20"/>
                <w:szCs w:val="20"/>
                <w:color w:val="auto"/>
              </w:rPr>
            </w:pPr>
            <w:r>
              <w:rPr>
                <w:rFonts w:ascii="Arial" w:cs="Arial" w:eastAsia="Arial" w:hAnsi="Arial"/>
                <w:sz w:val="16"/>
                <w:szCs w:val="16"/>
                <w:color w:val="auto"/>
              </w:rPr>
              <w:t xml:space="preserve">Guarantees </w:t>
            </w:r>
            <w:r>
              <w:rPr>
                <w:rFonts w:ascii="Arial" w:cs="Arial" w:eastAsia="Arial" w:hAnsi="Arial"/>
                <w:sz w:val="26"/>
                <w:szCs w:val="26"/>
                <w:color w:val="auto"/>
                <w:vertAlign w:val="superscript"/>
              </w:rPr>
              <w:t>(2)</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13,300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0"/>
                <w:szCs w:val="20"/>
                <w:color w:val="auto"/>
              </w:rPr>
            </w:pPr>
            <w:r>
              <w:rPr>
                <w:rFonts w:ascii="Arial" w:cs="Arial" w:eastAsia="Arial" w:hAnsi="Arial"/>
                <w:sz w:val="16"/>
                <w:szCs w:val="16"/>
                <w:b w:val="1"/>
                <w:bCs w:val="1"/>
                <w:color w:val="auto"/>
              </w:rPr>
              <w:t>Total Commercial</w:t>
            </w:r>
          </w:p>
        </w:tc>
        <w:tc>
          <w:tcPr>
            <w:tcW w:w="6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600" w:type="dxa"/>
            <w:vAlign w:val="bottom"/>
          </w:tcPr>
          <w:p>
            <w:pPr>
              <w:spacing w:after="0" w:line="173" w:lineRule="exact"/>
              <w:rPr>
                <w:sz w:val="20"/>
                <w:szCs w:val="20"/>
                <w:color w:val="auto"/>
              </w:rPr>
            </w:pPr>
            <w:r>
              <w:rPr>
                <w:rFonts w:ascii="Arial" w:cs="Arial" w:eastAsia="Arial" w:hAnsi="Arial"/>
                <w:sz w:val="16"/>
                <w:szCs w:val="16"/>
                <w:b w:val="1"/>
                <w:bCs w:val="1"/>
                <w:color w:val="auto"/>
              </w:rPr>
              <w:t>Commitments</w:t>
            </w:r>
          </w:p>
        </w:tc>
        <w:tc>
          <w:tcPr>
            <w:tcW w:w="76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73" w:lineRule="exact"/>
              <w:rPr>
                <w:sz w:val="20"/>
                <w:szCs w:val="20"/>
                <w:color w:val="auto"/>
              </w:rPr>
            </w:pPr>
            <w:r>
              <w:rPr>
                <w:rFonts w:ascii="Arial" w:cs="Arial" w:eastAsia="Arial" w:hAnsi="Arial"/>
                <w:sz w:val="16"/>
                <w:szCs w:val="16"/>
                <w:color w:val="auto"/>
              </w:rPr>
              <w:t>102,544</w:t>
            </w:r>
          </w:p>
        </w:tc>
        <w:tc>
          <w:tcPr>
            <w:tcW w:w="580" w:type="dxa"/>
            <w:vAlign w:val="bottom"/>
            <w:gridSpan w:val="2"/>
          </w:tcPr>
          <w:p>
            <w:pPr>
              <w:jc w:val="right"/>
              <w:ind w:right="80"/>
              <w:spacing w:after="0" w:line="173"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73" w:lineRule="exact"/>
              <w:rPr>
                <w:sz w:val="20"/>
                <w:szCs w:val="20"/>
                <w:color w:val="auto"/>
              </w:rPr>
            </w:pPr>
            <w:r>
              <w:rPr>
                <w:rFonts w:ascii="Arial" w:cs="Arial" w:eastAsia="Arial" w:hAnsi="Arial"/>
                <w:sz w:val="16"/>
                <w:szCs w:val="16"/>
                <w:color w:val="auto"/>
              </w:rPr>
              <w:t>1,439</w:t>
            </w:r>
          </w:p>
        </w:tc>
        <w:tc>
          <w:tcPr>
            <w:tcW w:w="60" w:type="dxa"/>
            <w:vAlign w:val="bottom"/>
          </w:tcPr>
          <w:p>
            <w:pPr>
              <w:spacing w:after="0"/>
              <w:rPr>
                <w:sz w:val="15"/>
                <w:szCs w:val="15"/>
                <w:color w:val="auto"/>
              </w:rPr>
            </w:pPr>
          </w:p>
        </w:tc>
        <w:tc>
          <w:tcPr>
            <w:tcW w:w="4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60"/>
              <w:spacing w:after="0" w:line="173" w:lineRule="exact"/>
              <w:rPr>
                <w:sz w:val="20"/>
                <w:szCs w:val="20"/>
                <w:color w:val="auto"/>
              </w:rPr>
            </w:pPr>
            <w:r>
              <w:rPr>
                <w:rFonts w:ascii="Arial" w:cs="Arial" w:eastAsia="Arial" w:hAnsi="Arial"/>
                <w:sz w:val="16"/>
                <w:szCs w:val="16"/>
                <w:color w:val="auto"/>
              </w:rPr>
              <w:t>87,759</w:t>
            </w:r>
          </w:p>
        </w:tc>
        <w:tc>
          <w:tcPr>
            <w:tcW w:w="240" w:type="dxa"/>
            <w:vAlign w:val="bottom"/>
            <w:gridSpan w:val="2"/>
          </w:tcPr>
          <w:p>
            <w:pPr>
              <w:jc w:val="right"/>
              <w:spacing w:after="0" w:line="173" w:lineRule="exact"/>
              <w:rPr>
                <w:sz w:val="20"/>
                <w:szCs w:val="20"/>
                <w:color w:val="auto"/>
              </w:rPr>
            </w:pPr>
            <w:r>
              <w:rPr>
                <w:rFonts w:ascii="Arial" w:cs="Arial" w:eastAsia="Arial" w:hAnsi="Arial"/>
                <w:sz w:val="16"/>
                <w:szCs w:val="16"/>
                <w:color w:val="auto"/>
              </w:rPr>
              <w:t>$</w:t>
            </w:r>
          </w:p>
        </w:tc>
        <w:tc>
          <w:tcPr>
            <w:tcW w:w="420" w:type="dxa"/>
            <w:vAlign w:val="bottom"/>
          </w:tcPr>
          <w:p>
            <w:pPr>
              <w:spacing w:after="0"/>
              <w:rPr>
                <w:sz w:val="15"/>
                <w:szCs w:val="15"/>
                <w:color w:val="auto"/>
              </w:rPr>
            </w:pPr>
          </w:p>
        </w:tc>
        <w:tc>
          <w:tcPr>
            <w:tcW w:w="260" w:type="dxa"/>
            <w:vAlign w:val="bottom"/>
          </w:tcPr>
          <w:p>
            <w:pPr>
              <w:jc w:val="right"/>
              <w:spacing w:after="0" w:line="173" w:lineRule="exact"/>
              <w:rPr>
                <w:sz w:val="20"/>
                <w:szCs w:val="20"/>
                <w:color w:val="auto"/>
              </w:rPr>
            </w:pPr>
            <w:r>
              <w:rPr>
                <w:rFonts w:ascii="Arial" w:cs="Arial" w:eastAsia="Arial" w:hAnsi="Arial"/>
                <w:sz w:val="16"/>
                <w:szCs w:val="16"/>
                <w:color w:val="auto"/>
              </w:rPr>
              <w:t>46</w:t>
            </w:r>
          </w:p>
        </w:tc>
        <w:tc>
          <w:tcPr>
            <w:tcW w:w="180" w:type="dxa"/>
            <w:vAlign w:val="bottom"/>
          </w:tcPr>
          <w:p>
            <w:pPr>
              <w:spacing w:after="0"/>
              <w:rPr>
                <w:sz w:val="15"/>
                <w:szCs w:val="15"/>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480" w:type="dxa"/>
            <w:vAlign w:val="bottom"/>
          </w:tcPr>
          <w:p>
            <w:pPr>
              <w:spacing w:after="0"/>
              <w:rPr>
                <w:sz w:val="15"/>
                <w:szCs w:val="15"/>
                <w:color w:val="auto"/>
              </w:rPr>
            </w:pPr>
          </w:p>
        </w:tc>
        <w:tc>
          <w:tcPr>
            <w:tcW w:w="20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left="3120" w:right="2120" w:hanging="229"/>
        <w:spacing w:after="0" w:line="314" w:lineRule="auto"/>
        <w:tabs>
          <w:tab w:leader="none" w:pos="31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This amount represents guarantees by a third party related to the Tranche B Housing Bonds as discussed in Note 7, Commitments and Contingencies, of the Consolidated Condensed Financial Statements, which, should the third party default, the Company would be required to perform under these guarantees; however, the specific time period of performance is currently unknown.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13"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In June 2001, the Financial Accounting Standards Board ("FASB") issued Statement of Financial Accounting Standard ("SFAS") No. 143, "Accounting for Asset Retirement Obligations". SFAS No. 143 addresses financial accounting and reporting for obligations associated with the retirement of tangible long-lived assets and the associated asset retirement costs. It applies to legal obligations associated with the retirement of long-lived assets that result from the acquisition, construction, development and (or) the normal operation of a long-lived asset, except for certain obligations of lessees. The Company adopted the provisions of SFAS No. 143 on August 1, 2002. The Company does not currently have any obligations falling under the scope of SFAS No. 143. Adoption of SFAS No. 143 did not have a significant impact on the Company's financial position or results of operations.</w:t>
      </w:r>
    </w:p>
    <w:p>
      <w:pPr>
        <w:spacing w:after="0" w:line="176" w:lineRule="exact"/>
        <w:rPr>
          <w:sz w:val="20"/>
          <w:szCs w:val="20"/>
          <w:color w:val="auto"/>
        </w:rPr>
      </w:pPr>
    </w:p>
    <w:p>
      <w:pPr>
        <w:spacing w:after="0" w:line="309" w:lineRule="auto"/>
        <w:rPr>
          <w:sz w:val="20"/>
          <w:szCs w:val="20"/>
          <w:color w:val="auto"/>
        </w:rPr>
      </w:pPr>
      <w:r>
        <w:rPr>
          <w:rFonts w:ascii="Arial" w:cs="Arial" w:eastAsia="Arial" w:hAnsi="Arial"/>
          <w:sz w:val="14"/>
          <w:szCs w:val="14"/>
          <w:color w:val="auto"/>
        </w:rPr>
        <w:t>In August 2001, the FASB issued SFAS No. 144, "Accounting for the Impairment or Disposal of Long-Lived Assets". SFAS No. 144 supersedes SFAS No. 121, "Accounting for the Impairment of Long-Lived Assets and for Long-Lived Assets to Be Disposed Of", but retains the requirements of SFAS No.121 to (a) recognize an impairment loss only if the carrying amount of a long-lived asset is not recoverable from its undiscounted cash flows and (b) measure an impairment loss as the difference between the carrying amount and fair value of the asset. SFAS No. 144 removes goodwill from its scope as the impairment of goodwill is addressed pursuant to SFAS No. 142. The Company adopted the provisions of SFAS No. 144 on August 1, 2002. Adoption of SFAS No. 144 did not have a significant impact on the Company's financial position or results of operations.</w:t>
      </w:r>
    </w:p>
    <w:p>
      <w:pPr>
        <w:spacing w:after="0" w:line="10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In April 2002, the FASB issued SFAS No. 145, "Rescission of FASB Statements No. 4, 44, and 64, Amendment of FASB Statement No. 13, and Technical Corrections". This Statement rescinds SFAS No. 4, "Reporting Gains and Losses from Extinguishment of Debt", SFAS No. 44, "Accounting for Intangible Assets of Motor Carriers" and SFAS No. 64, "Extinguishments of Debt Made to Satisfy Sinking-Fund Requirements". This statement amends SFAS No. 13, "Accounting for Leases", to eliminate an inconsistency between the required accounting for sale-leaseback transactions and the required accounting for certain lease modifications that have economic effects that are similar to sale-leaseback transactions. SFAS No. 145 is generally effective for the Company for fiscal year 2003. Adoption of SFAS No. 145 did not have a significant impact on the Company's financial position or results of operations.</w:t>
      </w:r>
    </w:p>
    <w:p>
      <w:pPr>
        <w:spacing w:after="0" w:line="139" w:lineRule="exact"/>
        <w:rPr>
          <w:sz w:val="20"/>
          <w:szCs w:val="20"/>
          <w:color w:val="auto"/>
        </w:rPr>
      </w:pPr>
    </w:p>
    <w:p>
      <w:pPr>
        <w:ind w:right="60"/>
        <w:spacing w:after="0" w:line="288" w:lineRule="auto"/>
        <w:rPr>
          <w:sz w:val="20"/>
          <w:szCs w:val="20"/>
          <w:color w:val="auto"/>
        </w:rPr>
      </w:pPr>
      <w:r>
        <w:rPr>
          <w:rFonts w:ascii="Arial" w:cs="Arial" w:eastAsia="Arial" w:hAnsi="Arial"/>
          <w:sz w:val="15"/>
          <w:szCs w:val="15"/>
          <w:color w:val="auto"/>
        </w:rPr>
        <w:t>In May 2002, the Emerging Issues Task Force ("EITF") reached consensus on EITF Issue No. 01-14, "Income Statement Characterization of Reimbursements Received for "Out-of-Pocket" Expenses Incurred". This issue requires that reimbursements received for out-of-pocket expenses incurred should be characterized as revenue in the income statement. EITF Issue No. 01-14 should be applied in financial reporting periods beginning after December 15, 2001. The Company adopted the provisions of EITF Issue 01-14 on August 1, 2002. Adoption of EITF Issue 01-14 did not have a significant impact on the Company's financial position or results of operations.</w:t>
      </w:r>
    </w:p>
    <w:p>
      <w:pPr>
        <w:spacing w:after="0" w:line="119"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In July 2002, the FASB issued SFAS No. 146, "Accounting for Costs Associated with Exit or Disposal Activities". This statement requires that a liability for a cost that is associated with an exit or disposal activity be recognized when the liability is incurred. This statement nullifies the guidance of the EITF Issue No. 94-3, "Liability Recognition for Certain Employee Termination Benefits and Other Costs to Exit an Activity (including Certain Costs Incurred in Restructuring)". Under EITF No. 94-3, an entity recognized a liability for an exit cost on the date that the entity committed itself to an exit plan. SFAS No. 146 acknowledges that an entity's commitment to a plan does not, by itself, create a present obligation to other parties that meets the definition of a liability. SFAS No. 146 also establishes that fair value is the objective for the initial measurement of the liability. SFAS No. 146 will be effective for exit or disposal activities that are initiated after December 31, 2002. Management does not currently anticipate any exit or disposal activities within the scope of SFAS No. 146 subsequent to December 31, 2002.</w:t>
      </w:r>
    </w:p>
    <w:p>
      <w:pPr>
        <w:spacing w:after="0" w:line="123" w:lineRule="exact"/>
        <w:rPr>
          <w:sz w:val="20"/>
          <w:szCs w:val="20"/>
          <w:color w:val="auto"/>
        </w:rPr>
      </w:pPr>
    </w:p>
    <w:p>
      <w:pPr>
        <w:ind w:right="20"/>
        <w:spacing w:after="0" w:line="281" w:lineRule="auto"/>
        <w:rPr>
          <w:sz w:val="20"/>
          <w:szCs w:val="20"/>
          <w:color w:val="auto"/>
        </w:rPr>
      </w:pPr>
      <w:r>
        <w:rPr>
          <w:rFonts w:ascii="Arial" w:cs="Arial" w:eastAsia="Arial" w:hAnsi="Arial"/>
          <w:sz w:val="15"/>
          <w:szCs w:val="15"/>
          <w:color w:val="auto"/>
        </w:rPr>
        <w:t>In November 2002, the FASB issued FASB Interpretation ("FIN") No. 45, "Guarantor's Accounting and Disclosure Requirements for Guarantees, Including Indirect Guarantees of Indebtedness of Others". This interpretation elaborates on the disclosures to be made by a guarantor in its interim and annual financial statements about its obligations under certain guarantees that it has issued. It also clarifies that a guarantor is required to recognize, at inception of a guarantee, a liability for the fair value of the obligation undertaken in issuing the guarantee. The initial recognition and initial measurement provisions of this Interpretation are applicable on a prospective basis to guarantees issued or modified after December 31, 2002. The disclosure requirements in the interpretation are effective for financial statements of interim or annual periods ending after December 15, 2002. The Company adopted the provisions of FIN No. 45 as of January 1, 2003; initial adoption did not have a significant impact on the Company's financial position or results of operations (see Note 7, Commitments and Contingencies, of the Notes to the Consolidated Condensed Financial Statements).</w:t>
      </w:r>
    </w:p>
    <w:p>
      <w:pPr>
        <w:spacing w:after="0" w:line="123" w:lineRule="exact"/>
        <w:rPr>
          <w:sz w:val="20"/>
          <w:szCs w:val="20"/>
          <w:color w:val="auto"/>
        </w:rPr>
      </w:pPr>
    </w:p>
    <w:p>
      <w:pPr>
        <w:ind w:right="80"/>
        <w:spacing w:after="0" w:line="303" w:lineRule="auto"/>
        <w:rPr>
          <w:sz w:val="20"/>
          <w:szCs w:val="20"/>
          <w:color w:val="auto"/>
        </w:rPr>
      </w:pPr>
      <w:r>
        <w:rPr>
          <w:rFonts w:ascii="Arial" w:cs="Arial" w:eastAsia="Arial" w:hAnsi="Arial"/>
          <w:sz w:val="14"/>
          <w:szCs w:val="14"/>
          <w:color w:val="auto"/>
        </w:rPr>
        <w:t>In December 2002, the FASB issued SFAS No. 148, "Accounting for Stock-Based Compensation - Transition and Disclosure - an Amendment of FASB Statement No. 123". SFAS No. 148 amends SFAS No. 123, "Accounting for Stock-Based Compensation", by providing alternative methods of transition for an entity that voluntarily changes to the fair value based method of accounting for stock-based employee compensation. It also amends the disclosure provisions of that statement to require prominent disclosure about the effects on reported net income of an entity's accounting policy decisions with respect to stock-based employee compensation. Finally, this Statement amends APB Opinion No. 28, "Interim Financial Reporting", to require disclosure about those effects in interim financial information. SFAS No. 148 is effective for fiscal years ending after December 15, 2002 for transition guidance and annual disclosure provisions; interim disclosure provisions are effective for interim periods beginning after December 15, 2002 . The Company does not anticipate the adoption of SFAS No. 148 will have a significant impact on its financial position or results of operations.</w:t>
      </w:r>
    </w:p>
    <w:p>
      <w:pPr>
        <w:spacing w:after="0" w:line="114"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January 2003, the FASB issued FIN No. 46, "Consolidation of Variable Interest Entities, an interpretation of ARB 51". This interpretation addresses consolidation by business enterprises of variable interest entities ("VIEs"). This new model for consolidation applies to an entity which either (1) the equity investors (if any) do not have a controlling financial interest or (2) the equity investment at risk is insufficient to finance that entity's activities without receiving additional subordinated financial support from other parties. The interpretation applies immediately to VIEs created after January 31, 2003, and to VIEs in which the Company obtains an interest after that date. The interpretation applies in the first fiscal year or interim period beginning after June 15, 2003 to VIEs in which the Company holds a variable interest acquired before February 1, 2003. The Company is currently evaluating the impact that the implementation of this interpretation will have on its financial statements (see N ote 11, Variable Interest Entities, of the Notes to the Consolidated Condensed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i w:val="1"/>
          <w:iCs w:val="1"/>
          <w:color w:val="auto"/>
        </w:rPr>
        <w:t>Statements in this Form 10-Q, other than statements of historical information, are forward-looking statements that are made pursuant to the safe harbor provisions of the Private Securities Litigation Reform Act of 1995. You can identify these statements by forward-looking words such as "may", "will", "expect", "plan", "intend", "anticipate", "believe", "estimate", and "continue" or similar words. Such forward-looking statements are subject to certain risks and uncertainties that could cause actual results to differ materially from those projected. Readers are cautioned not to place undue reliance on these forward-looking statements, which speak only as of the date hereof. Such risks and uncertainties include, but are not limited to:</w:t>
      </w:r>
    </w:p>
    <w:p>
      <w:pPr>
        <w:sectPr>
          <w:pgSz w:w="11900" w:h="16865" w:orient="portrait"/>
          <w:cols w:equalWidth="0" w:num="1">
            <w:col w:w="11420"/>
          </w:cols>
          <w:pgMar w:left="240" w:top="102" w:right="239" w:bottom="0" w:gutter="0" w:footer="0" w:header="0"/>
        </w:sectPr>
      </w:pPr>
    </w:p>
    <w:p>
      <w:pPr>
        <w:spacing w:after="0" w:line="13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general business and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-61595</wp:posOffset>
            </wp:positionV>
            <wp:extent cx="56515" cy="56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ectPr>
          <w:pgSz w:w="11900" w:h="16865" w:orient="portrait"/>
          <w:cols w:equalWidth="0" w:num="1">
            <w:col w:w="11420"/>
          </w:cols>
          <w:pgMar w:left="240" w:top="102" w:right="239" w:bottom="0" w:gutter="0" w:footer="0" w:header="0"/>
          <w:type w:val="continuous"/>
        </w:sectPr>
      </w:pPr>
    </w:p>
    <w:bookmarkStart w:id="18" w:name="page19"/>
    <w:bookmarkEnd w:id="18"/>
    <w:p>
      <w:pPr>
        <w:spacing w:after="0" w:line="74" w:lineRule="exact"/>
        <w:rPr>
          <w:sz w:val="20"/>
          <w:szCs w:val="20"/>
          <w:color w:val="auto"/>
        </w:rPr>
      </w:pPr>
    </w:p>
    <w:p>
      <w:pPr>
        <w:ind w:left="500" w:right="520"/>
        <w:spacing w:after="0" w:line="261" w:lineRule="auto"/>
        <w:rPr>
          <w:sz w:val="20"/>
          <w:szCs w:val="20"/>
          <w:color w:val="auto"/>
        </w:rPr>
      </w:pPr>
      <w:r>
        <w:rPr>
          <w:rFonts w:ascii="Arial" w:cs="Arial" w:eastAsia="Arial" w:hAnsi="Arial"/>
          <w:sz w:val="16"/>
          <w:szCs w:val="16"/>
          <w:i w:val="1"/>
          <w:iCs w:val="1"/>
          <w:color w:val="auto"/>
        </w:rPr>
        <w:t>failure to achieve the anticipated cost savings and anticipated operational efficiency, or conversely adverse consequences from the cost reductions and/or position eliminations;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-213995</wp:posOffset>
            </wp:positionV>
            <wp:extent cx="56515" cy="56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i w:val="1"/>
          <w:iCs w:val="1"/>
          <w:color w:val="auto"/>
        </w:rPr>
        <w:t>competitive factors in the ski and resort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56515" cy="56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i w:val="1"/>
          <w:iCs w:val="1"/>
          <w:color w:val="auto"/>
        </w:rPr>
        <w:t>failure to successfully integrate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56515" cy="56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500" w:right="480"/>
        <w:spacing w:after="0" w:line="256" w:lineRule="auto"/>
        <w:rPr>
          <w:sz w:val="20"/>
          <w:szCs w:val="20"/>
          <w:color w:val="auto"/>
        </w:rPr>
      </w:pPr>
      <w:r>
        <w:rPr>
          <w:rFonts w:ascii="Arial" w:cs="Arial" w:eastAsia="Arial" w:hAnsi="Arial"/>
          <w:sz w:val="16"/>
          <w:szCs w:val="16"/>
          <w:i w:val="1"/>
          <w:iCs w:val="1"/>
          <w:color w:val="auto"/>
        </w:rPr>
        <w:t>uncertainties and issues arising, positive or negative, related to the restatement of earnings, including the change in accounting for the revenue recognition of club membership fees or the SEC investigation of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-213995</wp:posOffset>
            </wp:positionV>
            <wp:extent cx="56515" cy="56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500" w:right="2500"/>
        <w:spacing w:after="0" w:line="256" w:lineRule="auto"/>
        <w:rPr>
          <w:sz w:val="20"/>
          <w:szCs w:val="20"/>
          <w:color w:val="auto"/>
        </w:rPr>
      </w:pPr>
      <w:r>
        <w:rPr>
          <w:rFonts w:ascii="Arial" w:cs="Arial" w:eastAsia="Arial" w:hAnsi="Arial"/>
          <w:sz w:val="16"/>
          <w:szCs w:val="16"/>
          <w:i w:val="1"/>
          <w:iCs w:val="1"/>
          <w:color w:val="auto"/>
        </w:rPr>
        <w:t>the impact of the September 11, 2001 terrorist attacks on the travel industry and the company and/or misinterpretation of the same; uncertainties and impacts of the threat of war or actual 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-213995</wp:posOffset>
            </wp:positionV>
            <wp:extent cx="56515" cy="56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15" cy="56515"/>
                    </a:xfrm>
                    <a:prstGeom prst="rect">
                      <a:avLst/>
                    </a:prstGeom>
                    <a:noFill/>
                  </pic:spPr>
                </pic:pic>
              </a:graphicData>
            </a:graphic>
          </wp:anchor>
        </w:drawing>
        <w:drawing>
          <wp:anchor simplePos="0" relativeHeight="251657728" behindDoc="1" locked="0" layoutInCell="0" allowOverlap="1">
            <wp:simplePos x="0" y="0"/>
            <wp:positionH relativeFrom="column">
              <wp:posOffset>181610</wp:posOffset>
            </wp:positionH>
            <wp:positionV relativeFrom="paragraph">
              <wp:posOffset>-88900</wp:posOffset>
            </wp:positionV>
            <wp:extent cx="56515" cy="56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i w:val="1"/>
          <w:iCs w:val="1"/>
          <w:color w:val="auto"/>
        </w:rPr>
        <w:t>continued or worsening economic slowdown or additional terrorist attacks;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56515" cy="56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i w:val="1"/>
          <w:iCs w:val="1"/>
          <w:color w:val="auto"/>
        </w:rPr>
        <w:t>the 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56515" cy="56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i w:val="1"/>
          <w:iCs w:val="1"/>
          <w:color w:val="auto"/>
        </w:rPr>
        <w:t>expenses or adverse consequences arising from current or potential litigation against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56515" cy="56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i w:val="1"/>
          <w:iCs w:val="1"/>
          <w:color w:val="auto"/>
        </w:rPr>
        <w:t>implications arising from the implementation of FIN No. 46 and other such new FASB/governmental legislation, rulings or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-81280</wp:posOffset>
            </wp:positionV>
            <wp:extent cx="56515" cy="56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15" cy="56515"/>
                    </a:xfrm>
                    <a:prstGeom prst="rect">
                      <a:avLst/>
                    </a:prstGeom>
                    <a:noFill/>
                  </pic:spPr>
                </pic:pic>
              </a:graphicData>
            </a:graphic>
          </wp:anchor>
        </w:drawing>
      </w:r>
    </w:p>
    <w:p>
      <w:pPr>
        <w:spacing w:after="0" w:line="145"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i w:val="1"/>
          <w:iCs w:val="1"/>
          <w:color w:val="auto"/>
        </w:rPr>
        <w:t>Readers are also referred to the uncertainties and risks identified in the Company's Registration Statement on Form S-4 for its Senior Subordinated exchange notes (Commission File No. 333-80621) and the Annual Report on Form 10-K for the year ended July 31, 2002.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The Company's exposure to market risk is limited primarily to the fluctuating interest rates associated with variable rate indebtedness. At January 31, 2003,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had $126.1 million of variable rate indebtedness, representing 22% of the Company's total debt outstanding, at an average interest rate during the three months ended January 31, 2003 of 4.0% (see Note 4, Long-Term Debt, of the Notes to the Consolidated Condensed Financial Statements). Based on the average floating rate borrowings outstanding during the three months ended January 31, 2003, a 100 basis-point change in LIBOR would have caused the Company's monthly interest expense to change by approximately $156,000.</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76" w:lineRule="exact"/>
        <w:rPr>
          <w:sz w:val="20"/>
          <w:szCs w:val="20"/>
          <w:color w:val="auto"/>
        </w:rPr>
      </w:pPr>
    </w:p>
    <w:p>
      <w:pPr>
        <w:spacing w:after="0" w:line="302" w:lineRule="auto"/>
        <w:rPr>
          <w:sz w:val="20"/>
          <w:szCs w:val="20"/>
          <w:color w:val="auto"/>
        </w:rPr>
      </w:pPr>
      <w:r>
        <w:rPr>
          <w:rFonts w:ascii="Arial" w:cs="Arial" w:eastAsia="Arial" w:hAnsi="Arial"/>
          <w:sz w:val="14"/>
          <w:szCs w:val="14"/>
          <w:i w:val="1"/>
          <w:iCs w:val="1"/>
          <w:color w:val="auto"/>
        </w:rPr>
        <w:t xml:space="preserve">Evaluation of disclosure controls and procedures. </w:t>
      </w:r>
      <w:r>
        <w:rPr>
          <w:rFonts w:ascii="Arial" w:cs="Arial" w:eastAsia="Arial" w:hAnsi="Arial"/>
          <w:sz w:val="14"/>
          <w:szCs w:val="14"/>
          <w:color w:val="auto"/>
        </w:rPr>
        <w:t>The Company's Chief Executive Officer ("CEO") and Chief Financial Officer ("CFO") have evaluated the effectiveness of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Company's disclosure controls and procedures as of a date ("Evaluation Date") within 90 days prior to the filing of this Form 10-Q. The term "disclosure controls and procedures" means controls and other procedures established by the Company that are designed to ensure that information required to be disclosed by the Company in the reports that it files or submits under the Securities Exchange Act of 1934 (the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that it files or submits under the Act is accumulated and communicated to the Company's manage ment, including its CEO and CFO, as appropriate to allow timely decisions regarding required disclosure. Based on such evaluation, the Company's CEO and CFO have concluded that, as of the Evaluation Date, the Company's disclosure controls and procedures are effective, subject to the limitations discussed below, in meeting the above-stated objectives.</w:t>
      </w:r>
    </w:p>
    <w:p>
      <w:pPr>
        <w:spacing w:after="0" w:line="112"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i w:val="1"/>
          <w:iCs w:val="1"/>
          <w:color w:val="auto"/>
        </w:rPr>
        <w:t xml:space="preserve">Changes in internal controls. </w:t>
      </w:r>
      <w:r>
        <w:rPr>
          <w:rFonts w:ascii="Arial" w:cs="Arial" w:eastAsia="Arial" w:hAnsi="Arial"/>
          <w:sz w:val="16"/>
          <w:szCs w:val="16"/>
          <w:color w:val="auto"/>
        </w:rPr>
        <w:t>There were no significant changes in the Company's internal controls or in other factors that could significantly affect these controls subsequent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Evaluation Date.</w:t>
      </w:r>
    </w:p>
    <w:p>
      <w:pPr>
        <w:spacing w:after="0" w:line="119" w:lineRule="exact"/>
        <w:rPr>
          <w:sz w:val="20"/>
          <w:szCs w:val="20"/>
          <w:color w:val="auto"/>
        </w:rPr>
      </w:pPr>
    </w:p>
    <w:p>
      <w:pPr>
        <w:ind w:right="260"/>
        <w:spacing w:after="0" w:line="357" w:lineRule="auto"/>
        <w:rPr>
          <w:sz w:val="20"/>
          <w:szCs w:val="20"/>
          <w:color w:val="auto"/>
        </w:rPr>
      </w:pPr>
      <w:r>
        <w:rPr>
          <w:rFonts w:ascii="Arial" w:cs="Arial" w:eastAsia="Arial" w:hAnsi="Arial"/>
          <w:sz w:val="14"/>
          <w:szCs w:val="14"/>
          <w:color w:val="auto"/>
        </w:rPr>
        <w:t>The Company, including its CEO and CFO, does not expect that the Company's disclosure and internal controls and procedures will prevent or detect all error and all fraud. A control system, no matter how well conceived or operated, can provide only reasonable, not absolute, assurance that the objectives of the control system are met.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7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February 2003, the SEC informed the Company that it has issued a formal order of investigation with respect to the Company. The inquiry relates to the Company's previous accounting treatment for recognizing revenue on initiation fees related to the sale of memberships in private member clubs. In October 2002, after voluntary consultation with the SEC staff on the appropriate accounting, the Company restated and reissued its historical financial statements for fiscal 1999-2001, reflecting a revision in the accounting for these club initiation fees. The Company is fully cooperating with the SEC. The Company expects no changes will be made as a result of this SEC inquiry to the Company's historical financial statements, as contained in the Company's Form 10K-A for the year ended July 31, 2001, Form 10K for the year ended July 31, 2002 and Form 10-Q for the quarter ended October 31, 2002.</w:t>
      </w:r>
    </w:p>
    <w:p>
      <w:pPr>
        <w:spacing w:after="0" w:line="139"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Certain subsidiaries of the Company are defendants in two related lawsuits filed in the United States District Court for the District of Wyoming. The case arises out of a carbon monoxide accident in a hotel room at the Snake River Lodge and Spa in Jackson Hole, Wyoming, resulting in the death of a doctor from North Carolina and the alleged injury to his wife. The accident occurred on August 2, 2001. The Snake River Lodge &amp; Spa is 51% owned by a subsidiary of the Company. One lawsuit is a wrongful death action on behalf of the estate of the deceased, and the other lawsuit is a personal injury action on the part of his wife.</w:t>
      </w:r>
    </w:p>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 First Amended Complaint was filed by the plaintiffs (the wife in the personal injury case, and the wife personally and on behalf of the estate of the deceased in the wrongful death suit) in both lawsuits in July 2002 naming as defendants JHL&amp;S, LLC d/b/a/ Snake River Lodge &amp; Spa, Teton Hospitality Services, Inc., Grand Teton Lodge Company and Vail Resorts Development Company, all subsidiaries of the Company. Also named as defendants are a plumbing company in Jackson, Wyoming and a general contractor based in Salt Lake City.</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Complaints allege negligence and strict liability on the part of all and each of the defendants and seek damages, including exemplary and punitive damages, in amounts to be proven at trial. The trials (which may be consolidated) are set to begin in late November 2003. Discovery is underway in the matters, and scheduled to continue through spring or early summer 2003. The Company intends to defend the cases vigorously at trial. The Company anticipates that any damages arising out of the accident paid by the Company, excepting any amounts attributable to punitive damages, would be covered by insurance carried by the Company. However, the Company cannot predict the outcome of the cases, at this time.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Changes in Securities and Use of Proceeds.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Submission of Matters to a Vote of Security Holders.</w:t>
      </w:r>
    </w:p>
    <w:p>
      <w:pPr>
        <w:spacing w:after="0" w:line="176"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The Company held its annual meeting of shareholders on December 9, 2002 in New York, New York. 35,182,541 shares of Class A Common Stock and Common Stock, 94% of outstanding shares, were represented at the meeting.</w:t>
      </w:r>
    </w:p>
    <w:p>
      <w:pPr>
        <w:spacing w:after="0" w:line="132" w:lineRule="exact"/>
        <w:rPr>
          <w:sz w:val="20"/>
          <w:szCs w:val="20"/>
          <w:color w:val="auto"/>
        </w:rPr>
      </w:pPr>
    </w:p>
    <w:p>
      <w:pPr>
        <w:jc w:val="both"/>
        <w:ind w:left="400" w:right="3720" w:hanging="389"/>
        <w:spacing w:after="0" w:line="269" w:lineRule="auto"/>
        <w:tabs>
          <w:tab w:leader="none" w:pos="4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persons were elected to serve as Class 1 Directors of the Company until the next annual meeting of the shareholders. Class 1 Directors are elected by the Class A Common Stock holders. The voting results for each Class 1 Director follows:</w:t>
      </w:r>
    </w:p>
    <w:p>
      <w:pPr>
        <w:spacing w:after="0" w:line="217" w:lineRule="exact"/>
        <w:rPr>
          <w:sz w:val="20"/>
          <w:szCs w:val="20"/>
          <w:color w:val="auto"/>
        </w:rPr>
      </w:pPr>
    </w:p>
    <w:p>
      <w:pPr>
        <w:ind w:left="400"/>
        <w:spacing w:after="0"/>
        <w:tabs>
          <w:tab w:leader="none" w:pos="3200" w:val="left"/>
          <w:tab w:leader="none" w:pos="5060" w:val="left"/>
        </w:tabs>
        <w:rPr>
          <w:sz w:val="20"/>
          <w:szCs w:val="20"/>
          <w:color w:val="auto"/>
        </w:rPr>
      </w:pPr>
      <w:r>
        <w:rPr>
          <w:rFonts w:ascii="Arial" w:cs="Arial" w:eastAsia="Arial" w:hAnsi="Arial"/>
          <w:sz w:val="16"/>
          <w:szCs w:val="16"/>
          <w:u w:val="single" w:color="auto"/>
          <w:color w:val="auto"/>
        </w:rPr>
        <w:t>Director</w:t>
      </w:r>
      <w:r>
        <w:rPr>
          <w:sz w:val="20"/>
          <w:szCs w:val="20"/>
          <w:color w:val="auto"/>
        </w:rPr>
        <w:tab/>
      </w:r>
      <w:r>
        <w:rPr>
          <w:rFonts w:ascii="Arial" w:cs="Arial" w:eastAsia="Arial" w:hAnsi="Arial"/>
          <w:sz w:val="16"/>
          <w:szCs w:val="16"/>
          <w:u w:val="single" w:color="auto"/>
          <w:color w:val="auto"/>
        </w:rPr>
        <w:t>For</w:t>
      </w:r>
      <w:r>
        <w:rPr>
          <w:sz w:val="20"/>
          <w:szCs w:val="20"/>
          <w:color w:val="auto"/>
        </w:rPr>
        <w:tab/>
      </w:r>
      <w:r>
        <w:rPr>
          <w:rFonts w:ascii="Arial" w:cs="Arial" w:eastAsia="Arial" w:hAnsi="Arial"/>
          <w:sz w:val="15"/>
          <w:szCs w:val="15"/>
          <w:u w:val="single" w:color="auto"/>
          <w:color w:val="auto"/>
        </w:rPr>
        <w:t>Withheld</w:t>
      </w:r>
    </w:p>
    <w:p>
      <w:pPr>
        <w:sectPr>
          <w:pgSz w:w="11900" w:h="16912" w:orient="portrait"/>
          <w:cols w:equalWidth="0" w:num="1">
            <w:col w:w="11400"/>
          </w:cols>
          <w:pgMar w:left="240" w:top="131" w:right="259" w:bottom="0" w:gutter="0" w:footer="0" w:header="0"/>
        </w:sectPr>
      </w:pPr>
    </w:p>
    <w:bookmarkStart w:id="19" w:name="page20"/>
    <w:bookmarkEnd w:id="19"/>
    <w:p>
      <w:pPr>
        <w:spacing w:after="0" w:line="49" w:lineRule="exact"/>
        <w:rPr>
          <w:sz w:val="20"/>
          <w:szCs w:val="20"/>
          <w:color w:val="auto"/>
        </w:rPr>
      </w:pPr>
    </w:p>
    <w:tbl>
      <w:tblPr>
        <w:tblLayout w:type="fixed"/>
        <w:tblInd w:w="400" w:type="dxa"/>
        <w:tblCellMar>
          <w:top w:w="0" w:type="dxa"/>
          <w:left w:w="0" w:type="dxa"/>
          <w:bottom w:w="0" w:type="dxa"/>
          <w:right w:w="0" w:type="dxa"/>
        </w:tblCellMar>
      </w:tblPr>
      <w:tr>
        <w:trPr>
          <w:trHeight w:val="204"/>
        </w:trPr>
        <w:tc>
          <w:tcPr>
            <w:tcW w:w="2100" w:type="dxa"/>
            <w:vAlign w:val="bottom"/>
          </w:tcPr>
          <w:p>
            <w:pPr>
              <w:spacing w:after="0"/>
              <w:rPr>
                <w:sz w:val="20"/>
                <w:szCs w:val="20"/>
                <w:color w:val="auto"/>
              </w:rPr>
            </w:pPr>
            <w:r>
              <w:rPr>
                <w:rFonts w:ascii="Arial" w:cs="Arial" w:eastAsia="Arial" w:hAnsi="Arial"/>
                <w:sz w:val="16"/>
                <w:szCs w:val="16"/>
                <w:color w:val="auto"/>
              </w:rPr>
              <w:t>John R. Hauge</w:t>
            </w:r>
          </w:p>
        </w:tc>
        <w:tc>
          <w:tcPr>
            <w:tcW w:w="1980" w:type="dxa"/>
            <w:vAlign w:val="bottom"/>
          </w:tcPr>
          <w:p>
            <w:pPr>
              <w:jc w:val="right"/>
              <w:ind w:right="540"/>
              <w:spacing w:after="0"/>
              <w:rPr>
                <w:sz w:val="20"/>
                <w:szCs w:val="20"/>
                <w:color w:val="auto"/>
              </w:rPr>
            </w:pPr>
            <w:r>
              <w:rPr>
                <w:rFonts w:ascii="Arial" w:cs="Arial" w:eastAsia="Arial" w:hAnsi="Arial"/>
                <w:sz w:val="16"/>
                <w:szCs w:val="16"/>
                <w:color w:val="auto"/>
              </w:rPr>
              <w:t>7,439,542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100" w:type="dxa"/>
            <w:vAlign w:val="bottom"/>
          </w:tcPr>
          <w:p>
            <w:pPr>
              <w:spacing w:after="0"/>
              <w:rPr>
                <w:sz w:val="20"/>
                <w:szCs w:val="20"/>
                <w:color w:val="auto"/>
              </w:rPr>
            </w:pPr>
            <w:r>
              <w:rPr>
                <w:rFonts w:ascii="Arial" w:cs="Arial" w:eastAsia="Arial" w:hAnsi="Arial"/>
                <w:sz w:val="16"/>
                <w:szCs w:val="16"/>
                <w:color w:val="auto"/>
              </w:rPr>
              <w:t>Roland A. Hernandez</w:t>
            </w:r>
          </w:p>
        </w:tc>
        <w:tc>
          <w:tcPr>
            <w:tcW w:w="1980" w:type="dxa"/>
            <w:vAlign w:val="bottom"/>
          </w:tcPr>
          <w:p>
            <w:pPr>
              <w:jc w:val="right"/>
              <w:ind w:right="540"/>
              <w:spacing w:after="0"/>
              <w:rPr>
                <w:sz w:val="20"/>
                <w:szCs w:val="20"/>
                <w:color w:val="auto"/>
              </w:rPr>
            </w:pPr>
            <w:r>
              <w:rPr>
                <w:rFonts w:ascii="Arial" w:cs="Arial" w:eastAsia="Arial" w:hAnsi="Arial"/>
                <w:sz w:val="16"/>
                <w:szCs w:val="16"/>
                <w:color w:val="auto"/>
              </w:rPr>
              <w:t>7,439,542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100" w:type="dxa"/>
            <w:vAlign w:val="bottom"/>
          </w:tcPr>
          <w:p>
            <w:pPr>
              <w:spacing w:after="0"/>
              <w:rPr>
                <w:sz w:val="20"/>
                <w:szCs w:val="20"/>
                <w:color w:val="auto"/>
              </w:rPr>
            </w:pPr>
            <w:r>
              <w:rPr>
                <w:rFonts w:ascii="Arial" w:cs="Arial" w:eastAsia="Arial" w:hAnsi="Arial"/>
                <w:sz w:val="16"/>
                <w:szCs w:val="16"/>
                <w:color w:val="auto"/>
              </w:rPr>
              <w:t>Robert A. Katz</w:t>
            </w:r>
          </w:p>
        </w:tc>
        <w:tc>
          <w:tcPr>
            <w:tcW w:w="1980" w:type="dxa"/>
            <w:vAlign w:val="bottom"/>
          </w:tcPr>
          <w:p>
            <w:pPr>
              <w:jc w:val="right"/>
              <w:ind w:right="540"/>
              <w:spacing w:after="0"/>
              <w:rPr>
                <w:sz w:val="20"/>
                <w:szCs w:val="20"/>
                <w:color w:val="auto"/>
              </w:rPr>
            </w:pPr>
            <w:r>
              <w:rPr>
                <w:rFonts w:ascii="Arial" w:cs="Arial" w:eastAsia="Arial" w:hAnsi="Arial"/>
                <w:sz w:val="16"/>
                <w:szCs w:val="16"/>
                <w:color w:val="auto"/>
              </w:rPr>
              <w:t>7,439,542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100" w:type="dxa"/>
            <w:vAlign w:val="bottom"/>
          </w:tcPr>
          <w:p>
            <w:pPr>
              <w:spacing w:after="0"/>
              <w:rPr>
                <w:sz w:val="20"/>
                <w:szCs w:val="20"/>
                <w:color w:val="auto"/>
              </w:rPr>
            </w:pPr>
            <w:r>
              <w:rPr>
                <w:rFonts w:ascii="Arial" w:cs="Arial" w:eastAsia="Arial" w:hAnsi="Arial"/>
                <w:sz w:val="16"/>
                <w:szCs w:val="16"/>
                <w:color w:val="auto"/>
              </w:rPr>
              <w:t>William L. Mack</w:t>
            </w:r>
          </w:p>
        </w:tc>
        <w:tc>
          <w:tcPr>
            <w:tcW w:w="1980" w:type="dxa"/>
            <w:vAlign w:val="bottom"/>
          </w:tcPr>
          <w:p>
            <w:pPr>
              <w:jc w:val="right"/>
              <w:ind w:right="540"/>
              <w:spacing w:after="0"/>
              <w:rPr>
                <w:sz w:val="20"/>
                <w:szCs w:val="20"/>
                <w:color w:val="auto"/>
              </w:rPr>
            </w:pPr>
            <w:r>
              <w:rPr>
                <w:rFonts w:ascii="Arial" w:cs="Arial" w:eastAsia="Arial" w:hAnsi="Arial"/>
                <w:sz w:val="16"/>
                <w:szCs w:val="16"/>
                <w:color w:val="auto"/>
              </w:rPr>
              <w:t>7,439,542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100" w:type="dxa"/>
            <w:vAlign w:val="bottom"/>
          </w:tcPr>
          <w:p>
            <w:pPr>
              <w:spacing w:after="0"/>
              <w:rPr>
                <w:sz w:val="20"/>
                <w:szCs w:val="20"/>
                <w:color w:val="auto"/>
              </w:rPr>
            </w:pPr>
            <w:r>
              <w:rPr>
                <w:rFonts w:ascii="Arial" w:cs="Arial" w:eastAsia="Arial" w:hAnsi="Arial"/>
                <w:sz w:val="16"/>
                <w:szCs w:val="16"/>
                <w:color w:val="auto"/>
              </w:rPr>
              <w:t>Marc J. Rowan</w:t>
            </w:r>
          </w:p>
        </w:tc>
        <w:tc>
          <w:tcPr>
            <w:tcW w:w="1980" w:type="dxa"/>
            <w:vAlign w:val="bottom"/>
          </w:tcPr>
          <w:p>
            <w:pPr>
              <w:jc w:val="right"/>
              <w:ind w:right="540"/>
              <w:spacing w:after="0"/>
              <w:rPr>
                <w:sz w:val="20"/>
                <w:szCs w:val="20"/>
                <w:color w:val="auto"/>
              </w:rPr>
            </w:pPr>
            <w:r>
              <w:rPr>
                <w:rFonts w:ascii="Arial" w:cs="Arial" w:eastAsia="Arial" w:hAnsi="Arial"/>
                <w:sz w:val="16"/>
                <w:szCs w:val="16"/>
                <w:color w:val="auto"/>
              </w:rPr>
              <w:t>7,439,542</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87" w:lineRule="exact"/>
        <w:rPr>
          <w:sz w:val="20"/>
          <w:szCs w:val="20"/>
          <w:color w:val="auto"/>
        </w:rPr>
      </w:pPr>
    </w:p>
    <w:p>
      <w:pPr>
        <w:jc w:val="both"/>
        <w:ind w:left="400" w:right="2539" w:hanging="389"/>
        <w:spacing w:after="0" w:line="269" w:lineRule="auto"/>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persons were elected to serve as Class 2 Directors of the Company until the next annual meeting of the shareholders. Class 2 Directors are elected by the Common Stock holders. The voting results for each Class 2 Director follows:</w:t>
      </w:r>
    </w:p>
    <w:p>
      <w:pPr>
        <w:spacing w:after="0" w:line="226"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40" w:type="dxa"/>
            <w:vAlign w:val="bottom"/>
          </w:tcPr>
          <w:p>
            <w:pPr>
              <w:spacing w:after="0"/>
              <w:rPr>
                <w:sz w:val="20"/>
                <w:szCs w:val="20"/>
                <w:color w:val="auto"/>
              </w:rPr>
            </w:pPr>
            <w:r>
              <w:rPr>
                <w:rFonts w:ascii="Arial" w:cs="Arial" w:eastAsia="Arial" w:hAnsi="Arial"/>
                <w:sz w:val="16"/>
                <w:szCs w:val="16"/>
                <w:color w:val="auto"/>
                <w:w w:val="92"/>
              </w:rPr>
              <w:t>Director</w:t>
            </w:r>
          </w:p>
        </w:tc>
        <w:tc>
          <w:tcPr>
            <w:tcW w:w="228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Arial" w:cs="Arial" w:eastAsia="Arial" w:hAnsi="Arial"/>
                <w:sz w:val="16"/>
                <w:szCs w:val="16"/>
                <w:color w:val="auto"/>
              </w:rPr>
              <w:t>For</w:t>
            </w:r>
          </w:p>
        </w:tc>
        <w:tc>
          <w:tcPr>
            <w:tcW w:w="640" w:type="dxa"/>
            <w:vAlign w:val="bottom"/>
            <w:gridSpan w:val="2"/>
          </w:tcPr>
          <w:p>
            <w:pPr>
              <w:spacing w:after="0"/>
              <w:rPr>
                <w:sz w:val="20"/>
                <w:szCs w:val="20"/>
                <w:color w:val="auto"/>
              </w:rPr>
            </w:pPr>
            <w:r>
              <w:rPr>
                <w:rFonts w:ascii="Arial" w:cs="Arial" w:eastAsia="Arial" w:hAnsi="Arial"/>
                <w:sz w:val="16"/>
                <w:szCs w:val="16"/>
                <w:color w:val="auto"/>
                <w:w w:val="99"/>
              </w:rPr>
              <w:t>Withheld</w:t>
            </w:r>
          </w:p>
        </w:tc>
      </w:tr>
      <w:tr>
        <w:trPr>
          <w:trHeight w:val="20"/>
        </w:trPr>
        <w:tc>
          <w:tcPr>
            <w:tcW w:w="5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2"/>
        </w:trPr>
        <w:tc>
          <w:tcPr>
            <w:tcW w:w="2820" w:type="dxa"/>
            <w:vAlign w:val="bottom"/>
            <w:gridSpan w:val="2"/>
          </w:tcPr>
          <w:p>
            <w:pPr>
              <w:spacing w:after="0"/>
              <w:rPr>
                <w:sz w:val="20"/>
                <w:szCs w:val="20"/>
                <w:color w:val="auto"/>
              </w:rPr>
            </w:pPr>
            <w:r>
              <w:rPr>
                <w:rFonts w:ascii="Arial" w:cs="Arial" w:eastAsia="Arial" w:hAnsi="Arial"/>
                <w:sz w:val="16"/>
                <w:szCs w:val="16"/>
                <w:color w:val="auto"/>
              </w:rPr>
              <w:t>Adam M. Aron</w:t>
            </w:r>
          </w:p>
        </w:tc>
        <w:tc>
          <w:tcPr>
            <w:tcW w:w="1860" w:type="dxa"/>
            <w:vAlign w:val="bottom"/>
            <w:gridSpan w:val="2"/>
          </w:tcPr>
          <w:p>
            <w:pPr>
              <w:spacing w:after="0"/>
              <w:rPr>
                <w:sz w:val="20"/>
                <w:szCs w:val="20"/>
                <w:color w:val="auto"/>
              </w:rPr>
            </w:pPr>
            <w:r>
              <w:rPr>
                <w:rFonts w:ascii="Arial" w:cs="Arial" w:eastAsia="Arial" w:hAnsi="Arial"/>
                <w:sz w:val="16"/>
                <w:szCs w:val="16"/>
                <w:color w:val="auto"/>
              </w:rPr>
              <w:t>24,259,331</w:t>
            </w:r>
          </w:p>
        </w:tc>
        <w:tc>
          <w:tcPr>
            <w:tcW w:w="640" w:type="dxa"/>
            <w:vAlign w:val="bottom"/>
            <w:gridSpan w:val="2"/>
          </w:tcPr>
          <w:p>
            <w:pPr>
              <w:spacing w:after="0"/>
              <w:rPr>
                <w:sz w:val="20"/>
                <w:szCs w:val="20"/>
                <w:color w:val="auto"/>
              </w:rPr>
            </w:pPr>
            <w:r>
              <w:rPr>
                <w:rFonts w:ascii="Arial" w:cs="Arial" w:eastAsia="Arial" w:hAnsi="Arial"/>
                <w:sz w:val="16"/>
                <w:szCs w:val="16"/>
                <w:color w:val="auto"/>
                <w:w w:val="87"/>
              </w:rPr>
              <w:t>1,433,787</w:t>
            </w:r>
          </w:p>
        </w:tc>
      </w:tr>
      <w:tr>
        <w:trPr>
          <w:trHeight w:val="246"/>
        </w:trPr>
        <w:tc>
          <w:tcPr>
            <w:tcW w:w="2820" w:type="dxa"/>
            <w:vAlign w:val="bottom"/>
            <w:gridSpan w:val="2"/>
          </w:tcPr>
          <w:p>
            <w:pPr>
              <w:spacing w:after="0"/>
              <w:rPr>
                <w:sz w:val="20"/>
                <w:szCs w:val="20"/>
                <w:color w:val="auto"/>
              </w:rPr>
            </w:pPr>
            <w:r>
              <w:rPr>
                <w:rFonts w:ascii="Arial" w:cs="Arial" w:eastAsia="Arial" w:hAnsi="Arial"/>
                <w:sz w:val="16"/>
                <w:szCs w:val="16"/>
                <w:color w:val="auto"/>
              </w:rPr>
              <w:t>Frank J. Biondi</w:t>
            </w:r>
          </w:p>
        </w:tc>
        <w:tc>
          <w:tcPr>
            <w:tcW w:w="1860" w:type="dxa"/>
            <w:vAlign w:val="bottom"/>
            <w:gridSpan w:val="2"/>
          </w:tcPr>
          <w:p>
            <w:pPr>
              <w:spacing w:after="0"/>
              <w:rPr>
                <w:sz w:val="20"/>
                <w:szCs w:val="20"/>
                <w:color w:val="auto"/>
              </w:rPr>
            </w:pPr>
            <w:r>
              <w:rPr>
                <w:rFonts w:ascii="Arial" w:cs="Arial" w:eastAsia="Arial" w:hAnsi="Arial"/>
                <w:sz w:val="16"/>
                <w:szCs w:val="16"/>
                <w:color w:val="auto"/>
              </w:rPr>
              <w:t>24,267,158</w:t>
            </w:r>
          </w:p>
        </w:tc>
        <w:tc>
          <w:tcPr>
            <w:tcW w:w="640" w:type="dxa"/>
            <w:vAlign w:val="bottom"/>
            <w:gridSpan w:val="2"/>
          </w:tcPr>
          <w:p>
            <w:pPr>
              <w:spacing w:after="0"/>
              <w:rPr>
                <w:sz w:val="20"/>
                <w:szCs w:val="20"/>
                <w:color w:val="auto"/>
              </w:rPr>
            </w:pPr>
            <w:r>
              <w:rPr>
                <w:rFonts w:ascii="Arial" w:cs="Arial" w:eastAsia="Arial" w:hAnsi="Arial"/>
                <w:sz w:val="16"/>
                <w:szCs w:val="16"/>
                <w:color w:val="auto"/>
                <w:w w:val="87"/>
              </w:rPr>
              <w:t>1,425,960</w:t>
            </w:r>
          </w:p>
        </w:tc>
      </w:tr>
      <w:tr>
        <w:trPr>
          <w:trHeight w:val="246"/>
        </w:trPr>
        <w:tc>
          <w:tcPr>
            <w:tcW w:w="2820" w:type="dxa"/>
            <w:vAlign w:val="bottom"/>
            <w:gridSpan w:val="2"/>
          </w:tcPr>
          <w:p>
            <w:pPr>
              <w:spacing w:after="0"/>
              <w:rPr>
                <w:sz w:val="20"/>
                <w:szCs w:val="20"/>
                <w:color w:val="auto"/>
              </w:rPr>
            </w:pPr>
            <w:r>
              <w:rPr>
                <w:rFonts w:ascii="Arial" w:cs="Arial" w:eastAsia="Arial" w:hAnsi="Arial"/>
                <w:sz w:val="16"/>
                <w:szCs w:val="16"/>
                <w:color w:val="auto"/>
              </w:rPr>
              <w:t>Thomas H. Lee</w:t>
            </w:r>
          </w:p>
        </w:tc>
        <w:tc>
          <w:tcPr>
            <w:tcW w:w="1860" w:type="dxa"/>
            <w:vAlign w:val="bottom"/>
            <w:gridSpan w:val="2"/>
          </w:tcPr>
          <w:p>
            <w:pPr>
              <w:spacing w:after="0"/>
              <w:rPr>
                <w:sz w:val="20"/>
                <w:szCs w:val="20"/>
                <w:color w:val="auto"/>
              </w:rPr>
            </w:pPr>
            <w:r>
              <w:rPr>
                <w:rFonts w:ascii="Arial" w:cs="Arial" w:eastAsia="Arial" w:hAnsi="Arial"/>
                <w:sz w:val="16"/>
                <w:szCs w:val="16"/>
                <w:color w:val="auto"/>
              </w:rPr>
              <w:t>24,260,858</w:t>
            </w:r>
          </w:p>
        </w:tc>
        <w:tc>
          <w:tcPr>
            <w:tcW w:w="640" w:type="dxa"/>
            <w:vAlign w:val="bottom"/>
            <w:gridSpan w:val="2"/>
          </w:tcPr>
          <w:p>
            <w:pPr>
              <w:spacing w:after="0"/>
              <w:rPr>
                <w:sz w:val="20"/>
                <w:szCs w:val="20"/>
                <w:color w:val="auto"/>
              </w:rPr>
            </w:pPr>
            <w:r>
              <w:rPr>
                <w:rFonts w:ascii="Arial" w:cs="Arial" w:eastAsia="Arial" w:hAnsi="Arial"/>
                <w:sz w:val="16"/>
                <w:szCs w:val="16"/>
                <w:color w:val="auto"/>
                <w:w w:val="87"/>
              </w:rPr>
              <w:t>1,432,260</w:t>
            </w:r>
          </w:p>
        </w:tc>
      </w:tr>
      <w:tr>
        <w:trPr>
          <w:trHeight w:val="246"/>
        </w:trPr>
        <w:tc>
          <w:tcPr>
            <w:tcW w:w="2820" w:type="dxa"/>
            <w:vAlign w:val="bottom"/>
            <w:gridSpan w:val="2"/>
          </w:tcPr>
          <w:p>
            <w:pPr>
              <w:spacing w:after="0"/>
              <w:rPr>
                <w:sz w:val="20"/>
                <w:szCs w:val="20"/>
                <w:color w:val="auto"/>
              </w:rPr>
            </w:pPr>
            <w:r>
              <w:rPr>
                <w:rFonts w:ascii="Arial" w:cs="Arial" w:eastAsia="Arial" w:hAnsi="Arial"/>
                <w:sz w:val="16"/>
                <w:szCs w:val="16"/>
                <w:color w:val="auto"/>
              </w:rPr>
              <w:t>Joe R. Micheletto</w:t>
            </w:r>
          </w:p>
        </w:tc>
        <w:tc>
          <w:tcPr>
            <w:tcW w:w="1860" w:type="dxa"/>
            <w:vAlign w:val="bottom"/>
            <w:gridSpan w:val="2"/>
          </w:tcPr>
          <w:p>
            <w:pPr>
              <w:spacing w:after="0"/>
              <w:rPr>
                <w:sz w:val="20"/>
                <w:szCs w:val="20"/>
                <w:color w:val="auto"/>
              </w:rPr>
            </w:pPr>
            <w:r>
              <w:rPr>
                <w:rFonts w:ascii="Arial" w:cs="Arial" w:eastAsia="Arial" w:hAnsi="Arial"/>
                <w:sz w:val="16"/>
                <w:szCs w:val="16"/>
                <w:color w:val="auto"/>
              </w:rPr>
              <w:t>24,453,508</w:t>
            </w:r>
          </w:p>
        </w:tc>
        <w:tc>
          <w:tcPr>
            <w:tcW w:w="640" w:type="dxa"/>
            <w:vAlign w:val="bottom"/>
            <w:gridSpan w:val="2"/>
          </w:tcPr>
          <w:p>
            <w:pPr>
              <w:spacing w:after="0"/>
              <w:rPr>
                <w:sz w:val="20"/>
                <w:szCs w:val="20"/>
                <w:color w:val="auto"/>
              </w:rPr>
            </w:pPr>
            <w:r>
              <w:rPr>
                <w:rFonts w:ascii="Arial" w:cs="Arial" w:eastAsia="Arial" w:hAnsi="Arial"/>
                <w:sz w:val="16"/>
                <w:szCs w:val="16"/>
                <w:color w:val="auto"/>
                <w:w w:val="87"/>
              </w:rPr>
              <w:t>1,239,610</w:t>
            </w:r>
          </w:p>
        </w:tc>
      </w:tr>
      <w:tr>
        <w:trPr>
          <w:trHeight w:val="246"/>
        </w:trPr>
        <w:tc>
          <w:tcPr>
            <w:tcW w:w="2820" w:type="dxa"/>
            <w:vAlign w:val="bottom"/>
            <w:gridSpan w:val="2"/>
          </w:tcPr>
          <w:p>
            <w:pPr>
              <w:spacing w:after="0"/>
              <w:rPr>
                <w:sz w:val="20"/>
                <w:szCs w:val="20"/>
                <w:color w:val="auto"/>
              </w:rPr>
            </w:pPr>
            <w:r>
              <w:rPr>
                <w:rFonts w:ascii="Arial" w:cs="Arial" w:eastAsia="Arial" w:hAnsi="Arial"/>
                <w:sz w:val="16"/>
                <w:szCs w:val="16"/>
                <w:color w:val="auto"/>
              </w:rPr>
              <w:t>John F. Sorte</w:t>
            </w:r>
          </w:p>
        </w:tc>
        <w:tc>
          <w:tcPr>
            <w:tcW w:w="1860" w:type="dxa"/>
            <w:vAlign w:val="bottom"/>
            <w:gridSpan w:val="2"/>
          </w:tcPr>
          <w:p>
            <w:pPr>
              <w:spacing w:after="0"/>
              <w:rPr>
                <w:sz w:val="20"/>
                <w:szCs w:val="20"/>
                <w:color w:val="auto"/>
              </w:rPr>
            </w:pPr>
            <w:r>
              <w:rPr>
                <w:rFonts w:ascii="Arial" w:cs="Arial" w:eastAsia="Arial" w:hAnsi="Arial"/>
                <w:sz w:val="16"/>
                <w:szCs w:val="16"/>
                <w:color w:val="auto"/>
              </w:rPr>
              <w:t>24,459,588</w:t>
            </w:r>
          </w:p>
        </w:tc>
        <w:tc>
          <w:tcPr>
            <w:tcW w:w="640" w:type="dxa"/>
            <w:vAlign w:val="bottom"/>
            <w:gridSpan w:val="2"/>
          </w:tcPr>
          <w:p>
            <w:pPr>
              <w:spacing w:after="0"/>
              <w:rPr>
                <w:sz w:val="20"/>
                <w:szCs w:val="20"/>
                <w:color w:val="auto"/>
              </w:rPr>
            </w:pPr>
            <w:r>
              <w:rPr>
                <w:rFonts w:ascii="Arial" w:cs="Arial" w:eastAsia="Arial" w:hAnsi="Arial"/>
                <w:sz w:val="16"/>
                <w:szCs w:val="16"/>
                <w:color w:val="auto"/>
                <w:w w:val="87"/>
              </w:rPr>
              <w:t>1,233,530</w:t>
            </w:r>
          </w:p>
        </w:tc>
      </w:tr>
      <w:tr>
        <w:trPr>
          <w:trHeight w:val="246"/>
        </w:trPr>
        <w:tc>
          <w:tcPr>
            <w:tcW w:w="2820" w:type="dxa"/>
            <w:vAlign w:val="bottom"/>
            <w:gridSpan w:val="2"/>
          </w:tcPr>
          <w:p>
            <w:pPr>
              <w:spacing w:after="0"/>
              <w:rPr>
                <w:sz w:val="20"/>
                <w:szCs w:val="20"/>
                <w:color w:val="auto"/>
              </w:rPr>
            </w:pPr>
            <w:r>
              <w:rPr>
                <w:rFonts w:ascii="Arial" w:cs="Arial" w:eastAsia="Arial" w:hAnsi="Arial"/>
                <w:sz w:val="16"/>
                <w:szCs w:val="16"/>
                <w:color w:val="auto"/>
              </w:rPr>
              <w:t>William P. Stiritz</w:t>
            </w:r>
          </w:p>
        </w:tc>
        <w:tc>
          <w:tcPr>
            <w:tcW w:w="1860" w:type="dxa"/>
            <w:vAlign w:val="bottom"/>
            <w:gridSpan w:val="2"/>
          </w:tcPr>
          <w:p>
            <w:pPr>
              <w:spacing w:after="0"/>
              <w:rPr>
                <w:sz w:val="20"/>
                <w:szCs w:val="20"/>
                <w:color w:val="auto"/>
              </w:rPr>
            </w:pPr>
            <w:r>
              <w:rPr>
                <w:rFonts w:ascii="Arial" w:cs="Arial" w:eastAsia="Arial" w:hAnsi="Arial"/>
                <w:sz w:val="16"/>
                <w:szCs w:val="16"/>
                <w:color w:val="auto"/>
              </w:rPr>
              <w:t>24,248,388</w:t>
            </w:r>
          </w:p>
        </w:tc>
        <w:tc>
          <w:tcPr>
            <w:tcW w:w="640" w:type="dxa"/>
            <w:vAlign w:val="bottom"/>
            <w:gridSpan w:val="2"/>
          </w:tcPr>
          <w:p>
            <w:pPr>
              <w:spacing w:after="0"/>
              <w:rPr>
                <w:sz w:val="20"/>
                <w:szCs w:val="20"/>
                <w:color w:val="auto"/>
              </w:rPr>
            </w:pPr>
            <w:r>
              <w:rPr>
                <w:rFonts w:ascii="Arial" w:cs="Arial" w:eastAsia="Arial" w:hAnsi="Arial"/>
                <w:sz w:val="16"/>
                <w:szCs w:val="16"/>
                <w:color w:val="auto"/>
                <w:w w:val="87"/>
              </w:rPr>
              <w:t>1,444,730</w:t>
            </w:r>
          </w:p>
        </w:tc>
      </w:tr>
      <w:tr>
        <w:trPr>
          <w:trHeight w:val="246"/>
        </w:trPr>
        <w:tc>
          <w:tcPr>
            <w:tcW w:w="2820" w:type="dxa"/>
            <w:vAlign w:val="bottom"/>
            <w:gridSpan w:val="2"/>
          </w:tcPr>
          <w:p>
            <w:pPr>
              <w:spacing w:after="0"/>
              <w:rPr>
                <w:sz w:val="20"/>
                <w:szCs w:val="20"/>
                <w:color w:val="auto"/>
              </w:rPr>
            </w:pPr>
            <w:r>
              <w:rPr>
                <w:rFonts w:ascii="Arial" w:cs="Arial" w:eastAsia="Arial" w:hAnsi="Arial"/>
                <w:sz w:val="16"/>
                <w:szCs w:val="16"/>
                <w:color w:val="auto"/>
              </w:rPr>
              <w:t>James S. Tisch</w:t>
            </w:r>
          </w:p>
        </w:tc>
        <w:tc>
          <w:tcPr>
            <w:tcW w:w="1860" w:type="dxa"/>
            <w:vAlign w:val="bottom"/>
            <w:gridSpan w:val="2"/>
          </w:tcPr>
          <w:p>
            <w:pPr>
              <w:spacing w:after="0"/>
              <w:rPr>
                <w:sz w:val="20"/>
                <w:szCs w:val="20"/>
                <w:color w:val="auto"/>
              </w:rPr>
            </w:pPr>
            <w:r>
              <w:rPr>
                <w:rFonts w:ascii="Arial" w:cs="Arial" w:eastAsia="Arial" w:hAnsi="Arial"/>
                <w:sz w:val="16"/>
                <w:szCs w:val="16"/>
                <w:color w:val="auto"/>
              </w:rPr>
              <w:t>24,260,648</w:t>
            </w:r>
          </w:p>
        </w:tc>
        <w:tc>
          <w:tcPr>
            <w:tcW w:w="640" w:type="dxa"/>
            <w:vAlign w:val="bottom"/>
            <w:gridSpan w:val="2"/>
          </w:tcPr>
          <w:p>
            <w:pPr>
              <w:spacing w:after="0"/>
              <w:rPr>
                <w:sz w:val="20"/>
                <w:szCs w:val="20"/>
                <w:color w:val="auto"/>
              </w:rPr>
            </w:pPr>
            <w:r>
              <w:rPr>
                <w:rFonts w:ascii="Arial" w:cs="Arial" w:eastAsia="Arial" w:hAnsi="Arial"/>
                <w:sz w:val="16"/>
                <w:szCs w:val="16"/>
                <w:color w:val="auto"/>
                <w:w w:val="87"/>
              </w:rPr>
              <w:t>1,432,470</w:t>
            </w:r>
          </w:p>
        </w:tc>
      </w:tr>
    </w:tbl>
    <w:p>
      <w:pPr>
        <w:spacing w:after="0" w:line="287" w:lineRule="exact"/>
        <w:rPr>
          <w:sz w:val="20"/>
          <w:szCs w:val="20"/>
          <w:color w:val="auto"/>
        </w:rPr>
      </w:pPr>
    </w:p>
    <w:p>
      <w:pPr>
        <w:ind w:left="400" w:hanging="389"/>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Approval of the 2002 Long Term Incentive and Share Award Plan.</w:t>
      </w:r>
    </w:p>
    <w:p>
      <w:pPr>
        <w:spacing w:after="0" w:line="268"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1960" w:type="dxa"/>
            <w:vAlign w:val="bottom"/>
            <w:gridSpan w:val="2"/>
          </w:tcPr>
          <w:p>
            <w:pPr>
              <w:spacing w:after="0"/>
              <w:rPr>
                <w:sz w:val="20"/>
                <w:szCs w:val="20"/>
                <w:color w:val="auto"/>
              </w:rPr>
            </w:pPr>
            <w:r>
              <w:rPr>
                <w:rFonts w:ascii="Arial" w:cs="Arial" w:eastAsia="Arial" w:hAnsi="Arial"/>
                <w:sz w:val="16"/>
                <w:szCs w:val="16"/>
                <w:color w:val="auto"/>
              </w:rPr>
              <w:t>For</w:t>
            </w:r>
          </w:p>
        </w:tc>
        <w:tc>
          <w:tcPr>
            <w:tcW w:w="1800" w:type="dxa"/>
            <w:vAlign w:val="bottom"/>
            <w:gridSpan w:val="2"/>
          </w:tcPr>
          <w:p>
            <w:pPr>
              <w:spacing w:after="0"/>
              <w:rPr>
                <w:sz w:val="20"/>
                <w:szCs w:val="20"/>
                <w:color w:val="auto"/>
              </w:rPr>
            </w:pPr>
            <w:r>
              <w:rPr>
                <w:rFonts w:ascii="Arial" w:cs="Arial" w:eastAsia="Arial" w:hAnsi="Arial"/>
                <w:sz w:val="16"/>
                <w:szCs w:val="16"/>
                <w:color w:val="auto"/>
              </w:rPr>
              <w:t>Against</w:t>
            </w:r>
          </w:p>
        </w:tc>
        <w:tc>
          <w:tcPr>
            <w:tcW w:w="1180" w:type="dxa"/>
            <w:vAlign w:val="bottom"/>
            <w:gridSpan w:val="2"/>
          </w:tcPr>
          <w:p>
            <w:pPr>
              <w:spacing w:after="0"/>
              <w:rPr>
                <w:sz w:val="20"/>
                <w:szCs w:val="20"/>
                <w:color w:val="auto"/>
              </w:rPr>
            </w:pPr>
            <w:r>
              <w:rPr>
                <w:rFonts w:ascii="Arial" w:cs="Arial" w:eastAsia="Arial" w:hAnsi="Arial"/>
                <w:sz w:val="16"/>
                <w:szCs w:val="16"/>
                <w:color w:val="auto"/>
              </w:rPr>
              <w:t>Abstain</w:t>
            </w:r>
          </w:p>
        </w:tc>
        <w:tc>
          <w:tcPr>
            <w:tcW w:w="1780" w:type="dxa"/>
            <w:vAlign w:val="bottom"/>
            <w:gridSpan w:val="2"/>
          </w:tcPr>
          <w:p>
            <w:pPr>
              <w:ind w:left="680"/>
              <w:spacing w:after="0"/>
              <w:rPr>
                <w:sz w:val="20"/>
                <w:szCs w:val="20"/>
                <w:color w:val="auto"/>
              </w:rPr>
            </w:pPr>
            <w:r>
              <w:rPr>
                <w:rFonts w:ascii="Arial" w:cs="Arial" w:eastAsia="Arial" w:hAnsi="Arial"/>
                <w:sz w:val="16"/>
                <w:szCs w:val="16"/>
                <w:color w:val="auto"/>
                <w:w w:val="90"/>
              </w:rPr>
              <w:t>Broker Non-Vote</w:t>
            </w:r>
          </w:p>
        </w:tc>
      </w:tr>
      <w:tr>
        <w:trPr>
          <w:trHeight w:val="20"/>
        </w:trPr>
        <w:tc>
          <w:tcPr>
            <w:tcW w:w="2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7"/>
        </w:trPr>
        <w:tc>
          <w:tcPr>
            <w:tcW w:w="1960" w:type="dxa"/>
            <w:vAlign w:val="bottom"/>
            <w:gridSpan w:val="2"/>
          </w:tcPr>
          <w:p>
            <w:pPr>
              <w:spacing w:after="0"/>
              <w:rPr>
                <w:sz w:val="20"/>
                <w:szCs w:val="20"/>
                <w:color w:val="auto"/>
              </w:rPr>
            </w:pPr>
            <w:r>
              <w:rPr>
                <w:rFonts w:ascii="Arial" w:cs="Arial" w:eastAsia="Arial" w:hAnsi="Arial"/>
                <w:sz w:val="16"/>
                <w:szCs w:val="16"/>
                <w:color w:val="auto"/>
              </w:rPr>
              <w:t>28,357,288</w:t>
            </w:r>
          </w:p>
        </w:tc>
        <w:tc>
          <w:tcPr>
            <w:tcW w:w="1800" w:type="dxa"/>
            <w:vAlign w:val="bottom"/>
            <w:gridSpan w:val="2"/>
          </w:tcPr>
          <w:p>
            <w:pPr>
              <w:spacing w:after="0"/>
              <w:rPr>
                <w:sz w:val="20"/>
                <w:szCs w:val="20"/>
                <w:color w:val="auto"/>
              </w:rPr>
            </w:pPr>
            <w:r>
              <w:rPr>
                <w:rFonts w:ascii="Arial" w:cs="Arial" w:eastAsia="Arial" w:hAnsi="Arial"/>
                <w:sz w:val="16"/>
                <w:szCs w:val="16"/>
                <w:color w:val="auto"/>
              </w:rPr>
              <w:t>3,280,987</w:t>
            </w:r>
          </w:p>
        </w:tc>
        <w:tc>
          <w:tcPr>
            <w:tcW w:w="1180" w:type="dxa"/>
            <w:vAlign w:val="bottom"/>
            <w:gridSpan w:val="2"/>
          </w:tcPr>
          <w:p>
            <w:pPr>
              <w:spacing w:after="0"/>
              <w:rPr>
                <w:sz w:val="20"/>
                <w:szCs w:val="20"/>
                <w:color w:val="auto"/>
              </w:rPr>
            </w:pPr>
            <w:r>
              <w:rPr>
                <w:rFonts w:ascii="Arial" w:cs="Arial" w:eastAsia="Arial" w:hAnsi="Arial"/>
                <w:sz w:val="16"/>
                <w:szCs w:val="16"/>
                <w:color w:val="auto"/>
              </w:rPr>
              <w:t>549,479</w:t>
            </w:r>
          </w:p>
        </w:tc>
        <w:tc>
          <w:tcPr>
            <w:tcW w:w="1780" w:type="dxa"/>
            <w:vAlign w:val="bottom"/>
            <w:gridSpan w:val="2"/>
          </w:tcPr>
          <w:p>
            <w:pPr>
              <w:ind w:left="680"/>
              <w:spacing w:after="0"/>
              <w:rPr>
                <w:sz w:val="20"/>
                <w:szCs w:val="20"/>
                <w:color w:val="auto"/>
              </w:rPr>
            </w:pPr>
            <w:r>
              <w:rPr>
                <w:rFonts w:ascii="Arial" w:cs="Arial" w:eastAsia="Arial" w:hAnsi="Arial"/>
                <w:sz w:val="16"/>
                <w:szCs w:val="16"/>
                <w:color w:val="auto"/>
              </w:rPr>
              <w:t>944,906</w:t>
            </w:r>
          </w:p>
        </w:tc>
      </w:tr>
    </w:tbl>
    <w:p>
      <w:pPr>
        <w:spacing w:after="0" w:line="263" w:lineRule="exact"/>
        <w:rPr>
          <w:sz w:val="20"/>
          <w:szCs w:val="20"/>
          <w:color w:val="auto"/>
        </w:rPr>
      </w:pPr>
    </w:p>
    <w:p>
      <w:pPr>
        <w:ind w:left="400" w:hanging="389"/>
        <w:spacing w:after="0"/>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Approval of PricewaterhouseCoopers LLP as independent public accountants.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 w:type="dxa"/>
            <w:vAlign w:val="bottom"/>
          </w:tcPr>
          <w:p>
            <w:pPr>
              <w:spacing w:after="0"/>
              <w:rPr>
                <w:sz w:val="16"/>
                <w:szCs w:val="16"/>
                <w:color w:val="auto"/>
              </w:rPr>
            </w:pPr>
          </w:p>
        </w:tc>
        <w:tc>
          <w:tcPr>
            <w:tcW w:w="1960" w:type="dxa"/>
            <w:vAlign w:val="bottom"/>
            <w:gridSpan w:val="2"/>
          </w:tcPr>
          <w:p>
            <w:pPr>
              <w:spacing w:after="0"/>
              <w:rPr>
                <w:sz w:val="20"/>
                <w:szCs w:val="20"/>
                <w:color w:val="auto"/>
              </w:rPr>
            </w:pPr>
            <w:r>
              <w:rPr>
                <w:rFonts w:ascii="Arial" w:cs="Arial" w:eastAsia="Arial" w:hAnsi="Arial"/>
                <w:sz w:val="16"/>
                <w:szCs w:val="16"/>
                <w:color w:val="auto"/>
              </w:rPr>
              <w:t>For</w:t>
            </w:r>
          </w:p>
        </w:tc>
        <w:tc>
          <w:tcPr>
            <w:tcW w:w="1800" w:type="dxa"/>
            <w:vAlign w:val="bottom"/>
            <w:gridSpan w:val="2"/>
          </w:tcPr>
          <w:p>
            <w:pPr>
              <w:spacing w:after="0"/>
              <w:rPr>
                <w:sz w:val="20"/>
                <w:szCs w:val="20"/>
                <w:color w:val="auto"/>
              </w:rPr>
            </w:pPr>
            <w:r>
              <w:rPr>
                <w:rFonts w:ascii="Arial" w:cs="Arial" w:eastAsia="Arial" w:hAnsi="Arial"/>
                <w:sz w:val="16"/>
                <w:szCs w:val="16"/>
                <w:color w:val="auto"/>
              </w:rPr>
              <w:t>Against</w:t>
            </w:r>
          </w:p>
        </w:tc>
        <w:tc>
          <w:tcPr>
            <w:tcW w:w="1180" w:type="dxa"/>
            <w:vAlign w:val="bottom"/>
            <w:gridSpan w:val="2"/>
          </w:tcPr>
          <w:p>
            <w:pPr>
              <w:spacing w:after="0"/>
              <w:rPr>
                <w:sz w:val="20"/>
                <w:szCs w:val="20"/>
                <w:color w:val="auto"/>
              </w:rPr>
            </w:pPr>
            <w:r>
              <w:rPr>
                <w:rFonts w:ascii="Arial" w:cs="Arial" w:eastAsia="Arial" w:hAnsi="Arial"/>
                <w:sz w:val="16"/>
                <w:szCs w:val="16"/>
                <w:color w:val="auto"/>
              </w:rPr>
              <w:t>Abstain</w:t>
            </w:r>
          </w:p>
        </w:tc>
        <w:tc>
          <w:tcPr>
            <w:tcW w:w="1780" w:type="dxa"/>
            <w:vAlign w:val="bottom"/>
            <w:gridSpan w:val="2"/>
          </w:tcPr>
          <w:p>
            <w:pPr>
              <w:ind w:left="680"/>
              <w:spacing w:after="0"/>
              <w:rPr>
                <w:sz w:val="20"/>
                <w:szCs w:val="20"/>
                <w:color w:val="auto"/>
              </w:rPr>
            </w:pPr>
            <w:r>
              <w:rPr>
                <w:rFonts w:ascii="Arial" w:cs="Arial" w:eastAsia="Arial" w:hAnsi="Arial"/>
                <w:sz w:val="16"/>
                <w:szCs w:val="16"/>
                <w:color w:val="auto"/>
                <w:w w:val="90"/>
              </w:rPr>
              <w:t>Broker Non-Vote</w:t>
            </w:r>
          </w:p>
        </w:tc>
      </w:tr>
      <w:tr>
        <w:trPr>
          <w:trHeight w:val="20"/>
        </w:trPr>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7"/>
        </w:trPr>
        <w:tc>
          <w:tcPr>
            <w:tcW w:w="400" w:type="dxa"/>
            <w:vAlign w:val="bottom"/>
          </w:tcPr>
          <w:p>
            <w:pPr>
              <w:spacing w:after="0"/>
              <w:rPr>
                <w:sz w:val="20"/>
                <w:szCs w:val="20"/>
                <w:color w:val="auto"/>
              </w:rPr>
            </w:pPr>
          </w:p>
        </w:tc>
        <w:tc>
          <w:tcPr>
            <w:tcW w:w="1960" w:type="dxa"/>
            <w:vAlign w:val="bottom"/>
            <w:gridSpan w:val="2"/>
          </w:tcPr>
          <w:p>
            <w:pPr>
              <w:spacing w:after="0"/>
              <w:rPr>
                <w:sz w:val="20"/>
                <w:szCs w:val="20"/>
                <w:color w:val="auto"/>
              </w:rPr>
            </w:pPr>
            <w:r>
              <w:rPr>
                <w:rFonts w:ascii="Arial" w:cs="Arial" w:eastAsia="Arial" w:hAnsi="Arial"/>
                <w:sz w:val="16"/>
                <w:szCs w:val="16"/>
                <w:color w:val="auto"/>
              </w:rPr>
              <w:t>33,037,847</w:t>
            </w:r>
          </w:p>
        </w:tc>
        <w:tc>
          <w:tcPr>
            <w:tcW w:w="500" w:type="dxa"/>
            <w:vAlign w:val="bottom"/>
          </w:tcPr>
          <w:p>
            <w:pPr>
              <w:spacing w:after="0"/>
              <w:rPr>
                <w:sz w:val="20"/>
                <w:szCs w:val="20"/>
                <w:color w:val="auto"/>
              </w:rPr>
            </w:pPr>
            <w:r>
              <w:rPr>
                <w:rFonts w:ascii="Arial" w:cs="Arial" w:eastAsia="Arial" w:hAnsi="Arial"/>
                <w:sz w:val="16"/>
                <w:szCs w:val="16"/>
                <w:color w:val="auto"/>
                <w:w w:val="98"/>
              </w:rPr>
              <w:t>92,002</w:t>
            </w: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2,811</w:t>
            </w:r>
          </w:p>
        </w:tc>
        <w:tc>
          <w:tcPr>
            <w:tcW w:w="700" w:type="dxa"/>
            <w:vAlign w:val="bottom"/>
          </w:tcPr>
          <w:p>
            <w:pPr>
              <w:spacing w:after="0"/>
              <w:rPr>
                <w:sz w:val="20"/>
                <w:szCs w:val="20"/>
                <w:color w:val="auto"/>
              </w:rPr>
            </w:pPr>
          </w:p>
        </w:tc>
        <w:tc>
          <w:tcPr>
            <w:tcW w:w="1780" w:type="dxa"/>
            <w:vAlign w:val="bottom"/>
            <w:gridSpan w:val="2"/>
          </w:tcPr>
          <w:p>
            <w:pPr>
              <w:ind w:left="680"/>
              <w:spacing w:after="0"/>
              <w:rPr>
                <w:sz w:val="20"/>
                <w:szCs w:val="20"/>
                <w:color w:val="auto"/>
              </w:rPr>
            </w:pPr>
            <w:r>
              <w:rPr>
                <w:rFonts w:ascii="Arial" w:cs="Arial" w:eastAsia="Arial" w:hAnsi="Arial"/>
                <w:sz w:val="16"/>
                <w:szCs w:val="16"/>
                <w:color w:val="auto"/>
              </w:rPr>
              <w:t>--</w:t>
            </w:r>
          </w:p>
        </w:tc>
      </w:tr>
      <w:tr>
        <w:trPr>
          <w:trHeight w:val="369"/>
        </w:trPr>
        <w:tc>
          <w:tcPr>
            <w:tcW w:w="2360" w:type="dxa"/>
            <w:vAlign w:val="bottom"/>
            <w:gridSpan w:val="3"/>
          </w:tcPr>
          <w:p>
            <w:pPr>
              <w:spacing w:after="0"/>
              <w:rPr>
                <w:sz w:val="20"/>
                <w:szCs w:val="20"/>
                <w:color w:val="auto"/>
              </w:rPr>
            </w:pPr>
            <w:r>
              <w:rPr>
                <w:rFonts w:ascii="Arial" w:cs="Arial" w:eastAsia="Arial" w:hAnsi="Arial"/>
                <w:sz w:val="16"/>
                <w:szCs w:val="16"/>
                <w:b w:val="1"/>
                <w:bCs w:val="1"/>
                <w:color w:val="auto"/>
              </w:rPr>
              <w:t>Item 5. Other Information.</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3"/>
        </w:trPr>
        <w:tc>
          <w:tcPr>
            <w:tcW w:w="2360" w:type="dxa"/>
            <w:vAlign w:val="bottom"/>
            <w:gridSpan w:val="3"/>
          </w:tcPr>
          <w:p>
            <w:pPr>
              <w:spacing w:after="0"/>
              <w:rPr>
                <w:sz w:val="20"/>
                <w:szCs w:val="20"/>
                <w:color w:val="auto"/>
              </w:rPr>
            </w:pPr>
            <w:r>
              <w:rPr>
                <w:rFonts w:ascii="Arial" w:cs="Arial" w:eastAsia="Arial" w:hAnsi="Arial"/>
                <w:sz w:val="16"/>
                <w:szCs w:val="16"/>
                <w:color w:val="auto"/>
              </w:rPr>
              <w:t>None.</w:t>
            </w: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 and Reports on Form 8-K.</w:t>
      </w:r>
    </w:p>
    <w:p>
      <w:pPr>
        <w:spacing w:after="0" w:line="189" w:lineRule="exact"/>
        <w:rPr>
          <w:sz w:val="20"/>
          <w:szCs w:val="20"/>
          <w:color w:val="auto"/>
        </w:rPr>
      </w:pPr>
    </w:p>
    <w:p>
      <w:pPr>
        <w:ind w:left="180" w:right="3019" w:hanging="169"/>
        <w:spacing w:after="0" w:line="357" w:lineRule="auto"/>
        <w:tabs>
          <w:tab w:leader="none" w:pos="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following exhibits are either filed herewith or, if so indicated, incorporated by reference to the documents indicated in parentheses, which have previously been filed with the Securities and Exchange Commission.</w:t>
      </w:r>
    </w:p>
    <w:p>
      <w:pPr>
        <w:spacing w:after="0" w:line="132" w:lineRule="exact"/>
        <w:rPr>
          <w:sz w:val="20"/>
          <w:szCs w:val="20"/>
          <w:color w:val="auto"/>
        </w:rPr>
      </w:pPr>
    </w:p>
    <w:tbl>
      <w:tblPr>
        <w:tblLayout w:type="fixed"/>
        <w:tblInd w:w="2220" w:type="dxa"/>
        <w:tblCellMar>
          <w:top w:w="0" w:type="dxa"/>
          <w:left w:w="0" w:type="dxa"/>
          <w:bottom w:w="0" w:type="dxa"/>
          <w:right w:w="0" w:type="dxa"/>
        </w:tblCellMar>
      </w:tblPr>
      <w:tr>
        <w:trPr>
          <w:trHeight w:val="197"/>
        </w:trPr>
        <w:tc>
          <w:tcPr>
            <w:tcW w:w="5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40" w:type="dxa"/>
            <w:vAlign w:val="bottom"/>
            <w:gridSpan w:val="3"/>
          </w:tcPr>
          <w:p>
            <w:pPr>
              <w:jc w:val="center"/>
              <w:ind w:left="1120"/>
              <w:spacing w:after="0"/>
              <w:rPr>
                <w:sz w:val="20"/>
                <w:szCs w:val="20"/>
                <w:color w:val="auto"/>
              </w:rPr>
            </w:pPr>
            <w:r>
              <w:rPr>
                <w:rFonts w:ascii="Arial" w:cs="Arial" w:eastAsia="Arial" w:hAnsi="Arial"/>
                <w:sz w:val="16"/>
                <w:szCs w:val="16"/>
                <w:b w:val="1"/>
                <w:bCs w:val="1"/>
                <w:color w:val="auto"/>
                <w:w w:val="89"/>
              </w:rPr>
              <w:t>Sequentially</w:t>
            </w:r>
          </w:p>
        </w:tc>
      </w:tr>
      <w:tr>
        <w:trPr>
          <w:trHeight w:val="197"/>
        </w:trPr>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2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40" w:type="dxa"/>
            <w:vAlign w:val="bottom"/>
            <w:gridSpan w:val="3"/>
          </w:tcPr>
          <w:p>
            <w:pPr>
              <w:jc w:val="center"/>
              <w:ind w:left="1120"/>
              <w:spacing w:after="0"/>
              <w:rPr>
                <w:sz w:val="20"/>
                <w:szCs w:val="20"/>
                <w:color w:val="auto"/>
              </w:rPr>
            </w:pPr>
            <w:r>
              <w:rPr>
                <w:rFonts w:ascii="Arial" w:cs="Arial" w:eastAsia="Arial" w:hAnsi="Arial"/>
                <w:sz w:val="16"/>
                <w:szCs w:val="16"/>
                <w:b w:val="1"/>
                <w:bCs w:val="1"/>
                <w:color w:val="auto"/>
                <w:w w:val="90"/>
              </w:rPr>
              <w:t>Numbered</w:t>
            </w:r>
          </w:p>
        </w:tc>
      </w:tr>
      <w:tr>
        <w:trPr>
          <w:trHeight w:val="173"/>
        </w:trPr>
        <w:tc>
          <w:tcPr>
            <w:tcW w:w="56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92"/>
              </w:rPr>
              <w:t>Number</w:t>
            </w:r>
          </w:p>
        </w:tc>
        <w:tc>
          <w:tcPr>
            <w:tcW w:w="2400" w:type="dxa"/>
            <w:vAlign w:val="bottom"/>
          </w:tcPr>
          <w:p>
            <w:pPr>
              <w:spacing w:after="0"/>
              <w:rPr>
                <w:sz w:val="15"/>
                <w:szCs w:val="15"/>
                <w:color w:val="auto"/>
              </w:rPr>
            </w:pPr>
          </w:p>
        </w:tc>
        <w:tc>
          <w:tcPr>
            <w:tcW w:w="800" w:type="dxa"/>
            <w:vAlign w:val="bottom"/>
            <w:tcBorders>
              <w:bottom w:val="single" w:sz="8" w:color="auto"/>
            </w:tcBorders>
          </w:tcPr>
          <w:p>
            <w:pPr>
              <w:spacing w:after="0" w:line="173" w:lineRule="exact"/>
              <w:rPr>
                <w:sz w:val="20"/>
                <w:szCs w:val="20"/>
                <w:color w:val="auto"/>
              </w:rPr>
            </w:pPr>
            <w:r>
              <w:rPr>
                <w:rFonts w:ascii="Arial" w:cs="Arial" w:eastAsia="Arial" w:hAnsi="Arial"/>
                <w:sz w:val="16"/>
                <w:szCs w:val="16"/>
                <w:b w:val="1"/>
                <w:bCs w:val="1"/>
                <w:color w:val="auto"/>
                <w:w w:val="88"/>
              </w:rPr>
              <w:t>Description</w:t>
            </w: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40" w:type="dxa"/>
            <w:vAlign w:val="bottom"/>
            <w:tcBorders>
              <w:bottom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88"/>
              </w:rPr>
              <w:t>Page</w:t>
            </w:r>
          </w:p>
        </w:tc>
        <w:tc>
          <w:tcPr>
            <w:tcW w:w="260" w:type="dxa"/>
            <w:vAlign w:val="bottom"/>
          </w:tcPr>
          <w:p>
            <w:pPr>
              <w:spacing w:after="0"/>
              <w:rPr>
                <w:sz w:val="15"/>
                <w:szCs w:val="15"/>
                <w:color w:val="auto"/>
              </w:rPr>
            </w:pPr>
          </w:p>
        </w:tc>
      </w:tr>
    </w:tbl>
    <w:p>
      <w:pPr>
        <w:spacing w:after="0" w:line="40" w:lineRule="exact"/>
        <w:rPr>
          <w:sz w:val="20"/>
          <w:szCs w:val="20"/>
          <w:color w:val="auto"/>
        </w:rPr>
      </w:pPr>
    </w:p>
    <w:p>
      <w:pPr>
        <w:jc w:val="both"/>
        <w:ind w:left="2840" w:right="1979" w:hanging="638"/>
        <w:spacing w:after="0" w:line="282" w:lineRule="auto"/>
        <w:tabs>
          <w:tab w:leader="none" w:pos="282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5"/>
          <w:szCs w:val="15"/>
          <w:color w:val="auto"/>
        </w:rPr>
        <w:t>Amended and Restated Certificate of Incorporation filed with the Secretary of State of the State of Delaware on the Effective Date. (Incorporated by reference to Exhibit 3.1 of the Registration Statement on Form S-4 of Gillett Holdings, Inc. (Registration No 333-05341) including all amendments thereto.)</w:t>
      </w:r>
    </w:p>
    <w:p>
      <w:pPr>
        <w:spacing w:after="0" w:line="1" w:lineRule="exact"/>
        <w:rPr>
          <w:sz w:val="20"/>
          <w:szCs w:val="20"/>
          <w:color w:val="auto"/>
        </w:rPr>
      </w:pPr>
    </w:p>
    <w:p>
      <w:pPr>
        <w:jc w:val="both"/>
        <w:ind w:left="2840" w:right="2179" w:hanging="638"/>
        <w:spacing w:after="0" w:line="285" w:lineRule="auto"/>
        <w:tabs>
          <w:tab w:leader="none" w:pos="2820" w:val="left"/>
        </w:tabs>
        <w:rPr>
          <w:sz w:val="20"/>
          <w:szCs w:val="20"/>
          <w:color w:val="auto"/>
        </w:rPr>
      </w:pPr>
      <w:r>
        <w:rPr>
          <w:rFonts w:ascii="Arial" w:cs="Arial" w:eastAsia="Arial" w:hAnsi="Arial"/>
          <w:sz w:val="16"/>
          <w:szCs w:val="16"/>
          <w:color w:val="auto"/>
        </w:rPr>
        <w:t>3.2(a)</w:t>
      </w:r>
      <w:r>
        <w:rPr>
          <w:sz w:val="20"/>
          <w:szCs w:val="20"/>
          <w:color w:val="auto"/>
        </w:rPr>
        <w:tab/>
      </w:r>
      <w:r>
        <w:rPr>
          <w:rFonts w:ascii="Arial" w:cs="Arial" w:eastAsia="Arial" w:hAnsi="Arial"/>
          <w:sz w:val="15"/>
          <w:szCs w:val="15"/>
          <w:color w:val="auto"/>
        </w:rPr>
        <w:t>Amended and Restated By-Laws adopted on the Effective Date. (Incorporated by reference to Exhibit 3.2 on Form 10-Q of Vail Resorts, Inc. for the quarter ended January 31, 2002, including all amendments thereto.)</w:t>
      </w:r>
    </w:p>
    <w:p>
      <w:pPr>
        <w:ind w:left="2840" w:right="2039" w:hanging="638"/>
        <w:spacing w:after="0" w:line="267" w:lineRule="auto"/>
        <w:tabs>
          <w:tab w:leader="none" w:pos="2820" w:val="left"/>
        </w:tabs>
        <w:rPr>
          <w:sz w:val="20"/>
          <w:szCs w:val="20"/>
          <w:color w:val="auto"/>
        </w:rPr>
      </w:pPr>
      <w:r>
        <w:rPr>
          <w:rFonts w:ascii="Arial" w:cs="Arial" w:eastAsia="Arial" w:hAnsi="Arial"/>
          <w:sz w:val="16"/>
          <w:szCs w:val="16"/>
          <w:color w:val="auto"/>
        </w:rPr>
        <w:t>3.2(b)</w:t>
      </w:r>
      <w:r>
        <w:rPr>
          <w:sz w:val="20"/>
          <w:szCs w:val="20"/>
          <w:color w:val="auto"/>
        </w:rPr>
        <w:tab/>
      </w:r>
      <w:r>
        <w:rPr>
          <w:rFonts w:ascii="Arial" w:cs="Arial" w:eastAsia="Arial" w:hAnsi="Arial"/>
          <w:sz w:val="16"/>
          <w:szCs w:val="16"/>
          <w:color w:val="auto"/>
        </w:rPr>
        <w:t>Amended and Restated By-Laws adopted on the Effective Date. (Incorporated by reference to Exhibit 3.2(b) on Form 10-Q of Vail Resorts, Inc. for the quarter ended October 31, 2002)</w:t>
      </w:r>
    </w:p>
    <w:p>
      <w:pPr>
        <w:spacing w:after="0" w:line="1" w:lineRule="exact"/>
        <w:rPr>
          <w:sz w:val="20"/>
          <w:szCs w:val="20"/>
          <w:color w:val="auto"/>
        </w:rPr>
      </w:pPr>
    </w:p>
    <w:p>
      <w:pPr>
        <w:ind w:left="2840" w:right="2059" w:hanging="638"/>
        <w:spacing w:after="0" w:line="279" w:lineRule="auto"/>
        <w:tabs>
          <w:tab w:leader="none" w:pos="2820" w:val="left"/>
        </w:tabs>
        <w:rPr>
          <w:sz w:val="20"/>
          <w:szCs w:val="20"/>
          <w:color w:val="auto"/>
        </w:rPr>
      </w:pPr>
      <w:r>
        <w:rPr>
          <w:rFonts w:ascii="Arial" w:cs="Arial" w:eastAsia="Arial" w:hAnsi="Arial"/>
          <w:sz w:val="16"/>
          <w:szCs w:val="16"/>
          <w:color w:val="auto"/>
        </w:rPr>
        <w:t>4.2(a)</w:t>
      </w:r>
      <w:r>
        <w:rPr>
          <w:sz w:val="20"/>
          <w:szCs w:val="20"/>
          <w:color w:val="auto"/>
        </w:rPr>
        <w:tab/>
      </w:r>
      <w:r>
        <w:rPr>
          <w:rFonts w:ascii="Arial" w:cs="Arial" w:eastAsia="Arial" w:hAnsi="Arial"/>
          <w:sz w:val="15"/>
          <w:szCs w:val="15"/>
          <w:color w:val="auto"/>
        </w:rPr>
        <w:t>Purchase Agreement, dated as of May 6, 1999 among Vail Resorts, Inc., the guarantors named on Schedule I thereto, Bear Sterns &amp; Co. Inc., NationsBanc Montgomery Securities LLC, BT Alex. Brown Incorporated, Lehman Brothers Inc. and Salomon Smith Barney Inc. (Incorporated by reference to Exhibit 4.2 of the Registration Statement on Form S-4 of Vail Resorts, Inc. (Registration No. 333-80621) including all amendments thereto.)</w:t>
      </w:r>
    </w:p>
    <w:p>
      <w:pPr>
        <w:spacing w:after="0" w:line="2" w:lineRule="exact"/>
        <w:rPr>
          <w:sz w:val="20"/>
          <w:szCs w:val="20"/>
          <w:color w:val="auto"/>
        </w:rPr>
      </w:pPr>
    </w:p>
    <w:p>
      <w:pPr>
        <w:ind w:left="2840" w:right="2059" w:hanging="638"/>
        <w:spacing w:after="0" w:line="279" w:lineRule="auto"/>
        <w:tabs>
          <w:tab w:leader="none" w:pos="2820" w:val="left"/>
        </w:tabs>
        <w:rPr>
          <w:sz w:val="20"/>
          <w:szCs w:val="20"/>
          <w:color w:val="auto"/>
        </w:rPr>
      </w:pPr>
      <w:r>
        <w:rPr>
          <w:rFonts w:ascii="Arial" w:cs="Arial" w:eastAsia="Arial" w:hAnsi="Arial"/>
          <w:sz w:val="16"/>
          <w:szCs w:val="16"/>
          <w:color w:val="auto"/>
        </w:rPr>
        <w:t>4.2(b)</w:t>
      </w:r>
      <w:r>
        <w:rPr>
          <w:sz w:val="20"/>
          <w:szCs w:val="20"/>
          <w:color w:val="auto"/>
        </w:rPr>
        <w:tab/>
      </w:r>
      <w:r>
        <w:rPr>
          <w:rFonts w:ascii="Arial" w:cs="Arial" w:eastAsia="Arial" w:hAnsi="Arial"/>
          <w:sz w:val="15"/>
          <w:szCs w:val="15"/>
          <w:color w:val="auto"/>
        </w:rPr>
        <w:t>Purchase Agreement, dated as of November 16, 2001 among Vail Resorts, Inc., the guarantors named on Schedule I thereto, Deutsche Banc Alex. Brown Inc., Banc of America Securities LLC, Bear, Stearns &amp; Co. Inc., CIBC World Markets Corp. and Fleet Securities, Inc. (Incorporated by reference to Exhibit 4.1 of the Registration Statement on Form S-4 of Vail Resorts, Inc. (Registration No. 333-76956-01) including all amendments thereto.)</w:t>
      </w:r>
    </w:p>
    <w:p>
      <w:pPr>
        <w:spacing w:after="0" w:line="2" w:lineRule="exact"/>
        <w:rPr>
          <w:sz w:val="20"/>
          <w:szCs w:val="20"/>
          <w:color w:val="auto"/>
        </w:rPr>
      </w:pPr>
    </w:p>
    <w:p>
      <w:pPr>
        <w:ind w:left="2840" w:right="1899" w:hanging="638"/>
        <w:spacing w:after="0" w:line="302" w:lineRule="auto"/>
        <w:tabs>
          <w:tab w:leader="none" w:pos="2820" w:val="left"/>
        </w:tabs>
        <w:rPr>
          <w:sz w:val="20"/>
          <w:szCs w:val="20"/>
          <w:color w:val="auto"/>
        </w:rPr>
      </w:pPr>
      <w:r>
        <w:rPr>
          <w:rFonts w:ascii="Arial" w:cs="Arial" w:eastAsia="Arial" w:hAnsi="Arial"/>
          <w:sz w:val="16"/>
          <w:szCs w:val="16"/>
          <w:color w:val="auto"/>
        </w:rPr>
        <w:t>4.3(a)</w:t>
      </w:r>
      <w:r>
        <w:rPr>
          <w:sz w:val="20"/>
          <w:szCs w:val="20"/>
          <w:color w:val="auto"/>
        </w:rPr>
        <w:tab/>
      </w:r>
      <w:r>
        <w:rPr>
          <w:rFonts w:ascii="Arial" w:cs="Arial" w:eastAsia="Arial" w:hAnsi="Arial"/>
          <w:sz w:val="14"/>
          <w:szCs w:val="14"/>
          <w:color w:val="auto"/>
        </w:rPr>
        <w:t>Indenture, dated as of May 11, 1999, among Vail Resorts, Inc., the guarantors named therein and the United States Trust Company of New York, as trustee. (Incorporated by reference to Exhibit 4.3 of the Registration Statement on Form S-4 of Vail Resorts, Inc. (Registration No. 333-80621) including all amendments thereto.)</w:t>
      </w:r>
    </w:p>
    <w:p>
      <w:pPr>
        <w:spacing w:after="0" w:line="1" w:lineRule="exact"/>
        <w:rPr>
          <w:sz w:val="20"/>
          <w:szCs w:val="20"/>
          <w:color w:val="auto"/>
        </w:rPr>
      </w:pPr>
    </w:p>
    <w:p>
      <w:pPr>
        <w:jc w:val="both"/>
        <w:ind w:left="2840" w:right="2039" w:hanging="638"/>
        <w:spacing w:after="0" w:line="297" w:lineRule="auto"/>
        <w:tabs>
          <w:tab w:leader="none" w:pos="2820" w:val="left"/>
        </w:tabs>
        <w:rPr>
          <w:sz w:val="20"/>
          <w:szCs w:val="20"/>
          <w:color w:val="auto"/>
        </w:rPr>
      </w:pPr>
      <w:r>
        <w:rPr>
          <w:rFonts w:ascii="Arial" w:cs="Arial" w:eastAsia="Arial" w:hAnsi="Arial"/>
          <w:sz w:val="16"/>
          <w:szCs w:val="16"/>
          <w:color w:val="auto"/>
        </w:rPr>
        <w:t>4.3(b)</w:t>
      </w:r>
      <w:r>
        <w:rPr>
          <w:sz w:val="20"/>
          <w:szCs w:val="20"/>
          <w:color w:val="auto"/>
        </w:rPr>
        <w:tab/>
      </w:r>
      <w:r>
        <w:rPr>
          <w:rFonts w:ascii="Arial" w:cs="Arial" w:eastAsia="Arial" w:hAnsi="Arial"/>
          <w:sz w:val="14"/>
          <w:szCs w:val="14"/>
          <w:color w:val="auto"/>
        </w:rPr>
        <w:t>Indenture, dated as of November 21, 2001, among Vail Resorts, Inc., the guarantors named therein and The Bank of New York, as trustee. (Incorporated by reference to Exhibit 4.2 of the Registration Statement on Form S-4 of Vail Resorts, Inc.</w:t>
      </w:r>
    </w:p>
    <w:p>
      <w:pPr>
        <w:jc w:val="center"/>
        <w:ind w:right="179"/>
        <w:spacing w:after="0"/>
        <w:rPr>
          <w:sz w:val="20"/>
          <w:szCs w:val="20"/>
          <w:color w:val="auto"/>
        </w:rPr>
      </w:pPr>
      <w:r>
        <w:rPr>
          <w:rFonts w:ascii="Arial" w:cs="Arial" w:eastAsia="Arial" w:hAnsi="Arial"/>
          <w:sz w:val="16"/>
          <w:szCs w:val="16"/>
          <w:color w:val="auto"/>
        </w:rPr>
        <w:t>(Registration No. 333-76956-01) including all amendments thereto.)</w:t>
      </w:r>
    </w:p>
    <w:p>
      <w:pPr>
        <w:spacing w:after="0" w:line="30" w:lineRule="exact"/>
        <w:rPr>
          <w:sz w:val="20"/>
          <w:szCs w:val="20"/>
          <w:color w:val="auto"/>
        </w:rPr>
      </w:pPr>
    </w:p>
    <w:p>
      <w:pPr>
        <w:ind w:left="2200"/>
        <w:spacing w:after="0"/>
        <w:tabs>
          <w:tab w:leader="none" w:pos="2820" w:val="left"/>
        </w:tabs>
        <w:rPr>
          <w:sz w:val="20"/>
          <w:szCs w:val="20"/>
          <w:color w:val="auto"/>
        </w:rPr>
      </w:pPr>
      <w:r>
        <w:rPr>
          <w:rFonts w:ascii="Arial" w:cs="Arial" w:eastAsia="Arial" w:hAnsi="Arial"/>
          <w:sz w:val="16"/>
          <w:szCs w:val="16"/>
          <w:color w:val="auto"/>
        </w:rPr>
        <w:t>4.4(a)</w:t>
      </w:r>
      <w:r>
        <w:rPr>
          <w:sz w:val="20"/>
          <w:szCs w:val="20"/>
          <w:color w:val="auto"/>
        </w:rPr>
        <w:tab/>
      </w:r>
      <w:r>
        <w:rPr>
          <w:rFonts w:ascii="Arial" w:cs="Arial" w:eastAsia="Arial" w:hAnsi="Arial"/>
          <w:sz w:val="14"/>
          <w:szCs w:val="14"/>
          <w:color w:val="auto"/>
        </w:rPr>
        <w:t>Form of Global Note (Included in Exhibit 4.4(a) incorporated by reference to Exhibit</w:t>
      </w:r>
    </w:p>
    <w:p>
      <w:pPr>
        <w:spacing w:after="0" w:line="20"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4.3 of the Registration Statement on Form S-4 of Vail Resorts, Inc. (Registration No.</w:t>
      </w:r>
    </w:p>
    <w:p>
      <w:pPr>
        <w:spacing w:after="0" w:line="13"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333-80621) including all amendments thereto.)</w:t>
      </w:r>
    </w:p>
    <w:p>
      <w:pPr>
        <w:spacing w:after="0" w:line="30" w:lineRule="exact"/>
        <w:rPr>
          <w:sz w:val="20"/>
          <w:szCs w:val="20"/>
          <w:color w:val="auto"/>
        </w:rPr>
      </w:pPr>
    </w:p>
    <w:p>
      <w:pPr>
        <w:ind w:left="2840" w:right="2139" w:hanging="638"/>
        <w:spacing w:after="0" w:line="357" w:lineRule="auto"/>
        <w:tabs>
          <w:tab w:leader="none" w:pos="2820" w:val="left"/>
        </w:tabs>
        <w:rPr>
          <w:sz w:val="20"/>
          <w:szCs w:val="20"/>
          <w:color w:val="auto"/>
        </w:rPr>
      </w:pPr>
      <w:r>
        <w:rPr>
          <w:rFonts w:ascii="Arial" w:cs="Arial" w:eastAsia="Arial" w:hAnsi="Arial"/>
          <w:sz w:val="16"/>
          <w:szCs w:val="16"/>
          <w:color w:val="auto"/>
        </w:rPr>
        <w:t>4.4(b)</w:t>
      </w:r>
      <w:r>
        <w:rPr>
          <w:sz w:val="20"/>
          <w:szCs w:val="20"/>
          <w:color w:val="auto"/>
        </w:rPr>
        <w:tab/>
      </w:r>
      <w:r>
        <w:rPr>
          <w:rFonts w:ascii="Arial" w:cs="Arial" w:eastAsia="Arial" w:hAnsi="Arial"/>
          <w:sz w:val="14"/>
          <w:szCs w:val="14"/>
          <w:color w:val="auto"/>
        </w:rPr>
        <w:t>Form of Global Note (Included in Exhibit 4.4(b) by reference to Exhibit 4.2 of the Registration Statement on Form S-4 of Vail Resorts, Inc. (Registration No. 333-</w:t>
      </w:r>
    </w:p>
    <w:p>
      <w:pPr>
        <w:sectPr>
          <w:pgSz w:w="11900" w:h="16888" w:orient="portrait"/>
          <w:cols w:equalWidth="0" w:num="1">
            <w:col w:w="10219"/>
          </w:cols>
          <w:pgMar w:left="240" w:top="376" w:right="1440" w:bottom="0" w:gutter="0" w:footer="0" w:header="0"/>
        </w:sectPr>
      </w:pPr>
    </w:p>
    <w:bookmarkStart w:id="20" w:name="page21"/>
    <w:bookmarkEnd w:id="20"/>
    <w:p>
      <w:pPr>
        <w:ind w:left="1640"/>
        <w:spacing w:after="0"/>
        <w:rPr>
          <w:sz w:val="20"/>
          <w:szCs w:val="20"/>
          <w:color w:val="auto"/>
        </w:rPr>
      </w:pPr>
      <w:r>
        <w:rPr>
          <w:rFonts w:ascii="Arial" w:cs="Arial" w:eastAsia="Arial" w:hAnsi="Arial"/>
          <w:sz w:val="16"/>
          <w:szCs w:val="16"/>
          <w:color w:val="auto"/>
        </w:rPr>
        <w:t>76956-01) including all amendments thereto.)</w:t>
      </w:r>
    </w:p>
    <w:p>
      <w:pPr>
        <w:spacing w:after="0" w:line="37" w:lineRule="exact"/>
        <w:rPr>
          <w:sz w:val="20"/>
          <w:szCs w:val="20"/>
          <w:color w:val="auto"/>
        </w:rPr>
      </w:pPr>
    </w:p>
    <w:p>
      <w:pPr>
        <w:ind w:left="1640" w:right="1979" w:hanging="638"/>
        <w:spacing w:after="0" w:line="279" w:lineRule="auto"/>
        <w:tabs>
          <w:tab w:leader="none" w:pos="1620" w:val="left"/>
        </w:tabs>
        <w:rPr>
          <w:sz w:val="20"/>
          <w:szCs w:val="20"/>
          <w:color w:val="auto"/>
        </w:rPr>
      </w:pPr>
      <w:r>
        <w:rPr>
          <w:rFonts w:ascii="Arial" w:cs="Arial" w:eastAsia="Arial" w:hAnsi="Arial"/>
          <w:sz w:val="16"/>
          <w:szCs w:val="16"/>
          <w:color w:val="auto"/>
        </w:rPr>
        <w:t>4.5(a)</w:t>
      </w:r>
      <w:r>
        <w:rPr>
          <w:sz w:val="20"/>
          <w:szCs w:val="20"/>
          <w:color w:val="auto"/>
        </w:rPr>
        <w:tab/>
      </w:r>
      <w:r>
        <w:rPr>
          <w:rFonts w:ascii="Arial" w:cs="Arial" w:eastAsia="Arial" w:hAnsi="Arial"/>
          <w:sz w:val="15"/>
          <w:szCs w:val="15"/>
          <w:color w:val="auto"/>
        </w:rPr>
        <w:t>Registration Rights Agreement, dated as of May 11, 1999 among Vail Resorts, Inc., the guarantors signatory thereto, Bear Stearns &amp; Co. Inc., NationsBanc Montgomery Securities LLC, BT Alex. Brown Incorporated, Lehman Brothers Inc. and Salomon Smith Barney Inc. (Incorporated by reference to Exhibit 4.5 of the Registration Statement on Form S-4 of Vail Resorts, Inc. (Registration No. 333-80621) including all amendments thereto.)</w:t>
      </w:r>
    </w:p>
    <w:p>
      <w:pPr>
        <w:spacing w:after="0" w:line="2" w:lineRule="exact"/>
        <w:rPr>
          <w:sz w:val="20"/>
          <w:szCs w:val="20"/>
          <w:color w:val="auto"/>
        </w:rPr>
      </w:pPr>
    </w:p>
    <w:p>
      <w:pPr>
        <w:ind w:left="1640" w:right="2019" w:hanging="638"/>
        <w:spacing w:after="0" w:line="261" w:lineRule="auto"/>
        <w:tabs>
          <w:tab w:leader="none" w:pos="1620" w:val="left"/>
        </w:tabs>
        <w:rPr>
          <w:sz w:val="20"/>
          <w:szCs w:val="20"/>
          <w:color w:val="auto"/>
        </w:rPr>
      </w:pPr>
      <w:r>
        <w:rPr>
          <w:rFonts w:ascii="Arial" w:cs="Arial" w:eastAsia="Arial" w:hAnsi="Arial"/>
          <w:sz w:val="16"/>
          <w:szCs w:val="16"/>
          <w:color w:val="auto"/>
        </w:rPr>
        <w:t>4.5(b)</w:t>
      </w:r>
      <w:r>
        <w:rPr>
          <w:sz w:val="20"/>
          <w:szCs w:val="20"/>
          <w:color w:val="auto"/>
        </w:rPr>
        <w:tab/>
      </w:r>
      <w:r>
        <w:rPr>
          <w:rFonts w:ascii="Arial" w:cs="Arial" w:eastAsia="Arial" w:hAnsi="Arial"/>
          <w:sz w:val="16"/>
          <w:szCs w:val="16"/>
          <w:color w:val="auto"/>
        </w:rPr>
        <w:t>Registration Rights Agreement dated as of November 21, 2001 among Vail Resorts, Inc., the guarantors signatory thereto, Deutsche Banc Alex. Brown Inc., Banc of America Securities LLC, Bear Stearns &amp; Co. Inc., CIBC World Markets Corp. and Fleet Securities, Inc. (Incorporated by reference to Exhibit 4.5 of the Registration Statement on Form S-4 of Vail Resorts, Inc. (Registration No. 333-76956-01) including all amendments thereto.)</w:t>
      </w:r>
    </w:p>
    <w:p>
      <w:pPr>
        <w:spacing w:after="0" w:line="4" w:lineRule="exact"/>
        <w:rPr>
          <w:sz w:val="20"/>
          <w:szCs w:val="20"/>
          <w:color w:val="auto"/>
        </w:rPr>
      </w:pPr>
    </w:p>
    <w:p>
      <w:pPr>
        <w:ind w:left="1640" w:right="1979" w:hanging="638"/>
        <w:spacing w:after="0" w:line="262" w:lineRule="auto"/>
        <w:tabs>
          <w:tab w:leader="none" w:pos="1620" w:val="left"/>
        </w:tabs>
        <w:rPr>
          <w:sz w:val="20"/>
          <w:szCs w:val="20"/>
          <w:color w:val="auto"/>
        </w:rPr>
      </w:pPr>
      <w:r>
        <w:rPr>
          <w:rFonts w:ascii="Arial" w:cs="Arial" w:eastAsia="Arial" w:hAnsi="Arial"/>
          <w:sz w:val="16"/>
          <w:szCs w:val="16"/>
          <w:color w:val="auto"/>
        </w:rPr>
        <w:t>4.6(a)</w:t>
      </w:r>
      <w:r>
        <w:rPr>
          <w:sz w:val="20"/>
          <w:szCs w:val="20"/>
          <w:color w:val="auto"/>
        </w:rPr>
        <w:tab/>
      </w:r>
      <w:r>
        <w:rPr>
          <w:rFonts w:ascii="Arial" w:cs="Arial" w:eastAsia="Arial" w:hAnsi="Arial"/>
          <w:sz w:val="16"/>
          <w:szCs w:val="16"/>
          <w:color w:val="auto"/>
        </w:rPr>
        <w:t>First Supplemental Indenture, dated as of August 22, 1999, among the Company, the guarantors named therein and the United States Trust Company of New York, as trustee. (Incorporated by reference to Exhibit 4.6(a) of the Registration Statement on Form S-4 of Vail Resorts, Inc. (Registration No. 333-80621) including all amendments thereto.)</w:t>
      </w:r>
    </w:p>
    <w:p>
      <w:pPr>
        <w:spacing w:after="0" w:line="4" w:lineRule="exact"/>
        <w:rPr>
          <w:sz w:val="20"/>
          <w:szCs w:val="20"/>
          <w:color w:val="auto"/>
        </w:rPr>
      </w:pPr>
    </w:p>
    <w:p>
      <w:pPr>
        <w:ind w:left="1640" w:right="2059" w:hanging="638"/>
        <w:spacing w:after="0" w:line="300" w:lineRule="auto"/>
        <w:tabs>
          <w:tab w:leader="none" w:pos="1620" w:val="left"/>
        </w:tabs>
        <w:rPr>
          <w:sz w:val="20"/>
          <w:szCs w:val="20"/>
          <w:color w:val="auto"/>
        </w:rPr>
      </w:pPr>
      <w:r>
        <w:rPr>
          <w:rFonts w:ascii="Arial" w:cs="Arial" w:eastAsia="Arial" w:hAnsi="Arial"/>
          <w:sz w:val="16"/>
          <w:szCs w:val="16"/>
          <w:color w:val="auto"/>
        </w:rPr>
        <w:t>4.6(b)</w:t>
      </w:r>
      <w:r>
        <w:rPr>
          <w:sz w:val="20"/>
          <w:szCs w:val="20"/>
          <w:color w:val="auto"/>
        </w:rPr>
        <w:tab/>
      </w:r>
      <w:r>
        <w:rPr>
          <w:rFonts w:ascii="Arial" w:cs="Arial" w:eastAsia="Arial" w:hAnsi="Arial"/>
          <w:sz w:val="14"/>
          <w:szCs w:val="14"/>
          <w:color w:val="auto"/>
        </w:rPr>
        <w:t>Second Supplemental Indenture, dated as of November 16, 2001 to the Indenture dated May 11, 1999, among Vail Resorts, Inc., the guarantors therein and The Bank of New York, as successor trustee to United States Trust Company of New York. (Incorporated by reference to Exhibit 4.6(b) on Form 10-Q of Vail Resorts, Inc. for the quarter ended January 31, 2002, including all amendments thereto.)</w:t>
      </w:r>
    </w:p>
    <w:p>
      <w:pPr>
        <w:spacing w:after="0" w:line="2" w:lineRule="exact"/>
        <w:rPr>
          <w:sz w:val="20"/>
          <w:szCs w:val="20"/>
          <w:color w:val="auto"/>
        </w:rPr>
      </w:pPr>
    </w:p>
    <w:p>
      <w:pPr>
        <w:ind w:left="1640" w:right="1979" w:hanging="638"/>
        <w:spacing w:after="0" w:line="300" w:lineRule="auto"/>
        <w:tabs>
          <w:tab w:leader="none" w:pos="1620" w:val="left"/>
        </w:tabs>
        <w:rPr>
          <w:sz w:val="20"/>
          <w:szCs w:val="20"/>
          <w:color w:val="auto"/>
        </w:rPr>
      </w:pPr>
      <w:r>
        <w:rPr>
          <w:rFonts w:ascii="Arial" w:cs="Arial" w:eastAsia="Arial" w:hAnsi="Arial"/>
          <w:sz w:val="16"/>
          <w:szCs w:val="16"/>
          <w:color w:val="auto"/>
        </w:rPr>
        <w:t>4.6(c)</w:t>
      </w:r>
      <w:r>
        <w:rPr>
          <w:sz w:val="20"/>
          <w:szCs w:val="20"/>
          <w:color w:val="auto"/>
        </w:rPr>
        <w:tab/>
      </w:r>
      <w:r>
        <w:rPr>
          <w:rFonts w:ascii="Arial" w:cs="Arial" w:eastAsia="Arial" w:hAnsi="Arial"/>
          <w:sz w:val="14"/>
          <w:szCs w:val="14"/>
          <w:color w:val="auto"/>
        </w:rPr>
        <w:t>Third Supplemental Indenture, dated as of January 16, 2001, to the Indenture dated May 11, 1999, among Vail Resorts, Inc., the guarantors therein and the Bank of New York, as successor trustee to the United States Trust Company of New York. (Incorporated by reference to Exhibit 4.6(c) on Form 10-Q of Vail Resorts, Inc. for the quarter ended January 31, 2002, including all amendments thereto.)</w:t>
      </w:r>
    </w:p>
    <w:p>
      <w:pPr>
        <w:spacing w:after="0" w:line="2" w:lineRule="exact"/>
        <w:rPr>
          <w:sz w:val="20"/>
          <w:szCs w:val="20"/>
          <w:color w:val="auto"/>
        </w:rPr>
      </w:pPr>
    </w:p>
    <w:p>
      <w:pPr>
        <w:ind w:left="1640" w:right="1919" w:hanging="638"/>
        <w:spacing w:after="0" w:line="262" w:lineRule="auto"/>
        <w:tabs>
          <w:tab w:leader="none" w:pos="1620" w:val="left"/>
        </w:tabs>
        <w:rPr>
          <w:sz w:val="20"/>
          <w:szCs w:val="20"/>
          <w:color w:val="auto"/>
        </w:rPr>
      </w:pPr>
      <w:r>
        <w:rPr>
          <w:rFonts w:ascii="Arial" w:cs="Arial" w:eastAsia="Arial" w:hAnsi="Arial"/>
          <w:sz w:val="16"/>
          <w:szCs w:val="16"/>
          <w:color w:val="auto"/>
        </w:rPr>
        <w:t>4.6(d)</w:t>
      </w:r>
      <w:r>
        <w:rPr>
          <w:sz w:val="20"/>
          <w:szCs w:val="20"/>
          <w:color w:val="auto"/>
        </w:rPr>
        <w:tab/>
      </w:r>
      <w:r>
        <w:rPr>
          <w:rFonts w:ascii="Arial" w:cs="Arial" w:eastAsia="Arial" w:hAnsi="Arial"/>
          <w:sz w:val="16"/>
          <w:szCs w:val="16"/>
          <w:color w:val="auto"/>
        </w:rPr>
        <w:t>First Supplemental Indenture, dated as of January 16, 2001, to the Indenture dated November 21, 2001, among Vail Resorts Inc., the guarantors therein and The Bank of New York, as trustee. (Incorporated by reference to Exhibit 4.3 of the registration statement on Form S-4 of Gillett Holdings, Inc. (Registration No. 33-52854) including all amendments thereto.)</w:t>
      </w:r>
    </w:p>
    <w:p>
      <w:pPr>
        <w:spacing w:after="0" w:line="4" w:lineRule="exact"/>
        <w:rPr>
          <w:sz w:val="20"/>
          <w:szCs w:val="20"/>
          <w:color w:val="auto"/>
        </w:rPr>
      </w:pPr>
    </w:p>
    <w:p>
      <w:pPr>
        <w:jc w:val="both"/>
        <w:ind w:left="1640" w:right="1979" w:hanging="638"/>
        <w:spacing w:after="0" w:line="297" w:lineRule="auto"/>
        <w:tabs>
          <w:tab w:leader="none" w:pos="1620" w:val="left"/>
        </w:tabs>
        <w:rPr>
          <w:sz w:val="20"/>
          <w:szCs w:val="20"/>
          <w:color w:val="auto"/>
        </w:rPr>
      </w:pPr>
      <w:r>
        <w:rPr>
          <w:rFonts w:ascii="Arial" w:cs="Arial" w:eastAsia="Arial" w:hAnsi="Arial"/>
          <w:sz w:val="16"/>
          <w:szCs w:val="16"/>
          <w:color w:val="auto"/>
        </w:rPr>
        <w:t>4.6(e)</w:t>
      </w:r>
      <w:r>
        <w:rPr>
          <w:sz w:val="20"/>
          <w:szCs w:val="20"/>
          <w:color w:val="auto"/>
        </w:rPr>
        <w:tab/>
      </w:r>
      <w:r>
        <w:rPr>
          <w:rFonts w:ascii="Arial" w:cs="Arial" w:eastAsia="Arial" w:hAnsi="Arial"/>
          <w:sz w:val="14"/>
          <w:szCs w:val="14"/>
          <w:color w:val="auto"/>
        </w:rPr>
        <w:t>Fourth Supplemental Indenture, dated as of October 18, 2002, to the Indenture dated May 11, 1999, among Vail Resorts, Inc., the guarantors therein and the Bank of New York, as successor trustee to the United States Trust Company of New York.</w:t>
      </w:r>
    </w:p>
    <w:p>
      <w:pPr>
        <w:ind w:left="1640" w:right="2099"/>
        <w:spacing w:after="0" w:line="267" w:lineRule="auto"/>
        <w:rPr>
          <w:sz w:val="20"/>
          <w:szCs w:val="20"/>
          <w:color w:val="auto"/>
        </w:rPr>
      </w:pPr>
      <w:r>
        <w:rPr>
          <w:rFonts w:ascii="Arial" w:cs="Arial" w:eastAsia="Arial" w:hAnsi="Arial"/>
          <w:sz w:val="16"/>
          <w:szCs w:val="16"/>
          <w:color w:val="auto"/>
        </w:rPr>
        <w:t>(Incorporated by reference to Exhibit 4.6(e) on Form 10-Q of Vail Resorts, Inc. for the quarter ended October 31, 2002.)</w:t>
      </w:r>
    </w:p>
    <w:p>
      <w:pPr>
        <w:spacing w:after="0" w:line="1" w:lineRule="exact"/>
        <w:rPr>
          <w:sz w:val="20"/>
          <w:szCs w:val="20"/>
          <w:color w:val="auto"/>
        </w:rPr>
      </w:pPr>
    </w:p>
    <w:p>
      <w:pPr>
        <w:ind w:left="1640" w:right="1959" w:hanging="638"/>
        <w:spacing w:after="0" w:line="282" w:lineRule="auto"/>
        <w:tabs>
          <w:tab w:leader="none" w:pos="1620" w:val="left"/>
        </w:tabs>
        <w:rPr>
          <w:sz w:val="20"/>
          <w:szCs w:val="20"/>
          <w:color w:val="auto"/>
        </w:rPr>
      </w:pPr>
      <w:r>
        <w:rPr>
          <w:rFonts w:ascii="Arial" w:cs="Arial" w:eastAsia="Arial" w:hAnsi="Arial"/>
          <w:sz w:val="16"/>
          <w:szCs w:val="16"/>
          <w:color w:val="auto"/>
        </w:rPr>
        <w:t>4.6(f)</w:t>
      </w:r>
      <w:r>
        <w:rPr>
          <w:sz w:val="20"/>
          <w:szCs w:val="20"/>
          <w:color w:val="auto"/>
        </w:rPr>
        <w:tab/>
      </w:r>
      <w:r>
        <w:rPr>
          <w:rFonts w:ascii="Arial" w:cs="Arial" w:eastAsia="Arial" w:hAnsi="Arial"/>
          <w:sz w:val="15"/>
          <w:szCs w:val="15"/>
          <w:color w:val="auto"/>
        </w:rPr>
        <w:t>Second Supplemental Indenture, dates as of October 18, 2002, to the Indenture dated November 21, 2001, among Vail Resorts Inc., the guarantors therein and the Bank of New York, as trustee. (Incorporated by reference to Exhibit 4.6(f) on Form 10-Q of Vail Resorts, Inc. for the quarter ended October 31, 2002.)</w:t>
      </w:r>
    </w:p>
    <w:p>
      <w:pPr>
        <w:spacing w:after="0" w:line="1" w:lineRule="exact"/>
        <w:rPr>
          <w:sz w:val="20"/>
          <w:szCs w:val="20"/>
          <w:color w:val="auto"/>
        </w:rPr>
      </w:pPr>
    </w:p>
    <w:p>
      <w:pPr>
        <w:ind w:left="1640" w:right="1919" w:hanging="638"/>
        <w:spacing w:after="0" w:line="264" w:lineRule="auto"/>
        <w:tabs>
          <w:tab w:leader="none" w:pos="162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Management Agreement by and between Beaver Creek Resort Company of Colorado and Vail Associates, Inc. (Incorporated by reference to Exhibit 10.1 of the Registration Statement on Form S-4 of Gillett Holdings, Inc. (Registration No. 33-52854) including all amendments thereto.)</w:t>
      </w:r>
    </w:p>
    <w:p>
      <w:pPr>
        <w:spacing w:after="0" w:line="2" w:lineRule="exact"/>
        <w:rPr>
          <w:sz w:val="20"/>
          <w:szCs w:val="20"/>
          <w:color w:val="auto"/>
        </w:rPr>
      </w:pPr>
    </w:p>
    <w:p>
      <w:pPr>
        <w:ind w:left="1640" w:right="1999" w:hanging="638"/>
        <w:spacing w:after="0" w:line="305" w:lineRule="auto"/>
        <w:tabs>
          <w:tab w:leader="none" w:pos="162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4"/>
          <w:szCs w:val="14"/>
          <w:color w:val="auto"/>
        </w:rPr>
        <w:t>Forest Service Term Special Use Permit for Beaver Creek ski area. (Incorporated by reference to Exhibit 10.2 of the Registration Statement on Form S-4 of Gillett Holdings, Inc. (Registration No. 33-52854) including all amendments thereto.)</w:t>
      </w:r>
    </w:p>
    <w:p>
      <w:pPr>
        <w:spacing w:after="0" w:line="1" w:lineRule="exact"/>
        <w:rPr>
          <w:sz w:val="20"/>
          <w:szCs w:val="20"/>
          <w:color w:val="auto"/>
        </w:rPr>
      </w:pPr>
    </w:p>
    <w:p>
      <w:pPr>
        <w:jc w:val="both"/>
        <w:ind w:left="1640" w:right="2359" w:hanging="638"/>
        <w:spacing w:after="0" w:line="305" w:lineRule="auto"/>
        <w:tabs>
          <w:tab w:leader="none" w:pos="162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color w:val="auto"/>
        </w:rPr>
        <w:t>Forest Service Special Use Permit for Beaver Creek ski area. (Incorporated by reference to Exhibit 10.3 of the Registration Statement on Form S-4 of Gillett Holdings, Inc. (Registration No. 33-52854) including all amendments thereto.)</w:t>
      </w:r>
    </w:p>
    <w:p>
      <w:pPr>
        <w:spacing w:after="0" w:line="1" w:lineRule="exact"/>
        <w:rPr>
          <w:sz w:val="20"/>
          <w:szCs w:val="20"/>
          <w:color w:val="auto"/>
        </w:rPr>
      </w:pPr>
    </w:p>
    <w:p>
      <w:pPr>
        <w:jc w:val="both"/>
        <w:ind w:left="1640" w:right="1899" w:hanging="638"/>
        <w:spacing w:after="0" w:line="267" w:lineRule="auto"/>
        <w:tabs>
          <w:tab w:leader="none" w:pos="16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Forest Service Unified Permit for Vail ski area. (Incorporated by reference to Exhibit 10.4 of the Registration Statement on Form S-4 of Gillett Holdings, Inc. (Registration No. 33-52854) including all amendments thereto.)</w:t>
      </w:r>
    </w:p>
    <w:p>
      <w:pPr>
        <w:spacing w:after="0" w:line="1" w:lineRule="exact"/>
        <w:rPr>
          <w:sz w:val="20"/>
          <w:szCs w:val="20"/>
          <w:color w:val="auto"/>
        </w:rPr>
      </w:pPr>
    </w:p>
    <w:p>
      <w:pPr>
        <w:ind w:left="1640" w:right="1899" w:hanging="638"/>
        <w:spacing w:after="0" w:line="267" w:lineRule="auto"/>
        <w:tabs>
          <w:tab w:leader="none" w:pos="16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1993 Stock Option Plan of Gillett Holdings, Inc. (Incorporated by reference to Exhibit 10.20 of the report on Form 10-K of Gillett Holdings, Inc. for the period from October 9, 1992 through September 30, 1993.)</w:t>
      </w:r>
    </w:p>
    <w:p>
      <w:pPr>
        <w:spacing w:after="0" w:line="1" w:lineRule="exact"/>
        <w:rPr>
          <w:sz w:val="20"/>
          <w:szCs w:val="20"/>
          <w:color w:val="auto"/>
        </w:rPr>
      </w:pPr>
    </w:p>
    <w:p>
      <w:pPr>
        <w:ind w:left="1640" w:right="1959" w:hanging="638"/>
        <w:spacing w:after="0" w:line="285" w:lineRule="auto"/>
        <w:rPr>
          <w:sz w:val="20"/>
          <w:szCs w:val="20"/>
          <w:color w:val="auto"/>
        </w:rPr>
      </w:pPr>
      <w:r>
        <w:rPr>
          <w:rFonts w:ascii="Arial" w:cs="Arial" w:eastAsia="Arial" w:hAnsi="Arial"/>
          <w:sz w:val="15"/>
          <w:szCs w:val="15"/>
          <w:color w:val="auto"/>
        </w:rPr>
        <w:t>10.12(a) Employment Agreement dated October 30, 2001 by and between RockResorts International, LLC and Edward Mace. (Incorporated by reference to Exhibit 10.21 of the report on Form 10-K of Vail Resorts, Inc. for the year ended July 31, 2002.)</w:t>
      </w:r>
    </w:p>
    <w:p>
      <w:pPr>
        <w:ind w:left="1640" w:right="1919" w:hanging="638"/>
        <w:spacing w:after="0" w:line="264" w:lineRule="auto"/>
        <w:rPr>
          <w:sz w:val="20"/>
          <w:szCs w:val="20"/>
          <w:color w:val="auto"/>
        </w:rPr>
      </w:pPr>
      <w:r>
        <w:rPr>
          <w:rFonts w:ascii="Arial" w:cs="Arial" w:eastAsia="Arial" w:hAnsi="Arial"/>
          <w:sz w:val="16"/>
          <w:szCs w:val="16"/>
          <w:color w:val="auto"/>
        </w:rPr>
        <w:t>10.12(b) Addendum to the Employment Agreement dated October 30, 2001 by and between RockResorts International, LLC and Edward Mace. (Incorporated by reference to Exhibit 10.21 of the report on Form 10-K of Vail Resorts, Inc. for the year ended July 31, 2002.)</w:t>
      </w:r>
    </w:p>
    <w:p>
      <w:pPr>
        <w:spacing w:after="0" w:line="2" w:lineRule="exact"/>
        <w:rPr>
          <w:sz w:val="20"/>
          <w:szCs w:val="20"/>
          <w:color w:val="auto"/>
        </w:rPr>
      </w:pPr>
    </w:p>
    <w:p>
      <w:pPr>
        <w:ind w:left="1640" w:right="1899" w:hanging="638"/>
        <w:spacing w:after="0" w:line="305" w:lineRule="auto"/>
        <w:rPr>
          <w:sz w:val="20"/>
          <w:szCs w:val="20"/>
          <w:color w:val="auto"/>
        </w:rPr>
      </w:pPr>
      <w:r>
        <w:rPr>
          <w:rFonts w:ascii="Arial" w:cs="Arial" w:eastAsia="Arial" w:hAnsi="Arial"/>
          <w:sz w:val="14"/>
          <w:szCs w:val="14"/>
          <w:color w:val="auto"/>
        </w:rPr>
        <w:t>10.13(a) Employment Agreement dated October 1, 2000 by and between Vail Resorts, Inc., Vail Associates, Inc. and Andrew P. Daly. (Incorporated by reference to Exhibit 10.13 of the report on Form 10-K of Vail Resorts, Inc. for the year ended July 31, 2001.)</w:t>
      </w:r>
    </w:p>
    <w:p>
      <w:pPr>
        <w:spacing w:after="0" w:line="1" w:lineRule="exact"/>
        <w:rPr>
          <w:sz w:val="20"/>
          <w:szCs w:val="20"/>
          <w:color w:val="auto"/>
        </w:rPr>
      </w:pPr>
    </w:p>
    <w:p>
      <w:pPr>
        <w:ind w:left="1640" w:right="1899" w:hanging="638"/>
        <w:spacing w:after="0" w:line="305" w:lineRule="auto"/>
        <w:rPr>
          <w:sz w:val="20"/>
          <w:szCs w:val="20"/>
          <w:color w:val="auto"/>
        </w:rPr>
      </w:pPr>
      <w:r>
        <w:rPr>
          <w:rFonts w:ascii="Arial" w:cs="Arial" w:eastAsia="Arial" w:hAnsi="Arial"/>
          <w:sz w:val="14"/>
          <w:szCs w:val="14"/>
          <w:color w:val="auto"/>
        </w:rPr>
        <w:t>10.13(b) Separation Agreement dated October 31, 2002 by and between Vail Resorts, Inc., Vail Associates, Inc. and Andrew P. Daly. (Incorporated by reference to Exhibit 10.13(b) on Form 10-Q of Vail Resorts, Inc. for the quarter ended October 31, 2002.)</w:t>
      </w:r>
    </w:p>
    <w:p>
      <w:pPr>
        <w:spacing w:after="0" w:line="1" w:lineRule="exact"/>
        <w:rPr>
          <w:sz w:val="20"/>
          <w:szCs w:val="20"/>
          <w:color w:val="auto"/>
        </w:rPr>
      </w:pPr>
    </w:p>
    <w:p>
      <w:pPr>
        <w:ind w:left="1640" w:right="1959" w:hanging="638"/>
        <w:spacing w:after="0" w:line="305" w:lineRule="auto"/>
        <w:rPr>
          <w:sz w:val="20"/>
          <w:szCs w:val="20"/>
          <w:color w:val="auto"/>
        </w:rPr>
      </w:pPr>
      <w:r>
        <w:rPr>
          <w:rFonts w:ascii="Arial" w:cs="Arial" w:eastAsia="Arial" w:hAnsi="Arial"/>
          <w:sz w:val="14"/>
          <w:szCs w:val="14"/>
          <w:color w:val="auto"/>
        </w:rPr>
        <w:t>10.14(a) Employment Agreement dated July 29, 1996 between Vail Resorts, Inc. and Adam M. Aron. (Incorporated by reference to Exhibit 10.21 of the report on Form S-2/A of Vail Resorts, Inc. (Registration # 333-5341) including all amendments thereto.)</w:t>
      </w:r>
    </w:p>
    <w:p>
      <w:pPr>
        <w:spacing w:after="0" w:line="1" w:lineRule="exact"/>
        <w:rPr>
          <w:sz w:val="20"/>
          <w:szCs w:val="20"/>
          <w:color w:val="auto"/>
        </w:rPr>
      </w:pPr>
    </w:p>
    <w:p>
      <w:pPr>
        <w:jc w:val="both"/>
        <w:ind w:left="1640" w:right="1919" w:hanging="638"/>
        <w:spacing w:after="0" w:line="285" w:lineRule="auto"/>
        <w:rPr>
          <w:sz w:val="20"/>
          <w:szCs w:val="20"/>
          <w:color w:val="auto"/>
        </w:rPr>
      </w:pPr>
      <w:r>
        <w:rPr>
          <w:rFonts w:ascii="Arial" w:cs="Arial" w:eastAsia="Arial" w:hAnsi="Arial"/>
          <w:sz w:val="15"/>
          <w:szCs w:val="15"/>
          <w:color w:val="auto"/>
        </w:rPr>
        <w:t>10.14(b) Amendment to the Employment Agreement dated May 1, 2001 between Vail Resorts, Inc. and Adam M. Aron. (Incorporated by reference to Exhibit 10.14(b) of the report on form 10-K of Vail Resorts, Inc. for the year ended July 31, 2001.)</w:t>
      </w:r>
    </w:p>
    <w:p>
      <w:pPr>
        <w:ind w:left="1640" w:right="1959" w:hanging="638"/>
        <w:spacing w:after="0" w:line="285" w:lineRule="auto"/>
        <w:rPr>
          <w:sz w:val="20"/>
          <w:szCs w:val="20"/>
          <w:color w:val="auto"/>
        </w:rPr>
      </w:pPr>
      <w:r>
        <w:rPr>
          <w:rFonts w:ascii="Arial" w:cs="Arial" w:eastAsia="Arial" w:hAnsi="Arial"/>
          <w:sz w:val="15"/>
          <w:szCs w:val="15"/>
          <w:color w:val="auto"/>
        </w:rPr>
        <w:t>10.15(a) Shareholder Agreement among Vail Resorts, Inc., Ralston Foods, Inc., and Apollo Ski Partners, L.P. dated January 3, 1997. (Incorporated by reference to Exhibit 2.4 of the report on Form 8-K of Vail Resorts, Inc. dated January 8, 1997.)</w:t>
      </w:r>
    </w:p>
    <w:p>
      <w:pPr>
        <w:ind w:left="1000"/>
        <w:spacing w:after="0"/>
        <w:rPr>
          <w:sz w:val="20"/>
          <w:szCs w:val="20"/>
          <w:color w:val="auto"/>
        </w:rPr>
      </w:pPr>
      <w:r>
        <w:rPr>
          <w:rFonts w:ascii="Arial" w:cs="Arial" w:eastAsia="Arial" w:hAnsi="Arial"/>
          <w:sz w:val="16"/>
          <w:szCs w:val="16"/>
          <w:color w:val="auto"/>
        </w:rPr>
        <w:t>10.15(b)</w:t>
      </w:r>
    </w:p>
    <w:p>
      <w:pPr>
        <w:sectPr>
          <w:pgSz w:w="11900" w:h="16838" w:orient="portrait"/>
          <w:cols w:equalWidth="0" w:num="1">
            <w:col w:w="9019"/>
          </w:cols>
          <w:pgMar w:left="1440" w:top="131" w:right="1440" w:bottom="0" w:gutter="0" w:footer="0" w:header="0"/>
        </w:sectPr>
      </w:pPr>
    </w:p>
    <w:bookmarkStart w:id="21" w:name="page22"/>
    <w:bookmarkEnd w:id="21"/>
    <w:p>
      <w:pPr>
        <w:ind w:left="2829" w:right="1959"/>
        <w:spacing w:after="0" w:line="302" w:lineRule="auto"/>
        <w:rPr>
          <w:sz w:val="20"/>
          <w:szCs w:val="20"/>
          <w:color w:val="auto"/>
        </w:rPr>
      </w:pPr>
      <w:r>
        <w:rPr>
          <w:rFonts w:ascii="Arial" w:cs="Arial" w:eastAsia="Arial" w:hAnsi="Arial"/>
          <w:sz w:val="14"/>
          <w:szCs w:val="14"/>
          <w:color w:val="auto"/>
        </w:rPr>
        <w:t>First Amendment to the Shareholder Agreement dated as of November 1, 1999, among Vail Resorts, Inc., Ralcorp Holdings, Inc. (f/k/a Ralston Foods, Inc.) and Apollo Ski Partners, L.P. (Incorporated by reference to Exhibit 10.17(b) of the report on Form 10-Q of Vail Resorts, Inc. for the quarter ended January 31, 2000.)</w:t>
      </w:r>
    </w:p>
    <w:p>
      <w:pPr>
        <w:spacing w:after="0" w:line="1" w:lineRule="exact"/>
        <w:rPr>
          <w:sz w:val="20"/>
          <w:szCs w:val="20"/>
          <w:color w:val="auto"/>
        </w:rPr>
      </w:pPr>
    </w:p>
    <w:p>
      <w:pPr>
        <w:ind w:left="2829" w:right="1959" w:hanging="638"/>
        <w:spacing w:after="0" w:line="272" w:lineRule="auto"/>
        <w:tabs>
          <w:tab w:leader="none" w:pos="2809"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6"/>
          <w:szCs w:val="16"/>
          <w:color w:val="auto"/>
        </w:rPr>
        <w:t>1996 Stock Option Plan (Incorporated by reference from the Company's Registration Statement on Form S-3, File No. 333-5341).</w:t>
      </w:r>
    </w:p>
    <w:p>
      <w:pPr>
        <w:spacing w:after="0" w:line="1" w:lineRule="exact"/>
        <w:rPr>
          <w:sz w:val="20"/>
          <w:szCs w:val="20"/>
          <w:color w:val="auto"/>
        </w:rPr>
      </w:pPr>
    </w:p>
    <w:p>
      <w:pPr>
        <w:ind w:left="2829" w:right="2079" w:hanging="638"/>
        <w:spacing w:after="0" w:line="267" w:lineRule="auto"/>
        <w:tabs>
          <w:tab w:leader="none" w:pos="2809"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6"/>
          <w:szCs w:val="16"/>
          <w:color w:val="auto"/>
        </w:rPr>
        <w:t>2002 Long Term Incentive and Share Award Plan. (Incorporated by reference to Exhibit 10.17 on Form 10-Q of Vail Resorts, Inc. for the quarter ended October 31, 2002.)</w:t>
      </w:r>
    </w:p>
    <w:p>
      <w:pPr>
        <w:spacing w:after="0" w:line="1" w:lineRule="exact"/>
        <w:rPr>
          <w:sz w:val="20"/>
          <w:szCs w:val="20"/>
          <w:color w:val="auto"/>
        </w:rPr>
      </w:pPr>
    </w:p>
    <w:p>
      <w:pPr>
        <w:ind w:left="2829" w:right="1999" w:hanging="638"/>
        <w:spacing w:after="0" w:line="264" w:lineRule="auto"/>
        <w:rPr>
          <w:sz w:val="20"/>
          <w:szCs w:val="20"/>
          <w:color w:val="auto"/>
        </w:rPr>
      </w:pPr>
      <w:r>
        <w:rPr>
          <w:rFonts w:ascii="Arial" w:cs="Arial" w:eastAsia="Arial" w:hAnsi="Arial"/>
          <w:sz w:val="16"/>
          <w:szCs w:val="16"/>
          <w:color w:val="auto"/>
        </w:rPr>
        <w:t>10.18(a) Sports and Housing Facilities Financing Agreement between the Vail Corporation (d/b/a "Vail Associates, Inc.") and Eagle County, Colorado, dated April 1, 1998. (Incorporated by reference to Exhibit 10 of the report on Form 10-Q of Vail Resorts, Inc. for the quarter ended April 30, 1998.)</w:t>
      </w:r>
    </w:p>
    <w:p>
      <w:pPr>
        <w:spacing w:after="0" w:line="2" w:lineRule="exact"/>
        <w:rPr>
          <w:sz w:val="20"/>
          <w:szCs w:val="20"/>
          <w:color w:val="auto"/>
        </w:rPr>
      </w:pPr>
    </w:p>
    <w:p>
      <w:pPr>
        <w:ind w:left="2829" w:right="1899" w:hanging="638"/>
        <w:spacing w:after="0" w:line="282" w:lineRule="auto"/>
        <w:rPr>
          <w:sz w:val="20"/>
          <w:szCs w:val="20"/>
          <w:color w:val="auto"/>
        </w:rPr>
      </w:pPr>
      <w:r>
        <w:rPr>
          <w:rFonts w:ascii="Arial" w:cs="Arial" w:eastAsia="Arial" w:hAnsi="Arial"/>
          <w:sz w:val="15"/>
          <w:szCs w:val="15"/>
          <w:color w:val="auto"/>
        </w:rPr>
        <w:t>10.18(b) Trust Indenture dated as of April 1, 1998 securing Sports and Housing Facilities Revenue Refunding Bonds by and between Eagle County, Colorado and U.S. Bank, N.A., as Trustee. (Incorporated by reference to Exhibit 10.1 of the report on Form 10-Q of Vail Resorts, Inc. for the quarter ended April 30, 1998.)</w:t>
      </w:r>
    </w:p>
    <w:p>
      <w:pPr>
        <w:spacing w:after="0" w:line="1" w:lineRule="exact"/>
        <w:rPr>
          <w:sz w:val="20"/>
          <w:szCs w:val="20"/>
          <w:color w:val="auto"/>
        </w:rPr>
      </w:pPr>
    </w:p>
    <w:p>
      <w:pPr>
        <w:ind w:left="2829" w:right="2139" w:hanging="638"/>
        <w:spacing w:after="0" w:line="305" w:lineRule="auto"/>
        <w:tabs>
          <w:tab w:leader="none" w:pos="2809"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4"/>
          <w:szCs w:val="14"/>
          <w:color w:val="auto"/>
        </w:rPr>
        <w:t>Credit agreement dated December 30, 1998 between SSI Venture LLC and NationsBank of Texas, N.A., (Incorporated by reference to Exhibit 10.24 of the report on Form 10-Q of Vail Resorts, Inc. for the quarter ended January 31, 1999.)</w:t>
      </w:r>
    </w:p>
    <w:p>
      <w:pPr>
        <w:spacing w:after="0" w:line="1" w:lineRule="exact"/>
        <w:rPr>
          <w:sz w:val="20"/>
          <w:szCs w:val="20"/>
          <w:color w:val="auto"/>
        </w:rPr>
      </w:pPr>
    </w:p>
    <w:p>
      <w:pPr>
        <w:ind w:left="2829" w:right="1899" w:hanging="638"/>
        <w:spacing w:after="0" w:line="262" w:lineRule="auto"/>
        <w:tabs>
          <w:tab w:leader="none" w:pos="2809" w:val="left"/>
        </w:tabs>
        <w:rPr>
          <w:sz w:val="20"/>
          <w:szCs w:val="20"/>
          <w:color w:val="auto"/>
        </w:rPr>
      </w:pPr>
      <w:r>
        <w:rPr>
          <w:rFonts w:ascii="Arial" w:cs="Arial" w:eastAsia="Arial" w:hAnsi="Arial"/>
          <w:sz w:val="16"/>
          <w:szCs w:val="16"/>
          <w:color w:val="auto"/>
        </w:rPr>
        <w:t>10.20</w:t>
      </w:r>
      <w:r>
        <w:rPr>
          <w:sz w:val="20"/>
          <w:szCs w:val="20"/>
          <w:color w:val="auto"/>
        </w:rPr>
        <w:tab/>
      </w:r>
      <w:r>
        <w:rPr>
          <w:rFonts w:ascii="Arial" w:cs="Arial" w:eastAsia="Arial" w:hAnsi="Arial"/>
          <w:sz w:val="16"/>
          <w:szCs w:val="16"/>
          <w:color w:val="auto"/>
        </w:rPr>
        <w:t>Second Amendment to Amended and Restated Credit Agreement among The Vail Corporation (d/b/a "Vail Associates, Inc."), Borrower, Bank of America, N.A., Agent, and the other lenders party thereto dated as of November 13, 2001. (Incorporated by reference to Exhibit 10.20 of the report on Form 10-Q of Vail Resorts, Inc. for the quarter ended January 31, 2002.)</w:t>
      </w:r>
    </w:p>
    <w:p>
      <w:pPr>
        <w:spacing w:after="0" w:line="4" w:lineRule="exact"/>
        <w:rPr>
          <w:sz w:val="20"/>
          <w:szCs w:val="20"/>
          <w:color w:val="auto"/>
        </w:rPr>
      </w:pPr>
    </w:p>
    <w:p>
      <w:pPr>
        <w:ind w:left="2829" w:right="1899" w:hanging="638"/>
        <w:spacing w:after="0" w:line="262" w:lineRule="auto"/>
        <w:tabs>
          <w:tab w:leader="none" w:pos="2809" w:val="left"/>
        </w:tabs>
        <w:rPr>
          <w:sz w:val="20"/>
          <w:szCs w:val="20"/>
          <w:color w:val="auto"/>
        </w:rPr>
      </w:pPr>
      <w:r>
        <w:rPr>
          <w:rFonts w:ascii="Arial" w:cs="Arial" w:eastAsia="Arial" w:hAnsi="Arial"/>
          <w:sz w:val="16"/>
          <w:szCs w:val="16"/>
          <w:color w:val="auto"/>
        </w:rPr>
        <w:t>10.21</w:t>
      </w:r>
      <w:r>
        <w:rPr>
          <w:sz w:val="20"/>
          <w:szCs w:val="20"/>
          <w:color w:val="auto"/>
        </w:rPr>
        <w:tab/>
      </w:r>
      <w:r>
        <w:rPr>
          <w:rFonts w:ascii="Arial" w:cs="Arial" w:eastAsia="Arial" w:hAnsi="Arial"/>
          <w:sz w:val="16"/>
          <w:szCs w:val="16"/>
          <w:color w:val="auto"/>
        </w:rPr>
        <w:t>First Amendment to Second Amended and Restated Credit Agreement among the Vail Corporation (d/b/a "Vail Associates, Inc."), Borrower, Bank or America, N.A., Agent, and the other lenders party thereto dated as of October 28, 2002. (Incorporated by reference to Exhibit 10.21 of the report on Form 10-K of Vail Resorts, Inc. for the year ended July 31, 2002.)</w:t>
      </w:r>
    </w:p>
    <w:p>
      <w:pPr>
        <w:spacing w:after="0" w:line="4" w:lineRule="exact"/>
        <w:rPr>
          <w:sz w:val="20"/>
          <w:szCs w:val="20"/>
          <w:color w:val="auto"/>
        </w:rPr>
      </w:pPr>
    </w:p>
    <w:p>
      <w:pPr>
        <w:jc w:val="both"/>
        <w:ind w:left="2829" w:right="2059" w:hanging="638"/>
        <w:spacing w:after="0" w:line="305" w:lineRule="auto"/>
        <w:tabs>
          <w:tab w:leader="none" w:pos="2809" w:val="left"/>
        </w:tabs>
        <w:rPr>
          <w:sz w:val="20"/>
          <w:szCs w:val="20"/>
          <w:color w:val="auto"/>
        </w:rPr>
      </w:pPr>
      <w:r>
        <w:rPr>
          <w:rFonts w:ascii="Arial" w:cs="Arial" w:eastAsia="Arial" w:hAnsi="Arial"/>
          <w:sz w:val="16"/>
          <w:szCs w:val="16"/>
          <w:color w:val="auto"/>
        </w:rPr>
        <w:t>10.22</w:t>
      </w:r>
      <w:r>
        <w:rPr>
          <w:sz w:val="20"/>
          <w:szCs w:val="20"/>
          <w:color w:val="auto"/>
        </w:rPr>
        <w:tab/>
      </w:r>
      <w:r>
        <w:rPr>
          <w:rFonts w:ascii="Arial" w:cs="Arial" w:eastAsia="Arial" w:hAnsi="Arial"/>
          <w:sz w:val="14"/>
          <w:szCs w:val="14"/>
          <w:color w:val="auto"/>
        </w:rPr>
        <w:t>Employment Agreement dated October 28, 1996 by and between Vail Resorts, Inc. and James P. Donohue. (Incorporated by reference to Exhibit 10.24 of the report on Form 10-Q of Vail Resorts, Inc. for the quarter ended October 31, 1999.)</w:t>
      </w:r>
    </w:p>
    <w:p>
      <w:pPr>
        <w:spacing w:after="0" w:line="1" w:lineRule="exact"/>
        <w:rPr>
          <w:sz w:val="20"/>
          <w:szCs w:val="20"/>
          <w:color w:val="auto"/>
        </w:rPr>
      </w:pPr>
    </w:p>
    <w:p>
      <w:pPr>
        <w:jc w:val="right"/>
        <w:ind w:left="2189" w:right="1939"/>
        <w:spacing w:after="0" w:line="290" w:lineRule="auto"/>
        <w:rPr>
          <w:sz w:val="20"/>
          <w:szCs w:val="20"/>
          <w:color w:val="auto"/>
        </w:rPr>
      </w:pPr>
      <w:r>
        <w:rPr>
          <w:rFonts w:ascii="Arial" w:cs="Arial" w:eastAsia="Arial" w:hAnsi="Arial"/>
          <w:sz w:val="15"/>
          <w:szCs w:val="15"/>
          <w:color w:val="auto"/>
        </w:rPr>
        <w:t>10.23    Vail Resorts, Inc. 1999 Long Term Incentive and Share Award Plan. (Incorporated by reference to the Company's registration statement on Form S-8, File No. 333-32320.)</w:t>
      </w:r>
    </w:p>
    <w:p>
      <w:pPr>
        <w:spacing w:after="0" w:line="1" w:lineRule="exact"/>
        <w:rPr>
          <w:sz w:val="20"/>
          <w:szCs w:val="20"/>
          <w:color w:val="auto"/>
        </w:rPr>
      </w:pPr>
    </w:p>
    <w:p>
      <w:pPr>
        <w:ind w:left="2829" w:right="2359" w:hanging="638"/>
        <w:spacing w:after="0" w:line="285" w:lineRule="auto"/>
        <w:tabs>
          <w:tab w:leader="none" w:pos="2809"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5"/>
          <w:szCs w:val="15"/>
          <w:color w:val="auto"/>
        </w:rPr>
        <w:t>Vail Resorts Deferred Compensation Plan effective as of October 1, 2000. (Incorporated by reference to Exhibit 10.23 of the report on Form 10-K of Vail Resorts, Inc. for the fiscal year ended July 31, 2000.)</w:t>
      </w:r>
    </w:p>
    <w:p>
      <w:pPr>
        <w:ind w:left="2829" w:right="2159" w:hanging="648"/>
        <w:spacing w:after="0" w:line="311" w:lineRule="auto"/>
        <w:tabs>
          <w:tab w:leader="none" w:pos="2829" w:val="left"/>
        </w:tabs>
        <w:numPr>
          <w:ilvl w:val="0"/>
          <w:numId w:val="11"/>
        </w:numPr>
        <w:rPr>
          <w:rFonts w:ascii="Arial" w:cs="Arial" w:eastAsia="Arial" w:hAnsi="Arial"/>
          <w:sz w:val="14"/>
          <w:szCs w:val="14"/>
          <w:color w:val="auto"/>
        </w:rPr>
      </w:pPr>
      <w:r>
        <w:rPr>
          <w:rFonts w:ascii="Arial" w:cs="Arial" w:eastAsia="Arial" w:hAnsi="Arial"/>
          <w:sz w:val="14"/>
          <w:szCs w:val="14"/>
          <w:color w:val="auto"/>
        </w:rPr>
        <w:t>Subsidiaries of Vail Resorts, Inc. (Incorporated by reference to Exhibit 21 of the report on Form 10-K of Vail Resorts, Inc. for the fiscal year ended July 31, 2001.)</w:t>
      </w:r>
    </w:p>
    <w:p>
      <w:pPr>
        <w:spacing w:after="0" w:line="1" w:lineRule="exact"/>
        <w:rPr>
          <w:sz w:val="20"/>
          <w:szCs w:val="20"/>
          <w:color w:val="auto"/>
        </w:rPr>
      </w:pPr>
    </w:p>
    <w:p>
      <w:pPr>
        <w:ind w:left="2829" w:right="2059" w:hanging="638"/>
        <w:spacing w:after="0" w:line="267" w:lineRule="auto"/>
        <w:tabs>
          <w:tab w:leader="none" w:pos="2809"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6"/>
          <w:szCs w:val="16"/>
          <w:color w:val="auto"/>
        </w:rPr>
        <w:t>Consent of Independent Accountants for report dated October 28, 2002 for Vail Resorts, Inc. (Incorporated by reference to Exhibit 23.1 of the report on Form 10-K of Vail Resorts, Inc. for the year ended July 31, 2002.)</w:t>
      </w:r>
    </w:p>
    <w:p>
      <w:pPr>
        <w:spacing w:after="0" w:line="1" w:lineRule="exact"/>
        <w:rPr>
          <w:sz w:val="20"/>
          <w:szCs w:val="20"/>
          <w:color w:val="auto"/>
        </w:rPr>
      </w:pPr>
    </w:p>
    <w:p>
      <w:pPr>
        <w:jc w:val="both"/>
        <w:ind w:left="2829" w:right="2119" w:hanging="638"/>
        <w:spacing w:after="0" w:line="267" w:lineRule="auto"/>
        <w:tabs>
          <w:tab w:leader="none" w:pos="2809" w:val="left"/>
        </w:tabs>
        <w:rPr>
          <w:sz w:val="20"/>
          <w:szCs w:val="20"/>
          <w:color w:val="auto"/>
        </w:rPr>
      </w:pPr>
      <w:r>
        <w:rPr>
          <w:rFonts w:ascii="Arial" w:cs="Arial" w:eastAsia="Arial" w:hAnsi="Arial"/>
          <w:sz w:val="16"/>
          <w:szCs w:val="16"/>
          <w:color w:val="auto"/>
        </w:rPr>
        <w:t>99.1</w:t>
      </w:r>
      <w:r>
        <w:rPr>
          <w:sz w:val="20"/>
          <w:szCs w:val="20"/>
          <w:color w:val="auto"/>
        </w:rPr>
        <w:tab/>
      </w:r>
      <w:r>
        <w:rPr>
          <w:rFonts w:ascii="Arial" w:cs="Arial" w:eastAsia="Arial" w:hAnsi="Arial"/>
          <w:sz w:val="16"/>
          <w:szCs w:val="16"/>
          <w:color w:val="auto"/>
        </w:rPr>
        <w:t>Forest Service Unified Permit for Heavenly ski area. (Incorporated by reference to Exhibit 99.1 of the report on Form 10-Q of Vail Resorts, Inc. for the quarter ended April 30, 2002.)</w:t>
      </w:r>
    </w:p>
    <w:p>
      <w:pPr>
        <w:spacing w:after="0" w:line="1" w:lineRule="exact"/>
        <w:rPr>
          <w:sz w:val="20"/>
          <w:szCs w:val="20"/>
          <w:color w:val="auto"/>
        </w:rPr>
      </w:pPr>
    </w:p>
    <w:p>
      <w:pPr>
        <w:ind w:left="2829" w:right="1979" w:hanging="638"/>
        <w:spacing w:after="0" w:line="267" w:lineRule="auto"/>
        <w:tabs>
          <w:tab w:leader="none" w:pos="2809" w:val="left"/>
        </w:tabs>
        <w:rPr>
          <w:sz w:val="20"/>
          <w:szCs w:val="20"/>
          <w:color w:val="auto"/>
        </w:rPr>
      </w:pPr>
      <w:r>
        <w:rPr>
          <w:rFonts w:ascii="Arial" w:cs="Arial" w:eastAsia="Arial" w:hAnsi="Arial"/>
          <w:sz w:val="16"/>
          <w:szCs w:val="16"/>
          <w:color w:val="auto"/>
        </w:rPr>
        <w:t>99.2(a)</w:t>
        <w:tab/>
        <w:t>Forest Service Unified Permit for Keystone ski area. (Incorporated by reference to Exhibit 99.2(a) on Form 10-Q of Vail Resorts, Inc. for the quarter ended October 31, 2002.)</w:t>
      </w:r>
    </w:p>
    <w:p>
      <w:pPr>
        <w:spacing w:after="0" w:line="1" w:lineRule="exact"/>
        <w:rPr>
          <w:sz w:val="20"/>
          <w:szCs w:val="20"/>
          <w:color w:val="auto"/>
        </w:rPr>
      </w:pPr>
    </w:p>
    <w:p>
      <w:pPr>
        <w:jc w:val="both"/>
        <w:ind w:left="2829" w:right="1919" w:hanging="638"/>
        <w:spacing w:after="0" w:line="267" w:lineRule="auto"/>
        <w:tabs>
          <w:tab w:leader="none" w:pos="2809" w:val="left"/>
        </w:tabs>
        <w:rPr>
          <w:sz w:val="20"/>
          <w:szCs w:val="20"/>
          <w:color w:val="auto"/>
        </w:rPr>
      </w:pPr>
      <w:r>
        <w:rPr>
          <w:rFonts w:ascii="Arial" w:cs="Arial" w:eastAsia="Arial" w:hAnsi="Arial"/>
          <w:sz w:val="16"/>
          <w:szCs w:val="16"/>
          <w:color w:val="auto"/>
        </w:rPr>
        <w:t>99.2(b)</w:t>
        <w:tab/>
        <w:t>Amendment to Forest Service Unified Permit for Keystone ski area. (Incorporated by reference to Exhibit 99.2(b) on Form 10-Q of Vail Resorts, Inc. for the quarter ended October 31, 2002.)</w:t>
      </w:r>
    </w:p>
    <w:p>
      <w:pPr>
        <w:spacing w:after="0" w:line="1" w:lineRule="exact"/>
        <w:rPr>
          <w:sz w:val="20"/>
          <w:szCs w:val="20"/>
          <w:color w:val="auto"/>
        </w:rPr>
      </w:pPr>
    </w:p>
    <w:p>
      <w:pPr>
        <w:jc w:val="both"/>
        <w:ind w:left="2829" w:right="2039" w:hanging="638"/>
        <w:spacing w:after="0" w:line="267" w:lineRule="auto"/>
        <w:tabs>
          <w:tab w:leader="none" w:pos="2809" w:val="left"/>
        </w:tabs>
        <w:rPr>
          <w:sz w:val="20"/>
          <w:szCs w:val="20"/>
          <w:color w:val="auto"/>
        </w:rPr>
      </w:pPr>
      <w:r>
        <w:rPr>
          <w:rFonts w:ascii="Arial" w:cs="Arial" w:eastAsia="Arial" w:hAnsi="Arial"/>
          <w:sz w:val="16"/>
          <w:szCs w:val="16"/>
          <w:color w:val="auto"/>
        </w:rPr>
        <w:t>99.3(a)</w:t>
        <w:tab/>
        <w:t>Forest Service Unified Permit for Breckenridge ski area. (Incorporated by reference to Exhibit 99.3(a) on Form 10-Q of Vail Resorts, Inc. for the quarter ended October 31, 2002.)</w:t>
      </w:r>
    </w:p>
    <w:p>
      <w:pPr>
        <w:spacing w:after="0" w:line="1" w:lineRule="exact"/>
        <w:rPr>
          <w:sz w:val="20"/>
          <w:szCs w:val="20"/>
          <w:color w:val="auto"/>
        </w:rPr>
      </w:pPr>
    </w:p>
    <w:p>
      <w:pPr>
        <w:ind w:left="2829" w:right="2019" w:hanging="638"/>
        <w:spacing w:after="0" w:line="267" w:lineRule="auto"/>
        <w:tabs>
          <w:tab w:leader="none" w:pos="2809" w:val="left"/>
        </w:tabs>
        <w:rPr>
          <w:sz w:val="20"/>
          <w:szCs w:val="20"/>
          <w:color w:val="auto"/>
        </w:rPr>
      </w:pPr>
      <w:r>
        <w:rPr>
          <w:rFonts w:ascii="Arial" w:cs="Arial" w:eastAsia="Arial" w:hAnsi="Arial"/>
          <w:sz w:val="16"/>
          <w:szCs w:val="16"/>
          <w:color w:val="auto"/>
        </w:rPr>
        <w:t>99.3(b)</w:t>
        <w:tab/>
        <w:t>Amendment to Forest Service Unified Permit for Breckenridge ski area. (Incorporated by reference to Exhibit 99.3(b) on Form 10-Q of Vail Resorts, Inc. for the quarter ended October 31, 2002.)</w:t>
      </w:r>
    </w:p>
    <w:p>
      <w:pPr>
        <w:spacing w:after="0" w:line="1" w:lineRule="exact"/>
        <w:rPr>
          <w:sz w:val="20"/>
          <w:szCs w:val="20"/>
          <w:color w:val="auto"/>
        </w:rPr>
      </w:pPr>
    </w:p>
    <w:p>
      <w:pPr>
        <w:jc w:val="both"/>
        <w:ind w:left="2829" w:right="2019" w:hanging="638"/>
        <w:spacing w:after="0" w:line="267" w:lineRule="auto"/>
        <w:tabs>
          <w:tab w:leader="none" w:pos="2809" w:val="left"/>
        </w:tabs>
        <w:rPr>
          <w:sz w:val="20"/>
          <w:szCs w:val="20"/>
          <w:color w:val="auto"/>
        </w:rPr>
      </w:pPr>
      <w:r>
        <w:rPr>
          <w:rFonts w:ascii="Arial" w:cs="Arial" w:eastAsia="Arial" w:hAnsi="Arial"/>
          <w:sz w:val="16"/>
          <w:szCs w:val="16"/>
          <w:color w:val="auto"/>
        </w:rPr>
        <w:t>99.4(a)</w:t>
        <w:tab/>
        <w:t>Forest Service Unified Permit for Beaver Creek ski area. (Incorporated by reference to Exhibit 99.4(a) on Form 10-Q of Vail Resorts, Inc. for the quarter ended October 31, 2002.)</w:t>
      </w:r>
    </w:p>
    <w:p>
      <w:pPr>
        <w:spacing w:after="0" w:line="1" w:lineRule="exact"/>
        <w:rPr>
          <w:sz w:val="20"/>
          <w:szCs w:val="20"/>
          <w:color w:val="auto"/>
        </w:rPr>
      </w:pPr>
    </w:p>
    <w:p>
      <w:pPr>
        <w:jc w:val="both"/>
        <w:ind w:left="2829" w:right="1919" w:hanging="638"/>
        <w:spacing w:after="0" w:line="267" w:lineRule="auto"/>
        <w:tabs>
          <w:tab w:leader="none" w:pos="2809" w:val="left"/>
        </w:tabs>
        <w:rPr>
          <w:sz w:val="20"/>
          <w:szCs w:val="20"/>
          <w:color w:val="auto"/>
        </w:rPr>
      </w:pPr>
      <w:r>
        <w:rPr>
          <w:rFonts w:ascii="Arial" w:cs="Arial" w:eastAsia="Arial" w:hAnsi="Arial"/>
          <w:sz w:val="16"/>
          <w:szCs w:val="16"/>
          <w:color w:val="auto"/>
        </w:rPr>
        <w:t>99.4(b)</w:t>
        <w:tab/>
        <w:t>Exhibits to Forest Service Unified Permit for Beaver Creek ski area. (Incorporated by reference to Exhibit 99.4(b) on Form 10-Q of Vail Resorts, Inc. for the quarter ended October 31, 2002.)</w:t>
      </w:r>
    </w:p>
    <w:p>
      <w:pPr>
        <w:spacing w:after="0" w:line="1" w:lineRule="exact"/>
        <w:rPr>
          <w:sz w:val="20"/>
          <w:szCs w:val="20"/>
          <w:color w:val="auto"/>
        </w:rPr>
      </w:pPr>
    </w:p>
    <w:p>
      <w:pPr>
        <w:ind w:left="2189"/>
        <w:spacing w:after="0"/>
        <w:tabs>
          <w:tab w:leader="none" w:pos="2809" w:val="left"/>
        </w:tabs>
        <w:rPr>
          <w:sz w:val="20"/>
          <w:szCs w:val="20"/>
          <w:color w:val="auto"/>
        </w:rPr>
      </w:pPr>
      <w:r>
        <w:rPr>
          <w:rFonts w:ascii="Arial" w:cs="Arial" w:eastAsia="Arial" w:hAnsi="Arial"/>
          <w:sz w:val="16"/>
          <w:szCs w:val="16"/>
          <w:color w:val="auto"/>
        </w:rPr>
        <w:t>99.5(a)</w:t>
      </w:r>
      <w:r>
        <w:rPr>
          <w:sz w:val="20"/>
          <w:szCs w:val="20"/>
          <w:color w:val="auto"/>
        </w:rPr>
        <w:tab/>
      </w:r>
      <w:r>
        <w:rPr>
          <w:rFonts w:ascii="Arial" w:cs="Arial" w:eastAsia="Arial" w:hAnsi="Arial"/>
          <w:sz w:val="14"/>
          <w:szCs w:val="14"/>
          <w:color w:val="auto"/>
        </w:rPr>
        <w:t>Forest Service Unified Permit for Vail ski area. (Incorporated by reference to Exhibit</w:t>
      </w:r>
    </w:p>
    <w:p>
      <w:pPr>
        <w:spacing w:after="0" w:line="20" w:lineRule="exact"/>
        <w:rPr>
          <w:sz w:val="20"/>
          <w:szCs w:val="20"/>
          <w:color w:val="auto"/>
        </w:rPr>
      </w:pPr>
    </w:p>
    <w:p>
      <w:pPr>
        <w:ind w:left="2829"/>
        <w:spacing w:after="0"/>
        <w:rPr>
          <w:sz w:val="20"/>
          <w:szCs w:val="20"/>
          <w:color w:val="auto"/>
        </w:rPr>
      </w:pPr>
      <w:r>
        <w:rPr>
          <w:rFonts w:ascii="Arial" w:cs="Arial" w:eastAsia="Arial" w:hAnsi="Arial"/>
          <w:sz w:val="14"/>
          <w:szCs w:val="14"/>
          <w:color w:val="auto"/>
        </w:rPr>
        <w:t>99.5(a) on Form 10-Q of Vail Resorts, Inc. for the quarter ended October 31, 2002.)</w:t>
      </w:r>
    </w:p>
    <w:p>
      <w:pPr>
        <w:spacing w:after="0" w:line="53" w:lineRule="exact"/>
        <w:rPr>
          <w:sz w:val="20"/>
          <w:szCs w:val="20"/>
          <w:color w:val="auto"/>
        </w:rPr>
      </w:pPr>
    </w:p>
    <w:p>
      <w:pPr>
        <w:ind w:left="2829" w:right="1899" w:hanging="638"/>
        <w:spacing w:after="0" w:line="267" w:lineRule="auto"/>
        <w:tabs>
          <w:tab w:leader="none" w:pos="2809" w:val="left"/>
        </w:tabs>
        <w:rPr>
          <w:sz w:val="20"/>
          <w:szCs w:val="20"/>
          <w:color w:val="auto"/>
        </w:rPr>
      </w:pPr>
      <w:r>
        <w:rPr>
          <w:rFonts w:ascii="Arial" w:cs="Arial" w:eastAsia="Arial" w:hAnsi="Arial"/>
          <w:sz w:val="16"/>
          <w:szCs w:val="16"/>
          <w:color w:val="auto"/>
        </w:rPr>
        <w:t>99.5(b)</w:t>
        <w:tab/>
        <w:t>Exhibits to Forest Service Unified Permit for Vail ski area. (Incorporated by reference to Exhibit 99.5(b) on Form 10-Q of Vail Resorts, Inc. for the quarter ended October 31, 2002.)</w:t>
      </w:r>
    </w:p>
    <w:p>
      <w:pPr>
        <w:spacing w:after="0" w:line="1" w:lineRule="exact"/>
        <w:rPr>
          <w:sz w:val="20"/>
          <w:szCs w:val="20"/>
          <w:color w:val="auto"/>
        </w:rPr>
      </w:pPr>
    </w:p>
    <w:p>
      <w:pPr>
        <w:ind w:left="2829" w:right="1979" w:hanging="638"/>
        <w:spacing w:after="0" w:line="269" w:lineRule="auto"/>
        <w:tabs>
          <w:tab w:leader="none" w:pos="2809" w:val="left"/>
        </w:tabs>
        <w:rPr>
          <w:sz w:val="20"/>
          <w:szCs w:val="20"/>
          <w:color w:val="auto"/>
        </w:rPr>
      </w:pPr>
      <w:r>
        <w:rPr>
          <w:rFonts w:ascii="Arial" w:cs="Arial" w:eastAsia="Arial" w:hAnsi="Arial"/>
          <w:sz w:val="16"/>
          <w:szCs w:val="16"/>
          <w:color w:val="auto"/>
        </w:rPr>
        <w:t>99.5(c)</w:t>
        <w:tab/>
        <w:t>Amendment to Forest Service Unified Permit for Vail ski area. (Incorporated by reference to Exhibit 99.5(c) on Form 10-Q of Vail Resorts, Inc. for the quarter ended October 31,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1" w:right="8679" w:firstLine="11"/>
        <w:spacing w:after="0" w:line="507" w:lineRule="auto"/>
        <w:tabs>
          <w:tab w:leader="none" w:pos="161"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Reports on Form 8-K None.</w:t>
      </w:r>
    </w:p>
    <w:p>
      <w:pPr>
        <w:sectPr>
          <w:pgSz w:w="11900" w:h="16838" w:orient="portrait"/>
          <w:cols w:equalWidth="0" w:num="1">
            <w:col w:w="10209"/>
          </w:cols>
          <w:pgMar w:left="251" w:top="131" w:right="1440" w:bottom="0" w:gutter="0" w:footer="0" w:header="0"/>
        </w:sectPr>
      </w:pPr>
    </w:p>
    <w:bookmarkStart w:id="22" w:name="page23"/>
    <w:bookmarkEnd w:id="22"/>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76"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on March 14, 2003.</w:t>
      </w:r>
    </w:p>
    <w:p>
      <w:pPr>
        <w:spacing w:after="0" w:line="168" w:lineRule="exact"/>
        <w:rPr>
          <w:sz w:val="20"/>
          <w:szCs w:val="20"/>
          <w:color w:val="auto"/>
        </w:rPr>
      </w:pPr>
    </w:p>
    <w:p>
      <w:pPr>
        <w:ind w:left="8640"/>
        <w:spacing w:after="0"/>
        <w:rPr>
          <w:sz w:val="20"/>
          <w:szCs w:val="20"/>
          <w:color w:val="auto"/>
        </w:rPr>
      </w:pPr>
      <w:r>
        <w:rPr>
          <w:rFonts w:ascii="Arial" w:cs="Arial" w:eastAsia="Arial" w:hAnsi="Arial"/>
          <w:sz w:val="16"/>
          <w:szCs w:val="16"/>
          <w:color w:val="auto"/>
        </w:rPr>
        <w:t>Vail Resorts, Inc.</w:t>
      </w:r>
    </w:p>
    <w:p>
      <w:pPr>
        <w:sectPr>
          <w:pgSz w:w="11900" w:h="16974" w:orient="portrait"/>
          <w:cols w:equalWidth="0" w:num="1">
            <w:col w:w="11160"/>
          </w:cols>
          <w:pgMar w:left="240" w:top="483" w:right="4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color w:val="auto"/>
        </w:rPr>
        <w:t>I, Adam M. Aron, certify that: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6242" w:type="dxa"/>
        <w:tblCellMar>
          <w:top w:w="0" w:type="dxa"/>
          <w:left w:w="0" w:type="dxa"/>
          <w:bottom w:w="0" w:type="dxa"/>
          <w:right w:w="0" w:type="dxa"/>
        </w:tblCellMar>
      </w:tblPr>
      <w:tr>
        <w:trPr>
          <w:trHeight w:val="184"/>
        </w:trPr>
        <w:tc>
          <w:tcPr>
            <w:tcW w:w="640" w:type="dxa"/>
            <w:vAlign w:val="bottom"/>
          </w:tcPr>
          <w:p>
            <w:pPr>
              <w:spacing w:after="0"/>
              <w:rPr>
                <w:sz w:val="20"/>
                <w:szCs w:val="20"/>
                <w:color w:val="auto"/>
              </w:rPr>
            </w:pPr>
            <w:r>
              <w:rPr>
                <w:rFonts w:ascii="Arial" w:cs="Arial" w:eastAsia="Arial" w:hAnsi="Arial"/>
                <w:sz w:val="16"/>
                <w:szCs w:val="16"/>
                <w:color w:val="auto"/>
              </w:rPr>
              <w:t>By:</w:t>
            </w:r>
          </w:p>
        </w:tc>
        <w:tc>
          <w:tcPr>
            <w:tcW w:w="360" w:type="dxa"/>
            <w:vAlign w:val="bottom"/>
          </w:tcPr>
          <w:p>
            <w:pPr>
              <w:spacing w:after="0"/>
              <w:rPr>
                <w:sz w:val="16"/>
                <w:szCs w:val="16"/>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color w:val="auto"/>
                <w:w w:val="86"/>
              </w:rPr>
              <w:t>/s/ James P. Donohue</w:t>
            </w:r>
          </w:p>
        </w:tc>
      </w:tr>
      <w:tr>
        <w:trPr>
          <w:trHeight w:val="262"/>
        </w:trPr>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5"/>
              </w:rPr>
              <w:t>James P. Donohue</w:t>
            </w:r>
          </w:p>
        </w:tc>
        <w:tc>
          <w:tcPr>
            <w:tcW w:w="160" w:type="dxa"/>
            <w:vAlign w:val="bottom"/>
          </w:tcPr>
          <w:p>
            <w:pPr>
              <w:spacing w:after="0"/>
              <w:rPr>
                <w:sz w:val="22"/>
                <w:szCs w:val="22"/>
                <w:color w:val="auto"/>
              </w:rPr>
            </w:pPr>
          </w:p>
        </w:tc>
      </w:tr>
      <w:tr>
        <w:trPr>
          <w:trHeight w:val="221"/>
        </w:trPr>
        <w:tc>
          <w:tcPr>
            <w:tcW w:w="640" w:type="dxa"/>
            <w:vAlign w:val="bottom"/>
          </w:tcPr>
          <w:p>
            <w:pPr>
              <w:spacing w:after="0"/>
              <w:rPr>
                <w:sz w:val="19"/>
                <w:szCs w:val="19"/>
                <w:color w:val="auto"/>
              </w:rPr>
            </w:pPr>
          </w:p>
        </w:tc>
        <w:tc>
          <w:tcPr>
            <w:tcW w:w="1880" w:type="dxa"/>
            <w:vAlign w:val="bottom"/>
            <w:gridSpan w:val="3"/>
          </w:tcPr>
          <w:p>
            <w:pPr>
              <w:jc w:val="center"/>
              <w:ind w:left="140"/>
              <w:spacing w:after="0"/>
              <w:rPr>
                <w:sz w:val="20"/>
                <w:szCs w:val="20"/>
                <w:color w:val="auto"/>
              </w:rPr>
            </w:pPr>
            <w:r>
              <w:rPr>
                <w:rFonts w:ascii="Arial" w:cs="Arial" w:eastAsia="Arial" w:hAnsi="Arial"/>
                <w:sz w:val="16"/>
                <w:szCs w:val="16"/>
                <w:color w:val="auto"/>
                <w:w w:val="89"/>
              </w:rPr>
              <w:t>Senior Vice President and</w:t>
            </w:r>
          </w:p>
        </w:tc>
      </w:tr>
      <w:tr>
        <w:trPr>
          <w:trHeight w:val="246"/>
        </w:trPr>
        <w:tc>
          <w:tcPr>
            <w:tcW w:w="640" w:type="dxa"/>
            <w:vAlign w:val="bottom"/>
          </w:tcPr>
          <w:p>
            <w:pPr>
              <w:spacing w:after="0"/>
              <w:rPr>
                <w:sz w:val="21"/>
                <w:szCs w:val="21"/>
                <w:color w:val="auto"/>
              </w:rPr>
            </w:pPr>
          </w:p>
        </w:tc>
        <w:tc>
          <w:tcPr>
            <w:tcW w:w="1880" w:type="dxa"/>
            <w:vAlign w:val="bottom"/>
            <w:gridSpan w:val="3"/>
          </w:tcPr>
          <w:p>
            <w:pPr>
              <w:jc w:val="center"/>
              <w:ind w:left="120"/>
              <w:spacing w:after="0"/>
              <w:rPr>
                <w:sz w:val="20"/>
                <w:szCs w:val="20"/>
                <w:color w:val="auto"/>
              </w:rPr>
            </w:pPr>
            <w:r>
              <w:rPr>
                <w:rFonts w:ascii="Arial" w:cs="Arial" w:eastAsia="Arial" w:hAnsi="Arial"/>
                <w:sz w:val="16"/>
                <w:szCs w:val="16"/>
                <w:color w:val="auto"/>
                <w:w w:val="94"/>
              </w:rPr>
              <w:t>Chief Financial Officer</w:t>
            </w:r>
          </w:p>
        </w:tc>
      </w:tr>
      <w:tr>
        <w:trPr>
          <w:trHeight w:val="492"/>
        </w:trPr>
        <w:tc>
          <w:tcPr>
            <w:tcW w:w="640" w:type="dxa"/>
            <w:vAlign w:val="bottom"/>
          </w:tcPr>
          <w:p>
            <w:pPr>
              <w:spacing w:after="0"/>
              <w:rPr>
                <w:sz w:val="20"/>
                <w:szCs w:val="20"/>
                <w:color w:val="auto"/>
              </w:rPr>
            </w:pPr>
            <w:r>
              <w:rPr>
                <w:rFonts w:ascii="Arial" w:cs="Arial" w:eastAsia="Arial" w:hAnsi="Arial"/>
                <w:sz w:val="16"/>
                <w:szCs w:val="16"/>
                <w:color w:val="auto"/>
              </w:rPr>
              <w:t>Dated:</w:t>
            </w:r>
          </w:p>
        </w:tc>
        <w:tc>
          <w:tcPr>
            <w:tcW w:w="360" w:type="dxa"/>
            <w:vAlign w:val="bottom"/>
          </w:tcPr>
          <w:p>
            <w:pPr>
              <w:spacing w:after="0"/>
              <w:rPr>
                <w:sz w:val="24"/>
                <w:szCs w:val="2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6"/>
                <w:szCs w:val="16"/>
                <w:color w:val="auto"/>
                <w:w w:val="91"/>
              </w:rPr>
              <w:t>March 14, 2003</w:t>
            </w:r>
          </w:p>
        </w:tc>
      </w:tr>
    </w:tbl>
    <w:p>
      <w:pPr>
        <w:spacing w:after="0" w:line="200" w:lineRule="exact"/>
        <w:rPr>
          <w:sz w:val="20"/>
          <w:szCs w:val="20"/>
          <w:color w:val="auto"/>
        </w:rPr>
      </w:pPr>
    </w:p>
    <w:p>
      <w:pPr>
        <w:spacing w:after="0" w:line="354" w:lineRule="exact"/>
        <w:rPr>
          <w:sz w:val="20"/>
          <w:szCs w:val="20"/>
          <w:color w:val="auto"/>
        </w:rPr>
      </w:pPr>
    </w:p>
    <w:p>
      <w:pPr>
        <w:jc w:val="center"/>
        <w:ind w:right="2138"/>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172" w:lineRule="exact"/>
        <w:rPr>
          <w:sz w:val="20"/>
          <w:szCs w:val="20"/>
          <w:color w:val="auto"/>
        </w:rPr>
      </w:pPr>
    </w:p>
    <w:p>
      <w:pPr>
        <w:jc w:val="center"/>
        <w:ind w:right="2138"/>
        <w:spacing w:after="0"/>
        <w:rPr>
          <w:sz w:val="20"/>
          <w:szCs w:val="20"/>
          <w:color w:val="auto"/>
        </w:rPr>
      </w:pPr>
      <w:r>
        <w:rPr>
          <w:rFonts w:ascii="Arial" w:cs="Arial" w:eastAsia="Arial" w:hAnsi="Arial"/>
          <w:sz w:val="16"/>
          <w:szCs w:val="16"/>
          <w:b w:val="1"/>
          <w:bCs w:val="1"/>
          <w:color w:val="auto"/>
        </w:rPr>
        <w:t>PURSUANT TO SECTION 302 OF THE</w:t>
      </w:r>
    </w:p>
    <w:p>
      <w:pPr>
        <w:spacing w:after="0" w:line="172" w:lineRule="exact"/>
        <w:rPr>
          <w:sz w:val="20"/>
          <w:szCs w:val="20"/>
          <w:color w:val="auto"/>
        </w:rPr>
      </w:pPr>
    </w:p>
    <w:p>
      <w:pPr>
        <w:ind w:left="2082"/>
        <w:spacing w:after="0"/>
        <w:rPr>
          <w:sz w:val="20"/>
          <w:szCs w:val="20"/>
          <w:color w:val="auto"/>
        </w:rPr>
      </w:pPr>
      <w:r>
        <w:rPr>
          <w:rFonts w:ascii="Arial" w:cs="Arial" w:eastAsia="Arial" w:hAnsi="Arial"/>
          <w:sz w:val="16"/>
          <w:szCs w:val="16"/>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42" w:hanging="142"/>
        <w:spacing w:after="0"/>
        <w:tabs>
          <w:tab w:leader="none" w:pos="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Vail Resorts, Inc.;</w:t>
      </w:r>
    </w:p>
    <w:p>
      <w:pPr>
        <w:spacing w:after="0" w:line="37" w:lineRule="exact"/>
        <w:rPr>
          <w:rFonts w:ascii="Arial" w:cs="Arial" w:eastAsia="Arial" w:hAnsi="Arial"/>
          <w:sz w:val="16"/>
          <w:szCs w:val="16"/>
          <w:color w:val="auto"/>
        </w:rPr>
      </w:pPr>
    </w:p>
    <w:p>
      <w:pPr>
        <w:ind w:left="142" w:right="1940" w:hanging="142"/>
        <w:spacing w:after="0" w:line="264" w:lineRule="auto"/>
        <w:tabs>
          <w:tab w:leader="none" w:pos="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 w:lineRule="exact"/>
        <w:rPr>
          <w:rFonts w:ascii="Arial" w:cs="Arial" w:eastAsia="Arial" w:hAnsi="Arial"/>
          <w:sz w:val="16"/>
          <w:szCs w:val="16"/>
          <w:color w:val="auto"/>
        </w:rPr>
      </w:pPr>
    </w:p>
    <w:p>
      <w:pPr>
        <w:ind w:left="142" w:right="2080" w:hanging="142"/>
        <w:spacing w:after="0" w:line="285" w:lineRule="auto"/>
        <w:tabs>
          <w:tab w:leader="none" w:pos="142"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142" w:right="1920" w:hanging="142"/>
        <w:spacing w:after="0" w:line="267" w:lineRule="auto"/>
        <w:tabs>
          <w:tab w:leader="none" w:pos="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13a-14 and 15d-14) for the registrant and we have:</w:t>
      </w:r>
    </w:p>
    <w:p>
      <w:pPr>
        <w:ind w:left="642" w:right="2000" w:hanging="142"/>
        <w:spacing w:after="0" w:line="305" w:lineRule="auto"/>
        <w:tabs>
          <w:tab w:leader="none" w:pos="642" w:val="left"/>
        </w:tabs>
        <w:numPr>
          <w:ilvl w:val="1"/>
          <w:numId w:val="1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ind w:left="642" w:right="2240" w:hanging="151"/>
        <w:spacing w:after="0" w:line="311" w:lineRule="auto"/>
        <w:tabs>
          <w:tab w:leader="none" w:pos="642" w:val="left"/>
        </w:tabs>
        <w:numPr>
          <w:ilvl w:val="1"/>
          <w:numId w:val="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as of a date within 90 days prior to the filing date of this quarterly report (the "Evaluation Date"); and</w:t>
      </w:r>
    </w:p>
    <w:p>
      <w:pPr>
        <w:ind w:left="642" w:right="2380" w:hanging="142"/>
        <w:spacing w:after="0" w:line="290" w:lineRule="auto"/>
        <w:tabs>
          <w:tab w:leader="none" w:pos="642" w:val="left"/>
        </w:tabs>
        <w:numPr>
          <w:ilvl w:val="1"/>
          <w:numId w:val="13"/>
        </w:numPr>
        <w:rPr>
          <w:rFonts w:ascii="Arial" w:cs="Arial" w:eastAsia="Arial" w:hAnsi="Arial"/>
          <w:sz w:val="15"/>
          <w:szCs w:val="15"/>
          <w:color w:val="auto"/>
        </w:rPr>
      </w:pPr>
      <w:r>
        <w:rPr>
          <w:rFonts w:ascii="Arial" w:cs="Arial" w:eastAsia="Arial" w:hAnsi="Arial"/>
          <w:sz w:val="15"/>
          <w:szCs w:val="15"/>
          <w:color w:val="auto"/>
        </w:rPr>
        <w:t>presented in this quarterly report our conclusions about the effectiveness of the disclosure controls and procedures based on our evaluation as of the Evaluation Date;</w:t>
      </w:r>
    </w:p>
    <w:p>
      <w:pPr>
        <w:spacing w:after="0" w:line="1" w:lineRule="exact"/>
        <w:rPr>
          <w:rFonts w:ascii="Arial" w:cs="Arial" w:eastAsia="Arial" w:hAnsi="Arial"/>
          <w:sz w:val="15"/>
          <w:szCs w:val="15"/>
          <w:color w:val="auto"/>
        </w:rPr>
      </w:pPr>
    </w:p>
    <w:p>
      <w:pPr>
        <w:ind w:left="142" w:right="1960" w:hanging="142"/>
        <w:spacing w:after="0" w:line="267" w:lineRule="auto"/>
        <w:tabs>
          <w:tab w:leader="none" w:pos="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to the registrant's auditors and the audit committee of registrant's board of directors (or persons performing the equivalent functions):</w:t>
      </w:r>
    </w:p>
    <w:p>
      <w:pPr>
        <w:ind w:left="642" w:right="2020" w:hanging="142"/>
        <w:spacing w:after="0" w:line="305" w:lineRule="auto"/>
        <w:tabs>
          <w:tab w:leader="none" w:pos="642" w:val="left"/>
        </w:tabs>
        <w:numPr>
          <w:ilvl w:val="1"/>
          <w:numId w:val="13"/>
        </w:numPr>
        <w:rPr>
          <w:rFonts w:ascii="Arial" w:cs="Arial" w:eastAsia="Arial" w:hAnsi="Arial"/>
          <w:sz w:val="14"/>
          <w:szCs w:val="14"/>
          <w:color w:val="auto"/>
        </w:rPr>
      </w:pPr>
      <w:r>
        <w:rPr>
          <w:rFonts w:ascii="Arial" w:cs="Arial" w:eastAsia="Arial" w:hAnsi="Arial"/>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ind w:left="642" w:right="2140" w:hanging="151"/>
        <w:spacing w:after="0" w:line="272" w:lineRule="auto"/>
        <w:tabs>
          <w:tab w:leader="none" w:pos="642"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ind w:left="142" w:right="1940" w:hanging="142"/>
        <w:spacing w:after="0" w:line="265" w:lineRule="auto"/>
        <w:tabs>
          <w:tab w:leader="none" w:pos="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ectPr>
          <w:pgSz w:w="11900" w:h="16974" w:orient="portrait"/>
          <w:cols w:equalWidth="0" w:num="2">
            <w:col w:w="1940" w:space="458"/>
            <w:col w:w="8762"/>
          </w:cols>
          <w:pgMar w:left="240" w:top="483" w:right="4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March 14, 2003</w:t>
      </w:r>
    </w:p>
    <w:p>
      <w:pPr>
        <w:spacing w:after="0" w:line="222" w:lineRule="exact"/>
        <w:rPr>
          <w:sz w:val="20"/>
          <w:szCs w:val="20"/>
          <w:color w:val="auto"/>
        </w:rPr>
      </w:pPr>
    </w:p>
    <w:p>
      <w:pPr>
        <w:jc w:val="center"/>
        <w:ind w:left="8840"/>
        <w:spacing w:after="0"/>
        <w:rPr>
          <w:sz w:val="20"/>
          <w:szCs w:val="20"/>
          <w:color w:val="auto"/>
        </w:rPr>
      </w:pPr>
      <w:r>
        <w:rPr>
          <w:rFonts w:ascii="Arial" w:cs="Arial" w:eastAsia="Arial" w:hAnsi="Arial"/>
          <w:sz w:val="16"/>
          <w:szCs w:val="16"/>
          <w:color w:val="auto"/>
        </w:rPr>
        <w:t>/s/ ADAM M. 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5792470</wp:posOffset>
            </wp:positionH>
            <wp:positionV relativeFrom="paragraph">
              <wp:posOffset>-8890</wp:posOffset>
            </wp:positionV>
            <wp:extent cx="129095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17" w:lineRule="exact"/>
        <w:rPr>
          <w:sz w:val="20"/>
          <w:szCs w:val="20"/>
          <w:color w:val="auto"/>
        </w:rPr>
      </w:pPr>
    </w:p>
    <w:p>
      <w:pPr>
        <w:jc w:val="center"/>
        <w:ind w:left="8840"/>
        <w:spacing w:after="0"/>
        <w:rPr>
          <w:sz w:val="20"/>
          <w:szCs w:val="20"/>
          <w:color w:val="auto"/>
        </w:rPr>
      </w:pPr>
      <w:r>
        <w:rPr>
          <w:rFonts w:ascii="Arial" w:cs="Arial" w:eastAsia="Arial" w:hAnsi="Arial"/>
          <w:sz w:val="16"/>
          <w:szCs w:val="16"/>
          <w:color w:val="auto"/>
        </w:rPr>
        <w:t>Adam M. Aron</w:t>
      </w:r>
    </w:p>
    <w:p>
      <w:pPr>
        <w:spacing w:after="0" w:line="37" w:lineRule="exact"/>
        <w:rPr>
          <w:sz w:val="20"/>
          <w:szCs w:val="20"/>
          <w:color w:val="auto"/>
        </w:rPr>
      </w:pPr>
    </w:p>
    <w:p>
      <w:pPr>
        <w:jc w:val="center"/>
        <w:ind w:left="8840"/>
        <w:spacing w:after="0"/>
        <w:rPr>
          <w:sz w:val="20"/>
          <w:szCs w:val="20"/>
          <w:color w:val="auto"/>
        </w:rPr>
      </w:pPr>
      <w:r>
        <w:rPr>
          <w:rFonts w:ascii="Arial" w:cs="Arial" w:eastAsia="Arial" w:hAnsi="Arial"/>
          <w:sz w:val="14"/>
          <w:szCs w:val="14"/>
          <w:color w:val="auto"/>
        </w:rPr>
        <w:t>Chairman of the Board and</w:t>
      </w:r>
    </w:p>
    <w:p>
      <w:pPr>
        <w:spacing w:after="0" w:line="60" w:lineRule="exact"/>
        <w:rPr>
          <w:sz w:val="20"/>
          <w:szCs w:val="20"/>
          <w:color w:val="auto"/>
        </w:rPr>
      </w:pPr>
    </w:p>
    <w:p>
      <w:pPr>
        <w:jc w:val="center"/>
        <w:ind w:left="88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74"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CERTIFICATION OF THE CHIEF FINANCIAL OFFICER</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PURSUANT TO SECTION 302 OF THE</w:t>
      </w:r>
    </w:p>
    <w:p>
      <w:pPr>
        <w:spacing w:after="0" w:line="172"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James P. Donohue, certify that:</w:t>
      </w:r>
    </w:p>
    <w:p>
      <w:pPr>
        <w:spacing w:after="0" w:line="222" w:lineRule="exact"/>
        <w:rPr>
          <w:sz w:val="20"/>
          <w:szCs w:val="20"/>
          <w:color w:val="auto"/>
        </w:rPr>
      </w:pPr>
    </w:p>
    <w:p>
      <w:pPr>
        <w:ind w:left="2400"/>
        <w:spacing w:after="0"/>
        <w:rPr>
          <w:sz w:val="20"/>
          <w:szCs w:val="20"/>
          <w:color w:val="auto"/>
        </w:rPr>
      </w:pPr>
      <w:r>
        <w:rPr>
          <w:rFonts w:ascii="Arial" w:cs="Arial" w:eastAsia="Arial" w:hAnsi="Arial"/>
          <w:sz w:val="16"/>
          <w:szCs w:val="16"/>
          <w:color w:val="auto"/>
        </w:rPr>
        <w:t>1 I have reviewed this quarterly report on Form 10 Q of Vail Resorts Inc ;</w:t>
      </w:r>
    </w:p>
    <w:p>
      <w:pPr>
        <w:sectPr>
          <w:pgSz w:w="11900" w:h="16974" w:orient="portrait"/>
          <w:cols w:equalWidth="0" w:num="1">
            <w:col w:w="11160"/>
          </w:cols>
          <w:pgMar w:left="240" w:top="483" w:right="499" w:bottom="0" w:gutter="0" w:footer="0" w:header="0"/>
          <w:type w:val="continuous"/>
        </w:sectPr>
      </w:pPr>
    </w:p>
    <w:bookmarkStart w:id="23" w:name="page24"/>
    <w:bookmarkEnd w:id="23"/>
    <w:p>
      <w:pPr>
        <w:ind w:left="2540" w:right="2100" w:hanging="142"/>
        <w:spacing w:after="0" w:line="264" w:lineRule="auto"/>
        <w:tabs>
          <w:tab w:leader="none" w:pos="2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and</w:t>
      </w:r>
    </w:p>
    <w:p>
      <w:pPr>
        <w:spacing w:after="0" w:line="1" w:lineRule="exact"/>
        <w:rPr>
          <w:rFonts w:ascii="Arial" w:cs="Arial" w:eastAsia="Arial" w:hAnsi="Arial"/>
          <w:sz w:val="16"/>
          <w:szCs w:val="16"/>
          <w:color w:val="auto"/>
        </w:rPr>
      </w:pPr>
    </w:p>
    <w:p>
      <w:pPr>
        <w:ind w:left="2540" w:right="2240" w:hanging="142"/>
        <w:spacing w:after="0" w:line="285" w:lineRule="auto"/>
        <w:tabs>
          <w:tab w:leader="none" w:pos="2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jc w:val="both"/>
        <w:ind w:left="2540" w:right="2080" w:hanging="142"/>
        <w:spacing w:after="0" w:line="267" w:lineRule="auto"/>
        <w:tabs>
          <w:tab w:leader="none" w:pos="2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13a-14 and 15d-14) for the registrant and we have:</w:t>
      </w:r>
    </w:p>
    <w:p>
      <w:pPr>
        <w:ind w:left="3040" w:right="2160" w:hanging="142"/>
        <w:spacing w:after="0" w:line="305" w:lineRule="auto"/>
        <w:tabs>
          <w:tab w:leader="none" w:pos="30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ind w:left="3040" w:right="2400" w:hanging="151"/>
        <w:spacing w:after="0" w:line="311" w:lineRule="auto"/>
        <w:tabs>
          <w:tab w:leader="none" w:pos="30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as of a date within 90 days prior to the filing date of this quarterly report (the "Evaluation Date"); and</w:t>
      </w:r>
    </w:p>
    <w:p>
      <w:pPr>
        <w:ind w:left="3040" w:right="2540" w:hanging="142"/>
        <w:spacing w:after="0" w:line="290" w:lineRule="auto"/>
        <w:tabs>
          <w:tab w:leader="none" w:pos="3040" w:val="left"/>
        </w:tabs>
        <w:numPr>
          <w:ilvl w:val="1"/>
          <w:numId w:val="14"/>
        </w:numPr>
        <w:rPr>
          <w:rFonts w:ascii="Arial" w:cs="Arial" w:eastAsia="Arial" w:hAnsi="Arial"/>
          <w:sz w:val="15"/>
          <w:szCs w:val="15"/>
          <w:color w:val="auto"/>
        </w:rPr>
      </w:pPr>
      <w:r>
        <w:rPr>
          <w:rFonts w:ascii="Arial" w:cs="Arial" w:eastAsia="Arial" w:hAnsi="Arial"/>
          <w:sz w:val="15"/>
          <w:szCs w:val="15"/>
          <w:color w:val="auto"/>
        </w:rPr>
        <w:t>presented in this quarterly report our conclusions about the effectiveness of the disclosure controls and procedures based on our evaluation as of the Evaluation Date;</w:t>
      </w:r>
    </w:p>
    <w:p>
      <w:pPr>
        <w:spacing w:after="0" w:line="1" w:lineRule="exact"/>
        <w:rPr>
          <w:rFonts w:ascii="Arial" w:cs="Arial" w:eastAsia="Arial" w:hAnsi="Arial"/>
          <w:sz w:val="15"/>
          <w:szCs w:val="15"/>
          <w:color w:val="auto"/>
        </w:rPr>
      </w:pPr>
    </w:p>
    <w:p>
      <w:pPr>
        <w:ind w:left="2540" w:right="2120" w:hanging="142"/>
        <w:spacing w:after="0" w:line="267" w:lineRule="auto"/>
        <w:tabs>
          <w:tab w:leader="none" w:pos="2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to the registrant's auditors and the audit committee of registrant's board of directors (or persons performing the equivalent functions):</w:t>
      </w:r>
    </w:p>
    <w:p>
      <w:pPr>
        <w:ind w:left="3040" w:right="2180" w:hanging="142"/>
        <w:spacing w:after="0" w:line="305" w:lineRule="auto"/>
        <w:tabs>
          <w:tab w:leader="none" w:pos="30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ind w:left="3040" w:right="2260" w:hanging="151"/>
        <w:spacing w:after="0" w:line="272" w:lineRule="auto"/>
        <w:tabs>
          <w:tab w:leader="none" w:pos="30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ind w:left="2540" w:right="2100" w:hanging="142"/>
        <w:spacing w:after="0" w:line="265" w:lineRule="auto"/>
        <w:tabs>
          <w:tab w:leader="none" w:pos="2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March 14, 2003</w:t>
      </w:r>
    </w:p>
    <w:p>
      <w:pPr>
        <w:spacing w:after="0" w:line="222"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/s/ JAMES P.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5702300</wp:posOffset>
            </wp:positionH>
            <wp:positionV relativeFrom="paragraph">
              <wp:posOffset>-8890</wp:posOffset>
            </wp:positionV>
            <wp:extent cx="147129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1295" cy="7620"/>
                    </a:xfrm>
                    <a:prstGeom prst="rect">
                      <a:avLst/>
                    </a:prstGeom>
                    <a:noFill/>
                  </pic:spPr>
                </pic:pic>
              </a:graphicData>
            </a:graphic>
          </wp:anchor>
        </w:drawing>
      </w:r>
    </w:p>
    <w:p>
      <w:pPr>
        <w:spacing w:after="0" w:line="1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James P. Donohue</w:t>
      </w:r>
    </w:p>
    <w:p>
      <w:pPr>
        <w:spacing w:after="0" w:line="3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Senior Vice President and</w:t>
      </w:r>
    </w:p>
    <w:p>
      <w:pPr>
        <w:spacing w:after="0" w:line="3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CERTIFICATION OF THE CHIEF EXECUTIVE OFFICER</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AND THE CHIEF FINANCIAL OFFICER</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PURSUANT TO SECTION 906</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OF THE SARBANES-OXLEY ACT OF 2002</w:t>
      </w:r>
    </w:p>
    <w:p>
      <w:pPr>
        <w:spacing w:after="0" w:line="200" w:lineRule="exact"/>
        <w:rPr>
          <w:sz w:val="20"/>
          <w:szCs w:val="20"/>
          <w:color w:val="auto"/>
        </w:rPr>
      </w:pPr>
    </w:p>
    <w:p>
      <w:pPr>
        <w:spacing w:after="0" w:line="33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Pursuant to Section 906 of the Sarbanes-Oxley Act of 2002, each of the undersigned hereby certifies in his capacity as an officer of Vail Resorts, Inc. (the "Company") that the quarterly report of the Company on Form 10-Q for the three months ended January 31, 2003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March 14, 2003</w:t>
      </w:r>
    </w:p>
    <w:p>
      <w:pPr>
        <w:spacing w:after="0" w:line="222"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/s/ ADAM M. 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5792470</wp:posOffset>
            </wp:positionH>
            <wp:positionV relativeFrom="paragraph">
              <wp:posOffset>-8890</wp:posOffset>
            </wp:positionV>
            <wp:extent cx="129095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1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Adam M. Aron</w:t>
      </w:r>
    </w:p>
    <w:p>
      <w:pPr>
        <w:spacing w:after="0" w:line="3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Chairman of the Board and</w:t>
      </w:r>
    </w:p>
    <w:p>
      <w:pPr>
        <w:spacing w:after="0" w:line="3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 </w:t>
      </w:r>
      <w:r>
        <w:rPr>
          <w:rFonts w:ascii="Arial" w:cs="Arial" w:eastAsia="Arial" w:hAnsi="Arial"/>
          <w:sz w:val="16"/>
          <w:szCs w:val="16"/>
          <w:u w:val="single" w:color="auto"/>
          <w:color w:val="auto"/>
        </w:rPr>
        <w:t>March 14, 2003</w:t>
      </w:r>
    </w:p>
    <w:p>
      <w:pPr>
        <w:spacing w:after="0" w:line="222"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/s/ JAMES P.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5702300</wp:posOffset>
            </wp:positionH>
            <wp:positionV relativeFrom="paragraph">
              <wp:posOffset>-8890</wp:posOffset>
            </wp:positionV>
            <wp:extent cx="14712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1295" cy="7620"/>
                    </a:xfrm>
                    <a:prstGeom prst="rect">
                      <a:avLst/>
                    </a:prstGeom>
                    <a:noFill/>
                  </pic:spPr>
                </pic:pic>
              </a:graphicData>
            </a:graphic>
          </wp:anchor>
        </w:drawing>
      </w:r>
    </w:p>
    <w:p>
      <w:pPr>
        <w:spacing w:after="0" w:line="1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James P. Donohue</w:t>
      </w:r>
    </w:p>
    <w:p>
      <w:pPr>
        <w:spacing w:after="0" w:line="3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Senior Vice President and</w:t>
      </w:r>
    </w:p>
    <w:p>
      <w:pPr>
        <w:spacing w:after="0" w:line="37" w:lineRule="exact"/>
        <w:rPr>
          <w:sz w:val="20"/>
          <w:szCs w:val="20"/>
          <w:color w:val="auto"/>
        </w:rPr>
      </w:pPr>
    </w:p>
    <w:p>
      <w:pPr>
        <w:jc w:val="center"/>
        <w:ind w:left="8860"/>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78"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w:t>
      </w:r>
    </w:p>
    <w:sectPr>
      <w:pgSz w:w="11900" w:h="16838" w:orient="portrait"/>
      <w:cols w:equalWidth="0" w:num="1">
        <w:col w:w="11320"/>
      </w:cols>
      <w:pgMar w:left="240" w:top="352" w:right="339" w:bottom="6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3"/>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3"/>
    </w:lvl>
  </w:abstractNum>
  <w:abstractNum w:abstractNumId="8">
    <w:nsid w:val="1190CDE7"/>
    <w:multiLevelType w:val="hybridMultilevel"/>
    <w:lvl w:ilvl="0">
      <w:lvlJc w:val="left"/>
      <w:lvlText w:val="%1)"/>
      <w:numFmt w:val="lowerLetter"/>
      <w:start w:val="4"/>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21"/>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2019-12-19T21:54:55Z</dcterms:created>
  <dcterms:modified xsi:type="dcterms:W3CDTF">2019-12-19T21:54:55Z</dcterms:modified>
</cp:coreProperties>
</file>